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693262326"/>
        <w:docPartObj>
          <w:docPartGallery w:val="Cover Pages"/>
          <w:docPartUnique/>
        </w:docPartObj>
      </w:sdtPr>
      <w:sdtEndPr>
        <w:rPr>
          <w:rFonts w:eastAsiaTheme="minorHAnsi"/>
          <w:kern w:val="2"/>
          <w:sz w:val="24"/>
          <w:szCs w:val="24"/>
          <w:lang w:val="en-GB" w:eastAsia="en-US"/>
          <w14:ligatures w14:val="standardContextual"/>
        </w:rPr>
      </w:sdtEndPr>
      <w:sdtContent>
        <w:p w14:paraId="3E503F71" w14:textId="7A9B4A1A" w:rsidR="005142CE" w:rsidRDefault="005142CE">
          <w:pPr>
            <w:pStyle w:val="NoSpacing"/>
            <w:rPr>
              <w:sz w:val="2"/>
            </w:rPr>
          </w:pPr>
        </w:p>
        <w:p w14:paraId="279EA9B8" w14:textId="77777777" w:rsidR="005142CE" w:rsidRDefault="005142CE">
          <w:r>
            <w:rPr>
              <w:noProof/>
            </w:rPr>
            <mc:AlternateContent>
              <mc:Choice Requires="wps">
                <w:drawing>
                  <wp:anchor distT="0" distB="0" distL="114300" distR="114300" simplePos="0" relativeHeight="251661312" behindDoc="0" locked="0" layoutInCell="1" allowOverlap="1" wp14:anchorId="0CE1BF41" wp14:editId="67E96C52">
                    <wp:simplePos x="0" y="0"/>
                    <wp:positionH relativeFrom="page">
                      <wp:align>center</wp:align>
                    </wp:positionH>
                    <wp:positionV relativeFrom="margin">
                      <wp:align>top</wp:align>
                    </wp:positionV>
                    <wp:extent cx="5943600" cy="914400"/>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24F1655" w14:textId="451A8580" w:rsidR="005142CE" w:rsidRDefault="005142C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‘An examination of how crime and anti-social behaviour can affect local communities.’</w:t>
                                    </w:r>
                                  </w:p>
                                </w:sdtContent>
                              </w:sdt>
                              <w:p w14:paraId="7F186E80" w14:textId="277E2E45" w:rsidR="005142CE" w:rsidRDefault="005142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Policing the Public – Assignment 1</w:t>
                                    </w:r>
                                  </w:sdtContent>
                                </w:sdt>
                                <w:r>
                                  <w:rPr>
                                    <w:noProof/>
                                  </w:rPr>
                                  <w:t xml:space="preserve"> </w:t>
                                </w:r>
                              </w:p>
                              <w:p w14:paraId="67542A78" w14:textId="40B83D86" w:rsidR="005142CE" w:rsidRDefault="005142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CE1BF41" id="_x0000_t202" coordsize="21600,21600" o:spt="202" path="m,l,21600r21600,l21600,xe">
                    <v:stroke joinstyle="miter"/>
                    <v:path gradientshapeok="t" o:connecttype="rect"/>
                  </v:shapetype>
                  <v:shape id="Text Box 1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24F1655" w14:textId="451A8580" w:rsidR="005142CE" w:rsidRDefault="005142C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‘An examination of how crime and anti-social behaviour can affect local communities.’</w:t>
                              </w:r>
                            </w:p>
                          </w:sdtContent>
                        </w:sdt>
                        <w:p w14:paraId="7F186E80" w14:textId="277E2E45" w:rsidR="005142CE" w:rsidRDefault="005142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Policing the Public – Assignment 1</w:t>
                              </w:r>
                            </w:sdtContent>
                          </w:sdt>
                          <w:r>
                            <w:rPr>
                              <w:noProof/>
                            </w:rPr>
                            <w:t xml:space="preserve"> </w:t>
                          </w:r>
                        </w:p>
                        <w:p w14:paraId="67542A78" w14:textId="40B83D86" w:rsidR="005142CE" w:rsidRDefault="005142C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FD7A12D" wp14:editId="5E4EFA2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652054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6DEF2CC" wp14:editId="02154D09">
                    <wp:simplePos x="0" y="0"/>
                    <wp:positionH relativeFrom="page">
                      <wp:align>center</wp:align>
                    </wp:positionH>
                    <wp:positionV relativeFrom="margin">
                      <wp:align>bottom</wp:align>
                    </wp:positionV>
                    <wp:extent cx="5943600" cy="374904"/>
                    <wp:effectExtent l="0" t="0" r="0" b="2540"/>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81BC9" w14:textId="0971643D" w:rsidR="005142CE" w:rsidRDefault="005142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Arianna Bennett 2200719</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5CEB2BB" w14:textId="2A126B56" w:rsidR="005142CE" w:rsidRDefault="005142CE">
                                    <w:pPr>
                                      <w:pStyle w:val="NoSpacing"/>
                                      <w:jc w:val="right"/>
                                      <w:rPr>
                                        <w:color w:val="4472C4" w:themeColor="accent1"/>
                                        <w:sz w:val="36"/>
                                        <w:szCs w:val="36"/>
                                      </w:rPr>
                                    </w:pPr>
                                    <w:r>
                                      <w:rPr>
                                        <w:color w:val="4472C4" w:themeColor="accent1"/>
                                        <w:sz w:val="36"/>
                                        <w:szCs w:val="36"/>
                                      </w:rPr>
                                      <w:t>University of Wales Trinity St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6DEF2CC" id="Text Box 1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27781BC9" w14:textId="0971643D" w:rsidR="005142CE" w:rsidRDefault="005142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Arianna Bennett 2200719</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5CEB2BB" w14:textId="2A126B56" w:rsidR="005142CE" w:rsidRDefault="005142CE">
                              <w:pPr>
                                <w:pStyle w:val="NoSpacing"/>
                                <w:jc w:val="right"/>
                                <w:rPr>
                                  <w:color w:val="4472C4" w:themeColor="accent1"/>
                                  <w:sz w:val="36"/>
                                  <w:szCs w:val="36"/>
                                </w:rPr>
                              </w:pPr>
                              <w:r>
                                <w:rPr>
                                  <w:color w:val="4472C4" w:themeColor="accent1"/>
                                  <w:sz w:val="36"/>
                                  <w:szCs w:val="36"/>
                                </w:rPr>
                                <w:t>University of Wales Trinity St David</w:t>
                              </w:r>
                            </w:p>
                          </w:sdtContent>
                        </w:sdt>
                      </w:txbxContent>
                    </v:textbox>
                    <w10:wrap anchorx="page" anchory="margin"/>
                  </v:shape>
                </w:pict>
              </mc:Fallback>
            </mc:AlternateContent>
          </w:r>
        </w:p>
        <w:p w14:paraId="2377A957" w14:textId="2546BF46" w:rsidR="005142CE" w:rsidRDefault="005142CE">
          <w:r>
            <w:br w:type="page"/>
          </w:r>
        </w:p>
      </w:sdtContent>
    </w:sdt>
    <w:p w14:paraId="4AE4B054" w14:textId="08ED49C8" w:rsidR="00EA5F38" w:rsidRPr="00D91F6A" w:rsidRDefault="008A725B" w:rsidP="00D91F6A">
      <w:pPr>
        <w:spacing w:line="360" w:lineRule="auto"/>
        <w:rPr>
          <w:rFonts w:cstheme="minorHAnsi"/>
        </w:rPr>
      </w:pPr>
      <w:r w:rsidRPr="00D91F6A">
        <w:rPr>
          <w:rFonts w:cstheme="minorHAnsi"/>
        </w:rPr>
        <w:lastRenderedPageBreak/>
        <w:t>This essay will be examining and evaluating how crime and anti-social behaviour</w:t>
      </w:r>
      <w:r w:rsidR="008B6EEE" w:rsidRPr="00D91F6A">
        <w:rPr>
          <w:rFonts w:cstheme="minorHAnsi"/>
        </w:rPr>
        <w:t xml:space="preserve"> (ASB)</w:t>
      </w:r>
      <w:r w:rsidRPr="00D91F6A">
        <w:rPr>
          <w:rFonts w:cstheme="minorHAnsi"/>
        </w:rPr>
        <w:t xml:space="preserve"> is affecting local communities </w:t>
      </w:r>
      <w:r w:rsidR="00613529" w:rsidRPr="00D91F6A">
        <w:rPr>
          <w:rFonts w:cstheme="minorHAnsi"/>
        </w:rPr>
        <w:t xml:space="preserve">and what the best response to this behaviour is. During this essay, the case of Fiona Pilkington will be discussed and continuously referenced throughout this essay </w:t>
      </w:r>
      <w:r w:rsidR="0056668B" w:rsidRPr="00D91F6A">
        <w:rPr>
          <w:rFonts w:cstheme="minorHAnsi"/>
        </w:rPr>
        <w:t>to</w:t>
      </w:r>
      <w:r w:rsidR="00613529" w:rsidRPr="00D91F6A">
        <w:rPr>
          <w:rFonts w:cstheme="minorHAnsi"/>
        </w:rPr>
        <w:t xml:space="preserve"> highlight the impact that ASB</w:t>
      </w:r>
      <w:r w:rsidR="008B6EEE" w:rsidRPr="00D91F6A">
        <w:rPr>
          <w:rFonts w:cstheme="minorHAnsi"/>
        </w:rPr>
        <w:t>, especially repeat ASB,</w:t>
      </w:r>
      <w:r w:rsidR="00613529" w:rsidRPr="00D91F6A">
        <w:rPr>
          <w:rFonts w:cstheme="minorHAnsi"/>
        </w:rPr>
        <w:t xml:space="preserve"> can have on vulnerable victims. </w:t>
      </w:r>
      <w:r w:rsidR="008B6EEE" w:rsidRPr="00D91F6A">
        <w:rPr>
          <w:rFonts w:cstheme="minorHAnsi"/>
        </w:rPr>
        <w:t xml:space="preserve">Before beginning the examination and evaluation of ASB, it’s important to adequately understand the definition of ASB and crime. </w:t>
      </w:r>
      <w:r w:rsidR="0056668B" w:rsidRPr="00D91F6A">
        <w:rPr>
          <w:rFonts w:cstheme="minorHAnsi"/>
        </w:rPr>
        <w:t xml:space="preserve">In communities, individuals are affected by different crimes every day, these are actions or rather omissions that could be punishable by law. Seen in many research studies such as (Paterson et al, 2018), hate crime is one of the most detrimental crimes that face communities. Differently, anti-social behaviour is defined as conduct that has or is likely to cause any person to feel harassed, alarmed or distress, or any conduct that may cause nuisance or annoyance to any person (Government Legislation, 2014). </w:t>
      </w:r>
      <w:r w:rsidR="008A7ABB" w:rsidRPr="00D91F6A">
        <w:rPr>
          <w:rFonts w:cstheme="minorHAnsi"/>
        </w:rPr>
        <w:t>Victim Support (no date) explains that the behaviour must be unreasonable and persistent for it to be classed as anti-social by the local authorities and police. There are many types of ASB, ranging from vehicle noise nuisance to harassing and threatening neighbours. Typically, police services in the United Kingdom will have a dedicated Neighbourhood Policing team that deals with reports of ASB in their communities. These Neighbourhood teams are compiled of Neighbourhood Beat Managers and Police Community Support Officers. These teams work closely with local authorities and partner agencies such as the local council and housing, to deal with and reduce anti-social behaviour incidents in their local areas.</w:t>
      </w:r>
    </w:p>
    <w:p w14:paraId="732E0173" w14:textId="77777777" w:rsidR="0056668B" w:rsidRPr="00D91F6A" w:rsidRDefault="0056668B" w:rsidP="00D91F6A">
      <w:pPr>
        <w:spacing w:line="360" w:lineRule="auto"/>
        <w:rPr>
          <w:rFonts w:cstheme="minorHAnsi"/>
        </w:rPr>
      </w:pPr>
    </w:p>
    <w:p w14:paraId="10513FA2" w14:textId="0BDB0A19" w:rsidR="004A76AC" w:rsidRPr="00D91F6A" w:rsidRDefault="008A7ABB" w:rsidP="00D91F6A">
      <w:pPr>
        <w:spacing w:line="360" w:lineRule="auto"/>
        <w:rPr>
          <w:rFonts w:cstheme="minorHAnsi"/>
        </w:rPr>
      </w:pPr>
      <w:r w:rsidRPr="00D91F6A">
        <w:rPr>
          <w:rFonts w:cstheme="minorHAnsi"/>
        </w:rPr>
        <w:t>As mentioned above, the case of Fiona Pilkington will be mentioned and referenced throug</w:t>
      </w:r>
      <w:r w:rsidR="00A4710F" w:rsidRPr="00D91F6A">
        <w:rPr>
          <w:rFonts w:cstheme="minorHAnsi"/>
        </w:rPr>
        <w:t>hou</w:t>
      </w:r>
      <w:r w:rsidRPr="00D91F6A">
        <w:rPr>
          <w:rFonts w:cstheme="minorHAnsi"/>
        </w:rPr>
        <w:t xml:space="preserve">t this essay </w:t>
      </w:r>
      <w:r w:rsidR="00A4710F" w:rsidRPr="00D91F6A">
        <w:rPr>
          <w:rFonts w:cstheme="minorHAnsi"/>
        </w:rPr>
        <w:t>to</w:t>
      </w:r>
      <w:r w:rsidRPr="00D91F6A">
        <w:rPr>
          <w:rFonts w:cstheme="minorHAnsi"/>
        </w:rPr>
        <w:t xml:space="preserve"> highlight and discuss </w:t>
      </w:r>
      <w:r w:rsidR="00A4710F" w:rsidRPr="00D91F6A">
        <w:rPr>
          <w:rFonts w:cstheme="minorHAnsi"/>
        </w:rPr>
        <w:t>exactly</w:t>
      </w:r>
      <w:r w:rsidRPr="00D91F6A">
        <w:rPr>
          <w:rFonts w:cstheme="minorHAnsi"/>
        </w:rPr>
        <w:t xml:space="preserve"> how repeat anti-social behaviour incidents and </w:t>
      </w:r>
      <w:r w:rsidR="00A4710F" w:rsidRPr="00D91F6A">
        <w:rPr>
          <w:rFonts w:cstheme="minorHAnsi"/>
        </w:rPr>
        <w:t xml:space="preserve">the effect it has on the local communities. </w:t>
      </w:r>
      <w:r w:rsidR="009A62C5" w:rsidRPr="00D91F6A">
        <w:rPr>
          <w:rFonts w:cstheme="minorHAnsi"/>
        </w:rPr>
        <w:t>After experiencing 10 years of abuse from local youths, Fiona committed suicide whilst</w:t>
      </w:r>
      <w:r w:rsidR="00836A7D" w:rsidRPr="00D91F6A">
        <w:rPr>
          <w:rFonts w:cstheme="minorHAnsi"/>
        </w:rPr>
        <w:t xml:space="preserve"> also</w:t>
      </w:r>
      <w:r w:rsidR="009A62C5" w:rsidRPr="00D91F6A">
        <w:rPr>
          <w:rFonts w:cstheme="minorHAnsi"/>
        </w:rPr>
        <w:t xml:space="preserve"> killing her disabled daughter</w:t>
      </w:r>
      <w:r w:rsidR="00836A7D" w:rsidRPr="00D91F6A">
        <w:rPr>
          <w:rFonts w:cstheme="minorHAnsi"/>
        </w:rPr>
        <w:t xml:space="preserve"> at the same time. </w:t>
      </w:r>
      <w:r w:rsidR="008E18B5" w:rsidRPr="00D91F6A">
        <w:rPr>
          <w:rFonts w:cstheme="minorHAnsi"/>
        </w:rPr>
        <w:t>Following their deaths, the I</w:t>
      </w:r>
      <w:r w:rsidR="0052533F" w:rsidRPr="00D91F6A">
        <w:rPr>
          <w:rFonts w:cstheme="minorHAnsi"/>
        </w:rPr>
        <w:t xml:space="preserve">ndependent </w:t>
      </w:r>
      <w:r w:rsidR="008E18B5" w:rsidRPr="00D91F6A">
        <w:rPr>
          <w:rFonts w:cstheme="minorHAnsi"/>
        </w:rPr>
        <w:t>P</w:t>
      </w:r>
      <w:r w:rsidR="0052533F" w:rsidRPr="00D91F6A">
        <w:rPr>
          <w:rFonts w:cstheme="minorHAnsi"/>
        </w:rPr>
        <w:t xml:space="preserve">olice </w:t>
      </w:r>
      <w:r w:rsidR="008E18B5" w:rsidRPr="00D91F6A">
        <w:rPr>
          <w:rFonts w:cstheme="minorHAnsi"/>
        </w:rPr>
        <w:t>C</w:t>
      </w:r>
      <w:r w:rsidR="0052533F" w:rsidRPr="00D91F6A">
        <w:rPr>
          <w:rFonts w:cstheme="minorHAnsi"/>
        </w:rPr>
        <w:t xml:space="preserve">omplaints </w:t>
      </w:r>
      <w:r w:rsidR="008E18B5" w:rsidRPr="00D91F6A">
        <w:rPr>
          <w:rFonts w:cstheme="minorHAnsi"/>
        </w:rPr>
        <w:t>C</w:t>
      </w:r>
      <w:r w:rsidR="0052533F" w:rsidRPr="00D91F6A">
        <w:rPr>
          <w:rFonts w:cstheme="minorHAnsi"/>
        </w:rPr>
        <w:t>ommission</w:t>
      </w:r>
      <w:r w:rsidR="008E18B5" w:rsidRPr="00D91F6A">
        <w:rPr>
          <w:rFonts w:cstheme="minorHAnsi"/>
        </w:rPr>
        <w:t xml:space="preserve"> launched an investigation into the events leading to Fiona’s decision. </w:t>
      </w:r>
      <w:r w:rsidR="00AA4E37" w:rsidRPr="00D91F6A">
        <w:rPr>
          <w:rFonts w:cstheme="minorHAnsi"/>
        </w:rPr>
        <w:t>This Investigation revealed that a total of 33 calls were made to Le</w:t>
      </w:r>
      <w:r w:rsidR="0052533F" w:rsidRPr="00D91F6A">
        <w:rPr>
          <w:rFonts w:cstheme="minorHAnsi"/>
        </w:rPr>
        <w:t xml:space="preserve">icestershire Constabulary by Fiona or her neighbours, mostly relating to the ASB incidents occurring in the street (Independent Police Complaints Commission, 2009). It was highlighted in this report that Fiona had reported multiple incidents that far exceeded anti-social behaviour, including incidents of criminal damage, assaults, and theft. The report concluded that there were multiple and continuous </w:t>
      </w:r>
      <w:r w:rsidR="0052533F" w:rsidRPr="00D91F6A">
        <w:rPr>
          <w:rFonts w:cstheme="minorHAnsi"/>
        </w:rPr>
        <w:lastRenderedPageBreak/>
        <w:t xml:space="preserve">failings by the Leicestershire Constabulary that had detrimental effects on Fiona and her family’s quality of life, including the lack of structured response and continuous inadequate response time. </w:t>
      </w:r>
    </w:p>
    <w:p w14:paraId="5DA39544" w14:textId="77777777" w:rsidR="002A3B95" w:rsidRPr="00D91F6A" w:rsidRDefault="002A3B95" w:rsidP="00D91F6A">
      <w:pPr>
        <w:spacing w:line="360" w:lineRule="auto"/>
        <w:rPr>
          <w:rFonts w:cstheme="minorHAnsi"/>
        </w:rPr>
      </w:pPr>
    </w:p>
    <w:p w14:paraId="015AC383" w14:textId="77777777" w:rsidR="00F454D7" w:rsidRPr="00D91F6A" w:rsidRDefault="0052533F" w:rsidP="00D91F6A">
      <w:pPr>
        <w:spacing w:line="360" w:lineRule="auto"/>
        <w:rPr>
          <w:rFonts w:cstheme="minorHAnsi"/>
        </w:rPr>
      </w:pPr>
      <w:r w:rsidRPr="00D91F6A">
        <w:rPr>
          <w:rFonts w:cstheme="minorHAnsi"/>
        </w:rPr>
        <w:t xml:space="preserve">In March 2023, the UK Government published a detailed report regarding how anti-social behaviour impacts individuals and their local communities. </w:t>
      </w:r>
      <w:r w:rsidR="00A6503D" w:rsidRPr="00D91F6A">
        <w:rPr>
          <w:rFonts w:cstheme="minorHAnsi"/>
        </w:rPr>
        <w:t xml:space="preserve">The report highlighted that the impact on victims was especially greater when the victim was more vulnerable to being a target of ASB, as a result of a disability or poor mental health. Also highlighted by this report, was the findings regarding the emotional and behavioural impact that ASB has on victims and local communities. Many of the long lasting and severe emotional impacts included fear, anxiety, and anger. Whereas the behavioural impacts included people being less likely to leave the house and a prominent avoidance of certain areas in the communities. From these findings, it is evident to see that these impacts would certainly alter the way the members of the community interlink with each other. For example, with individuals avoiding certain areas and </w:t>
      </w:r>
      <w:r w:rsidR="00101E78" w:rsidRPr="00D91F6A">
        <w:rPr>
          <w:rFonts w:cstheme="minorHAnsi"/>
        </w:rPr>
        <w:t>opting to leave the house less often, this in turn breaks down the sense of community, leaving individuals with a detrimental lack of trust in other members of the communities. This break down in trust may become a barrier for victims to speak with their neighbours regarding any ASB or crime they may be experiencing. In another report</w:t>
      </w:r>
      <w:r w:rsidR="004A76AC" w:rsidRPr="00D91F6A">
        <w:rPr>
          <w:rFonts w:cstheme="minorHAnsi"/>
        </w:rPr>
        <w:t>,</w:t>
      </w:r>
      <w:r w:rsidR="00101E78" w:rsidRPr="00D91F6A">
        <w:rPr>
          <w:rFonts w:cstheme="minorHAnsi"/>
        </w:rPr>
        <w:t xml:space="preserve"> Heap (2021) highlights that some victims </w:t>
      </w:r>
      <w:r w:rsidR="004A76AC" w:rsidRPr="00D91F6A">
        <w:rPr>
          <w:rFonts w:cstheme="minorHAnsi"/>
        </w:rPr>
        <w:t>experienced long term fear relating to what may happen to them now that they have reported the incidents. The report explained that this fear was heightened when the perpetrator received legal sanctions, as the victims were especially afraid of any potential serious repercussions.</w:t>
      </w:r>
      <w:r w:rsidR="00F454D7" w:rsidRPr="00D91F6A">
        <w:rPr>
          <w:rFonts w:cstheme="minorHAnsi"/>
        </w:rPr>
        <w:t xml:space="preserve"> </w:t>
      </w:r>
    </w:p>
    <w:p w14:paraId="505EA897" w14:textId="77777777" w:rsidR="00F454D7" w:rsidRPr="00D91F6A" w:rsidRDefault="00F454D7" w:rsidP="00D91F6A">
      <w:pPr>
        <w:spacing w:line="360" w:lineRule="auto"/>
        <w:rPr>
          <w:rFonts w:cstheme="minorHAnsi"/>
        </w:rPr>
      </w:pPr>
    </w:p>
    <w:p w14:paraId="6A8ED4D3" w14:textId="77777777" w:rsidR="004E38FD" w:rsidRPr="00D91F6A" w:rsidRDefault="00F454D7" w:rsidP="00D91F6A">
      <w:pPr>
        <w:spacing w:line="360" w:lineRule="auto"/>
        <w:rPr>
          <w:rFonts w:cstheme="minorHAnsi"/>
        </w:rPr>
      </w:pPr>
      <w:r w:rsidRPr="00D91F6A">
        <w:rPr>
          <w:rFonts w:cstheme="minorHAnsi"/>
        </w:rPr>
        <w:t xml:space="preserve">The Office for National Statistics (2022) compiled a report of how victims and society are impacted by crime. The key findings in this report broadcast that crime can severely limit society’s ability to function socially. It also found that crime has a harmful impact on community cohesion. These findings strengthen and interlink with the previous point mentioned, as it’s evident both crime and ASB destroy the communities ability to function correctly and as one. </w:t>
      </w:r>
      <w:r w:rsidR="008E3AD9" w:rsidRPr="00D91F6A">
        <w:rPr>
          <w:rFonts w:cstheme="minorHAnsi"/>
        </w:rPr>
        <w:t xml:space="preserve">Similarly, Taylor (1995) </w:t>
      </w:r>
      <w:r w:rsidR="00B5236B" w:rsidRPr="00D91F6A">
        <w:rPr>
          <w:rFonts w:cstheme="minorHAnsi"/>
        </w:rPr>
        <w:t xml:space="preserve">suggests that high crime rates in local communities heighten tensions between neighbours and leads to a rapid decline in neighbours’ ability to trust each other. </w:t>
      </w:r>
      <w:r w:rsidR="002A30A1" w:rsidRPr="00D91F6A">
        <w:rPr>
          <w:rFonts w:cstheme="minorHAnsi"/>
        </w:rPr>
        <w:t xml:space="preserve">It is clear from these articles that crime and ASB are almost identical in the way that they affect local communities. Alongside this, the effects of </w:t>
      </w:r>
      <w:r w:rsidR="002A30A1" w:rsidRPr="00D91F6A">
        <w:rPr>
          <w:rFonts w:cstheme="minorHAnsi"/>
        </w:rPr>
        <w:lastRenderedPageBreak/>
        <w:t xml:space="preserve">crime can be more severe and long lasting on individual victims. These effects can include guilt, shame, fear, and anger (Crime Victims Helpline, no date). </w:t>
      </w:r>
      <w:r w:rsidR="00D20ED8" w:rsidRPr="00D91F6A">
        <w:rPr>
          <w:rFonts w:cstheme="minorHAnsi"/>
        </w:rPr>
        <w:t xml:space="preserve">Through an analysis of these effects, it is evident that crime has detrimental impacts on victims which then interlink with the way the surrounding community reacts and changes </w:t>
      </w:r>
      <w:r w:rsidR="002A3B95" w:rsidRPr="00D91F6A">
        <w:rPr>
          <w:rFonts w:cstheme="minorHAnsi"/>
        </w:rPr>
        <w:t>its</w:t>
      </w:r>
      <w:r w:rsidR="00D20ED8" w:rsidRPr="00D91F6A">
        <w:rPr>
          <w:rFonts w:cstheme="minorHAnsi"/>
        </w:rPr>
        <w:t xml:space="preserve"> behaviour. </w:t>
      </w:r>
    </w:p>
    <w:p w14:paraId="62238F01" w14:textId="77777777" w:rsidR="004E38FD" w:rsidRPr="00D91F6A" w:rsidRDefault="004E38FD" w:rsidP="00D91F6A">
      <w:pPr>
        <w:spacing w:line="360" w:lineRule="auto"/>
        <w:rPr>
          <w:rFonts w:cstheme="minorHAnsi"/>
        </w:rPr>
      </w:pPr>
    </w:p>
    <w:p w14:paraId="06AC819A" w14:textId="0487A076" w:rsidR="002A30A1" w:rsidRPr="00D91F6A" w:rsidRDefault="00D20ED8" w:rsidP="00D91F6A">
      <w:pPr>
        <w:spacing w:line="360" w:lineRule="auto"/>
        <w:rPr>
          <w:rFonts w:cstheme="minorHAnsi"/>
        </w:rPr>
      </w:pPr>
      <w:r w:rsidRPr="00D91F6A">
        <w:rPr>
          <w:rFonts w:cstheme="minorHAnsi"/>
        </w:rPr>
        <w:t>This means that even if a crime is targeted at one person in particular, the impact acts as what is referred to as a ‘ripple effect’</w:t>
      </w:r>
      <w:r w:rsidR="00AB18D8" w:rsidRPr="00D91F6A">
        <w:rPr>
          <w:rFonts w:cstheme="minorHAnsi"/>
        </w:rPr>
        <w:t xml:space="preserve">. The ‘ripple effect’ is when a crime affects the victim, followed by their family and friends and then expands to the local communities and possibly nationwide, depending on the crime. </w:t>
      </w:r>
      <w:r w:rsidR="00443FCB" w:rsidRPr="00D91F6A">
        <w:rPr>
          <w:rFonts w:cstheme="minorHAnsi"/>
        </w:rPr>
        <w:t xml:space="preserve">In addition to this, the impact on ‘repeat victims’ may be far more severe and detrimental. A repeat victim is an individual who is </w:t>
      </w:r>
      <w:r w:rsidR="003205B3" w:rsidRPr="00D91F6A">
        <w:rPr>
          <w:rFonts w:cstheme="minorHAnsi"/>
        </w:rPr>
        <w:t>repeatedly targeted by criminals and delinquents. As stated by the College of Policing (</w:t>
      </w:r>
      <w:r w:rsidR="000A0E21" w:rsidRPr="00D91F6A">
        <w:rPr>
          <w:rFonts w:cstheme="minorHAnsi"/>
        </w:rPr>
        <w:t>2021), after an individual becomes a victim of a crime, the risk of them becoming a repeat victim increases severely. Statistics were published by the College of Policing highlight that victims of domestic violence were 34% more likely to end up becoming a repeat victim. It is clear from this that specific crimes have a higher ‘repeat victimisation’ rate, and that specific individuals are far more susceptible to become a repeat victim. Alongside this, individuals are more likely to become repeat victims if they live in a hotspot for crime or ASB (Ree</w:t>
      </w:r>
      <w:r w:rsidR="004B0E03" w:rsidRPr="00D91F6A">
        <w:rPr>
          <w:rFonts w:cstheme="minorHAnsi"/>
        </w:rPr>
        <w:t>m</w:t>
      </w:r>
      <w:r w:rsidR="000A0E21" w:rsidRPr="00D91F6A">
        <w:rPr>
          <w:rFonts w:cstheme="minorHAnsi"/>
        </w:rPr>
        <w:t xml:space="preserve">st, </w:t>
      </w:r>
      <w:r w:rsidR="004B0E03" w:rsidRPr="00D91F6A">
        <w:rPr>
          <w:rFonts w:cstheme="minorHAnsi"/>
        </w:rPr>
        <w:t>2013).</w:t>
      </w:r>
    </w:p>
    <w:p w14:paraId="41B5E220" w14:textId="77777777" w:rsidR="00AB18D8" w:rsidRPr="00D91F6A" w:rsidRDefault="00AB18D8" w:rsidP="00D91F6A">
      <w:pPr>
        <w:spacing w:line="360" w:lineRule="auto"/>
        <w:rPr>
          <w:rFonts w:cstheme="minorHAnsi"/>
        </w:rPr>
      </w:pPr>
    </w:p>
    <w:p w14:paraId="2C72E8B9" w14:textId="617C2512" w:rsidR="009B6444" w:rsidRPr="00D91F6A" w:rsidRDefault="009B6444" w:rsidP="00D91F6A">
      <w:pPr>
        <w:spacing w:line="360" w:lineRule="auto"/>
        <w:rPr>
          <w:rFonts w:cstheme="minorHAnsi"/>
        </w:rPr>
      </w:pPr>
      <w:r w:rsidRPr="00D91F6A">
        <w:rPr>
          <w:rFonts w:cstheme="minorHAnsi"/>
        </w:rPr>
        <w:t>As we see in the case of Fiona Pilkington, the impact of the ASB was not on her family alone as multiple neighbours reported incidents of ASB and many have spoken out since Fiona’s death regarding the ASB issues in the area</w:t>
      </w:r>
      <w:r w:rsidR="005142CE" w:rsidRPr="00D91F6A">
        <w:rPr>
          <w:rFonts w:cstheme="minorHAnsi"/>
        </w:rPr>
        <w:t xml:space="preserve"> (The Independent, 2017). It is clear from their statements that many neighbours felt and continue to feel the ‘ripple effect’ of what happened to Fiona, and there is a serious sense of community where Fiona lived. This shows a clear impact of ASB on the local area as residents feel disconnected to the incident as they continue to experience ASB. </w:t>
      </w:r>
    </w:p>
    <w:p w14:paraId="33017677" w14:textId="77777777" w:rsidR="009B6444" w:rsidRPr="00D91F6A" w:rsidRDefault="009B6444" w:rsidP="00D91F6A">
      <w:pPr>
        <w:spacing w:line="360" w:lineRule="auto"/>
        <w:rPr>
          <w:rFonts w:cstheme="minorHAnsi"/>
          <w:color w:val="000000"/>
        </w:rPr>
      </w:pPr>
    </w:p>
    <w:p w14:paraId="2A45B19A" w14:textId="4CB7F997" w:rsidR="0046339C" w:rsidRPr="00D91F6A" w:rsidRDefault="00AB18D8" w:rsidP="00D91F6A">
      <w:pPr>
        <w:spacing w:line="360" w:lineRule="auto"/>
        <w:rPr>
          <w:rFonts w:cstheme="minorHAnsi"/>
          <w:color w:val="000000"/>
        </w:rPr>
      </w:pPr>
      <w:r w:rsidRPr="00D91F6A">
        <w:rPr>
          <w:rFonts w:cstheme="minorHAnsi"/>
          <w:color w:val="000000"/>
        </w:rPr>
        <w:t>In 2014, the Anti-social Behaviour, Crime and Policing Act was introduced in the United Kingdom, providing a clear definition of ASB, and expanding on police powers with dealing with such incidents</w:t>
      </w:r>
      <w:r w:rsidR="002A3B95" w:rsidRPr="00D91F6A">
        <w:rPr>
          <w:rFonts w:cstheme="minorHAnsi"/>
          <w:color w:val="000000"/>
        </w:rPr>
        <w:t xml:space="preserve">. The Home Office (2023) expanded on this in a published report, </w:t>
      </w:r>
      <w:r w:rsidR="002B5C13" w:rsidRPr="00D91F6A">
        <w:rPr>
          <w:rFonts w:cstheme="minorHAnsi"/>
          <w:color w:val="000000"/>
        </w:rPr>
        <w:t xml:space="preserve">explaining that the police have a duty to undertake an information sharing protocol when tackling ASB. This specific partnership approach allows the police and partnership agencies such as housing associations, </w:t>
      </w:r>
      <w:r w:rsidR="00510192" w:rsidRPr="00D91F6A">
        <w:rPr>
          <w:rFonts w:cstheme="minorHAnsi"/>
          <w:color w:val="000000"/>
        </w:rPr>
        <w:t xml:space="preserve">probation services </w:t>
      </w:r>
      <w:r w:rsidR="002B5C13" w:rsidRPr="00D91F6A">
        <w:rPr>
          <w:rFonts w:cstheme="minorHAnsi"/>
          <w:color w:val="000000"/>
        </w:rPr>
        <w:t xml:space="preserve">and the </w:t>
      </w:r>
      <w:r w:rsidR="00510192" w:rsidRPr="00D91F6A">
        <w:rPr>
          <w:rFonts w:cstheme="minorHAnsi"/>
          <w:color w:val="000000"/>
        </w:rPr>
        <w:t>Y</w:t>
      </w:r>
      <w:r w:rsidR="002B5C13" w:rsidRPr="00D91F6A">
        <w:rPr>
          <w:rFonts w:cstheme="minorHAnsi"/>
          <w:color w:val="000000"/>
        </w:rPr>
        <w:t xml:space="preserve">outh </w:t>
      </w:r>
      <w:r w:rsidR="00510192" w:rsidRPr="00D91F6A">
        <w:rPr>
          <w:rFonts w:cstheme="minorHAnsi"/>
          <w:color w:val="000000"/>
        </w:rPr>
        <w:t>O</w:t>
      </w:r>
      <w:r w:rsidR="002B5C13" w:rsidRPr="00D91F6A">
        <w:rPr>
          <w:rFonts w:cstheme="minorHAnsi"/>
          <w:color w:val="000000"/>
        </w:rPr>
        <w:t xml:space="preserve">ffending </w:t>
      </w:r>
      <w:r w:rsidR="00510192" w:rsidRPr="00D91F6A">
        <w:rPr>
          <w:rFonts w:cstheme="minorHAnsi"/>
          <w:color w:val="000000"/>
        </w:rPr>
        <w:t>S</w:t>
      </w:r>
      <w:r w:rsidR="002B5C13" w:rsidRPr="00D91F6A">
        <w:rPr>
          <w:rFonts w:cstheme="minorHAnsi"/>
          <w:color w:val="000000"/>
        </w:rPr>
        <w:t xml:space="preserve">ervice (YOS), to </w:t>
      </w:r>
      <w:r w:rsidR="002B5C13" w:rsidRPr="00D91F6A">
        <w:rPr>
          <w:rFonts w:cstheme="minorHAnsi"/>
          <w:color w:val="000000"/>
        </w:rPr>
        <w:lastRenderedPageBreak/>
        <w:t xml:space="preserve">work closely in tackling ASB at its root and putting a stop to it before it develops into a larger problem, which requires more serious sanctions. </w:t>
      </w:r>
      <w:r w:rsidR="00443FCB" w:rsidRPr="00D91F6A">
        <w:rPr>
          <w:rFonts w:cstheme="minorHAnsi"/>
          <w:color w:val="000000"/>
        </w:rPr>
        <w:t xml:space="preserve">By looking at the definition of ASB, we see that this behaviour must be seen as unreasonable and especially persistent </w:t>
      </w:r>
      <w:r w:rsidR="0046339C" w:rsidRPr="00D91F6A">
        <w:rPr>
          <w:rFonts w:cstheme="minorHAnsi"/>
          <w:color w:val="000000"/>
        </w:rPr>
        <w:t>for</w:t>
      </w:r>
      <w:r w:rsidR="00443FCB" w:rsidRPr="00D91F6A">
        <w:rPr>
          <w:rFonts w:cstheme="minorHAnsi"/>
          <w:color w:val="000000"/>
        </w:rPr>
        <w:t xml:space="preserve"> it to be dealt with appropriately by the police and local agencies. </w:t>
      </w:r>
    </w:p>
    <w:p w14:paraId="7F130AF7" w14:textId="77777777" w:rsidR="0046339C" w:rsidRPr="00D91F6A" w:rsidRDefault="0046339C" w:rsidP="00D91F6A">
      <w:pPr>
        <w:spacing w:line="360" w:lineRule="auto"/>
        <w:rPr>
          <w:rFonts w:cstheme="minorHAnsi"/>
          <w:color w:val="000000"/>
        </w:rPr>
      </w:pPr>
    </w:p>
    <w:p w14:paraId="11951593" w14:textId="3CD8A61C" w:rsidR="00006455" w:rsidRPr="00D91F6A" w:rsidRDefault="000A0E21" w:rsidP="00D91F6A">
      <w:pPr>
        <w:spacing w:line="360" w:lineRule="auto"/>
        <w:rPr>
          <w:rFonts w:cstheme="minorHAnsi"/>
          <w:color w:val="000000"/>
        </w:rPr>
      </w:pPr>
      <w:r w:rsidRPr="00D91F6A">
        <w:rPr>
          <w:rFonts w:cstheme="minorHAnsi"/>
          <w:color w:val="000000"/>
        </w:rPr>
        <w:t xml:space="preserve">Equally, many pieces of legislation have been introduced in the United Kingdom </w:t>
      </w:r>
      <w:r w:rsidR="0046339C" w:rsidRPr="00D91F6A">
        <w:rPr>
          <w:rFonts w:cstheme="minorHAnsi"/>
          <w:color w:val="000000"/>
        </w:rPr>
        <w:t>to</w:t>
      </w:r>
      <w:r w:rsidRPr="00D91F6A">
        <w:rPr>
          <w:rFonts w:cstheme="minorHAnsi"/>
          <w:color w:val="000000"/>
        </w:rPr>
        <w:t xml:space="preserve"> expand on police powers when dealing with a variety of crimes, with the most expansive and descriptive being the Police and Criminal Evidence Act 1984 (PACE). </w:t>
      </w:r>
      <w:r w:rsidR="0046339C" w:rsidRPr="00D91F6A">
        <w:rPr>
          <w:rFonts w:cstheme="minorHAnsi"/>
          <w:color w:val="000000"/>
        </w:rPr>
        <w:t xml:space="preserve">After being introduced, PACE expanded police powers in a variety of aspects including arrests, stop searches, powers of entry and the detention of suspects and subjects (Government Legislation, 2023). Research suggests that legislation such as PACE are fundamental in regulating police powers and </w:t>
      </w:r>
      <w:r w:rsidR="00E539F8" w:rsidRPr="00D91F6A">
        <w:rPr>
          <w:rFonts w:cstheme="minorHAnsi"/>
          <w:color w:val="000000"/>
        </w:rPr>
        <w:t xml:space="preserve">ensuring that the police can respond adequately and promptly when faced with an incident or issue (Benz, 2012). </w:t>
      </w:r>
    </w:p>
    <w:p w14:paraId="0B6EDEA7" w14:textId="77777777" w:rsidR="005142CE" w:rsidRPr="00D91F6A" w:rsidRDefault="005142CE" w:rsidP="00D91F6A">
      <w:pPr>
        <w:spacing w:line="360" w:lineRule="auto"/>
        <w:rPr>
          <w:rFonts w:cstheme="minorHAnsi"/>
          <w:color w:val="000000"/>
        </w:rPr>
      </w:pPr>
    </w:p>
    <w:p w14:paraId="09F01DE0" w14:textId="68475DC2" w:rsidR="00EE2824" w:rsidRPr="00D91F6A" w:rsidRDefault="002B5C13" w:rsidP="00D91F6A">
      <w:pPr>
        <w:spacing w:line="360" w:lineRule="auto"/>
        <w:rPr>
          <w:rFonts w:cstheme="minorHAnsi"/>
          <w:color w:val="000000"/>
        </w:rPr>
      </w:pPr>
      <w:r w:rsidRPr="00D91F6A">
        <w:rPr>
          <w:rFonts w:cstheme="minorHAnsi"/>
          <w:color w:val="000000"/>
        </w:rPr>
        <w:t xml:space="preserve">When it comes to tackling anti-social behaviour, the police have a variety of powers and sanctions </w:t>
      </w:r>
      <w:r w:rsidR="00443FCB" w:rsidRPr="00D91F6A">
        <w:rPr>
          <w:rFonts w:cstheme="minorHAnsi"/>
          <w:color w:val="000000"/>
        </w:rPr>
        <w:t>available to them, on a varying level of seriousness, to deal with it effectively.</w:t>
      </w:r>
      <w:r w:rsidR="00EE2824" w:rsidRPr="00D91F6A">
        <w:rPr>
          <w:rFonts w:cstheme="minorHAnsi"/>
          <w:color w:val="000000"/>
        </w:rPr>
        <w:t xml:space="preserve"> As explained by the College of Policing (no date), </w:t>
      </w:r>
      <w:r w:rsidR="00CF5132" w:rsidRPr="00D91F6A">
        <w:rPr>
          <w:rFonts w:cstheme="minorHAnsi"/>
          <w:color w:val="000000"/>
        </w:rPr>
        <w:t xml:space="preserve">ongoing neighbourhood issues is usually referred to the Neighbourhood Policing Team (NPT). NPT officers will provide an active presence in the community while they build strong relationships and partnerships with the local community. These officers will have the most detailed understanding of the community, effectively ensuring that they will know the best solution on how to approach ASB issues in their areas. </w:t>
      </w:r>
      <w:r w:rsidR="00BB6D71" w:rsidRPr="00D91F6A">
        <w:rPr>
          <w:rFonts w:cstheme="minorHAnsi"/>
          <w:color w:val="000000"/>
        </w:rPr>
        <w:t xml:space="preserve">It is clear from this that UK policing is utilising it’s more experienced and knowledgeable officers to target neighbourhood issues such as anti-social behaviour. These officers are then able to focus entirely on these specific issues, leading to them being investigated and followed up correctly and promptly. </w:t>
      </w:r>
    </w:p>
    <w:p w14:paraId="752AC023" w14:textId="77777777" w:rsidR="004C4459" w:rsidRPr="00D91F6A" w:rsidRDefault="004C4459" w:rsidP="00D91F6A">
      <w:pPr>
        <w:spacing w:line="360" w:lineRule="auto"/>
        <w:rPr>
          <w:rFonts w:cstheme="minorHAnsi"/>
          <w:color w:val="000000"/>
        </w:rPr>
      </w:pPr>
    </w:p>
    <w:p w14:paraId="1E0EE523" w14:textId="69EA7C01" w:rsidR="00EE2824" w:rsidRPr="00D91F6A" w:rsidRDefault="004C4459" w:rsidP="00D91F6A">
      <w:pPr>
        <w:spacing w:line="360" w:lineRule="auto"/>
        <w:rPr>
          <w:rFonts w:cstheme="minorHAnsi"/>
          <w:color w:val="000000"/>
        </w:rPr>
      </w:pPr>
      <w:r w:rsidRPr="00D91F6A">
        <w:rPr>
          <w:rFonts w:cstheme="minorHAnsi"/>
          <w:color w:val="000000"/>
        </w:rPr>
        <w:t xml:space="preserve">The Anti-social Behaviour, Crime and Policing Act [2014] also introduced the ability for police and partner agencies to apply for court orders to tackle repeat offenders of anti-social behaviour, or specific areas where anti-social behaviour is high </w:t>
      </w:r>
      <w:r w:rsidR="00510192" w:rsidRPr="00D91F6A">
        <w:rPr>
          <w:rFonts w:cstheme="minorHAnsi"/>
          <w:color w:val="000000"/>
        </w:rPr>
        <w:t>(National Business Crime Centre, no date)</w:t>
      </w:r>
      <w:r w:rsidRPr="00D91F6A">
        <w:rPr>
          <w:rFonts w:cstheme="minorHAnsi"/>
          <w:color w:val="000000"/>
        </w:rPr>
        <w:t>.</w:t>
      </w:r>
      <w:r w:rsidR="00510192" w:rsidRPr="00D91F6A">
        <w:rPr>
          <w:rFonts w:cstheme="minorHAnsi"/>
          <w:color w:val="000000"/>
        </w:rPr>
        <w:t xml:space="preserve"> These court orders range from Community Protection Notices (CPN’s) that issue the offenders with fixed penalty notices, to Criminal Behaviour Orders (CBO) which could lead to the offender being jailed if caught breaching them. </w:t>
      </w:r>
      <w:r w:rsidR="00182826" w:rsidRPr="00D91F6A">
        <w:rPr>
          <w:rFonts w:cstheme="minorHAnsi"/>
          <w:color w:val="000000"/>
        </w:rPr>
        <w:t xml:space="preserve">Before an </w:t>
      </w:r>
      <w:proofErr w:type="spellStart"/>
      <w:r w:rsidR="00182826" w:rsidRPr="00D91F6A">
        <w:rPr>
          <w:rFonts w:cstheme="minorHAnsi"/>
          <w:color w:val="000000"/>
        </w:rPr>
        <w:t>indivudal</w:t>
      </w:r>
      <w:proofErr w:type="spellEnd"/>
      <w:r w:rsidR="00182826" w:rsidRPr="00D91F6A">
        <w:rPr>
          <w:rFonts w:cstheme="minorHAnsi"/>
          <w:color w:val="000000"/>
        </w:rPr>
        <w:t xml:space="preserve"> </w:t>
      </w:r>
      <w:r w:rsidR="00182826" w:rsidRPr="00D91F6A">
        <w:rPr>
          <w:rFonts w:cstheme="minorHAnsi"/>
          <w:color w:val="000000"/>
        </w:rPr>
        <w:lastRenderedPageBreak/>
        <w:t xml:space="preserve">receives one of these court orders, there must be a certain number of Anti-social Behaviour referrals submitted against them. These referrals can be submitted by a constable or community support officer and are then reviewed by an Anti-social Behaviour Officer, usually based on a Community Safety Partnership team. </w:t>
      </w:r>
      <w:r w:rsidR="00510192" w:rsidRPr="00D91F6A">
        <w:rPr>
          <w:rFonts w:cstheme="minorHAnsi"/>
          <w:color w:val="000000"/>
        </w:rPr>
        <w:t xml:space="preserve">Alternatively, if it is an area with a high anti-social behaviour rate, officers have the ability to put a Problem Oriented Policing Plan (POP Plan) in place or they could issue a Dispersal Order under Section 35 of the Anti-social Behaviour, Crime and Policing Act [2014] with the approval of an Inspector or above. </w:t>
      </w:r>
      <w:r w:rsidR="00BB6D71" w:rsidRPr="00D91F6A">
        <w:rPr>
          <w:rFonts w:cstheme="minorHAnsi"/>
          <w:color w:val="000000"/>
        </w:rPr>
        <w:t xml:space="preserve">The College of Policing (2020) explains that POP plans are specific approaches that replace basic interventions with frequent targeted interventions. Whereas a section 35 Dispersal Order </w:t>
      </w:r>
      <w:r w:rsidR="00580647" w:rsidRPr="00D91F6A">
        <w:rPr>
          <w:rFonts w:cstheme="minorHAnsi"/>
          <w:color w:val="000000"/>
        </w:rPr>
        <w:t xml:space="preserve">provides officers with powers to be able to disperse individuals or groups from a specific area for up to 48 hours (Cheshire Constabulary, no date).  </w:t>
      </w:r>
    </w:p>
    <w:p w14:paraId="21B23C70" w14:textId="77777777" w:rsidR="00580647" w:rsidRPr="00D91F6A" w:rsidRDefault="00580647" w:rsidP="00D91F6A">
      <w:pPr>
        <w:spacing w:line="360" w:lineRule="auto"/>
        <w:rPr>
          <w:rFonts w:cstheme="minorHAnsi"/>
          <w:color w:val="000000"/>
        </w:rPr>
      </w:pPr>
    </w:p>
    <w:p w14:paraId="77E1FDB4" w14:textId="62996137" w:rsidR="00EC2117" w:rsidRPr="00D91F6A" w:rsidRDefault="00580647" w:rsidP="00D91F6A">
      <w:pPr>
        <w:spacing w:line="360" w:lineRule="auto"/>
        <w:rPr>
          <w:rFonts w:cstheme="minorHAnsi"/>
          <w:color w:val="000000"/>
        </w:rPr>
      </w:pPr>
      <w:r w:rsidRPr="00D91F6A">
        <w:rPr>
          <w:rFonts w:cstheme="minorHAnsi"/>
          <w:color w:val="000000"/>
        </w:rPr>
        <w:t xml:space="preserve">Officers deal with crime in a similar manner to </w:t>
      </w:r>
      <w:r w:rsidR="00473ED3" w:rsidRPr="00D91F6A">
        <w:rPr>
          <w:rFonts w:cstheme="minorHAnsi"/>
          <w:color w:val="000000"/>
        </w:rPr>
        <w:t xml:space="preserve">the way they </w:t>
      </w:r>
      <w:r w:rsidRPr="00D91F6A">
        <w:rPr>
          <w:rFonts w:cstheme="minorHAnsi"/>
          <w:color w:val="000000"/>
        </w:rPr>
        <w:t>deal with ASB</w:t>
      </w:r>
      <w:r w:rsidR="00C42649" w:rsidRPr="00D91F6A">
        <w:rPr>
          <w:rFonts w:cstheme="minorHAnsi"/>
          <w:color w:val="000000"/>
        </w:rPr>
        <w:t xml:space="preserve"> using POP plans, but officers will also utilise the SARA model alongside a POP plan. The SARA model was created in 1987 by John Eck and William Spelman, and is an abbreviation for Scanning, Analysis, Responding and Assessment (Eck, 1987).</w:t>
      </w:r>
      <w:r w:rsidRPr="00D91F6A">
        <w:rPr>
          <w:rFonts w:cstheme="minorHAnsi"/>
          <w:color w:val="000000"/>
        </w:rPr>
        <w:t xml:space="preserve"> </w:t>
      </w:r>
      <w:r w:rsidR="00C42649" w:rsidRPr="00D91F6A">
        <w:rPr>
          <w:rFonts w:cstheme="minorHAnsi"/>
          <w:color w:val="000000"/>
        </w:rPr>
        <w:t>The SARA m</w:t>
      </w:r>
      <w:r w:rsidR="00473ED3" w:rsidRPr="00D91F6A">
        <w:rPr>
          <w:rFonts w:cstheme="minorHAnsi"/>
          <w:color w:val="000000"/>
        </w:rPr>
        <w:t xml:space="preserve">odel is crucial in gathering correct and reliable information to aid the development and adaptation of POP plans for certain areas. </w:t>
      </w:r>
      <w:r w:rsidR="00182826" w:rsidRPr="00D91F6A">
        <w:rPr>
          <w:rFonts w:cstheme="minorHAnsi"/>
          <w:color w:val="000000"/>
        </w:rPr>
        <w:t xml:space="preserve">These models are extremely effective as they correctly identify problem areas and individuals and develop a working strategy on how to combat them. </w:t>
      </w:r>
      <w:r w:rsidR="00EC2117" w:rsidRPr="00D91F6A">
        <w:rPr>
          <w:rFonts w:cstheme="minorHAnsi"/>
          <w:color w:val="000000"/>
        </w:rPr>
        <w:t xml:space="preserve">Sidebottom et al (2019) highlights many limitations to these models of policing, including a lack of co-operation and engagement from the community and insufficient training and understanding of how to correctly problem solve. </w:t>
      </w:r>
    </w:p>
    <w:p w14:paraId="089EDBF9" w14:textId="77777777" w:rsidR="00C42649" w:rsidRPr="00D91F6A" w:rsidRDefault="00C42649" w:rsidP="00D91F6A">
      <w:pPr>
        <w:spacing w:line="360" w:lineRule="auto"/>
        <w:rPr>
          <w:rFonts w:cstheme="minorHAnsi"/>
          <w:color w:val="000000"/>
        </w:rPr>
      </w:pPr>
    </w:p>
    <w:p w14:paraId="5348FF94" w14:textId="0CB678C4" w:rsidR="00754A48" w:rsidRPr="00D91F6A" w:rsidRDefault="00754A48" w:rsidP="00D91F6A">
      <w:pPr>
        <w:spacing w:line="360" w:lineRule="auto"/>
        <w:rPr>
          <w:rFonts w:cstheme="minorHAnsi"/>
          <w:color w:val="000000"/>
        </w:rPr>
      </w:pPr>
      <w:r w:rsidRPr="00D91F6A">
        <w:rPr>
          <w:rFonts w:cstheme="minorHAnsi"/>
          <w:color w:val="000000"/>
        </w:rPr>
        <w:t>Forces across the UK are continuously implementing new schemes, with the longest running being ‘Police and Communities Together’ (PACT) meetings. These meeting allow members of the community to meet with their local police officers and community support officers to discuss and express their concerns regarding ASB in their local areas, it also allows the officers to explain how they are planning to deal with these issues (University of South Wales, no date). In addition to this, South Wales Police have introduced two new schemes across their communities, ‘South Wales Listens’ and ‘Community Outreach’, in order to communicate and engage with communities</w:t>
      </w:r>
      <w:r w:rsidR="00365551" w:rsidRPr="00D91F6A">
        <w:rPr>
          <w:rFonts w:cstheme="minorHAnsi"/>
          <w:color w:val="000000"/>
        </w:rPr>
        <w:t xml:space="preserve"> (South Wales Police, 2023)</w:t>
      </w:r>
      <w:r w:rsidRPr="00D91F6A">
        <w:rPr>
          <w:rFonts w:cstheme="minorHAnsi"/>
          <w:color w:val="000000"/>
        </w:rPr>
        <w:t xml:space="preserve">. These schemes </w:t>
      </w:r>
      <w:r w:rsidRPr="00D91F6A">
        <w:rPr>
          <w:rFonts w:cstheme="minorHAnsi"/>
          <w:color w:val="000000"/>
        </w:rPr>
        <w:lastRenderedPageBreak/>
        <w:t xml:space="preserve">allow officers to </w:t>
      </w:r>
      <w:r w:rsidR="00365551" w:rsidRPr="00D91F6A">
        <w:rPr>
          <w:rFonts w:cstheme="minorHAnsi"/>
          <w:color w:val="000000"/>
        </w:rPr>
        <w:t xml:space="preserve">be a visible presence in their communities and allows members of the public to voice their concerns regarding ASB more often in comparison to PACT meetings. </w:t>
      </w:r>
    </w:p>
    <w:p w14:paraId="36800B31" w14:textId="77777777" w:rsidR="00754A48" w:rsidRPr="00D91F6A" w:rsidRDefault="00754A48" w:rsidP="00D91F6A">
      <w:pPr>
        <w:spacing w:line="360" w:lineRule="auto"/>
        <w:rPr>
          <w:rFonts w:cstheme="minorHAnsi"/>
          <w:color w:val="000000"/>
        </w:rPr>
      </w:pPr>
    </w:p>
    <w:p w14:paraId="11521D4A" w14:textId="3ED94B1A" w:rsidR="00580647" w:rsidRPr="00D91F6A" w:rsidRDefault="00182826" w:rsidP="00D91F6A">
      <w:pPr>
        <w:spacing w:line="360" w:lineRule="auto"/>
        <w:rPr>
          <w:rFonts w:cstheme="minorHAnsi"/>
          <w:color w:val="000000"/>
        </w:rPr>
      </w:pPr>
      <w:r w:rsidRPr="00D91F6A">
        <w:rPr>
          <w:rFonts w:cstheme="minorHAnsi"/>
          <w:color w:val="000000"/>
        </w:rPr>
        <w:t xml:space="preserve">A research report from the UK Government (2023) noted that victims of ASB and crime listed a loss of trust in police and partner agencies. This could be as a result of slow reaction time from the police or dissatisfaction in the way the police chose to deal with it. </w:t>
      </w:r>
      <w:r w:rsidR="002625FE" w:rsidRPr="00D91F6A">
        <w:rPr>
          <w:rFonts w:cstheme="minorHAnsi"/>
          <w:color w:val="000000"/>
        </w:rPr>
        <w:t>The Tony Blair Institute (</w:t>
      </w:r>
      <w:r w:rsidR="00A23F2B" w:rsidRPr="00D91F6A">
        <w:rPr>
          <w:rFonts w:cstheme="minorHAnsi"/>
          <w:color w:val="000000"/>
        </w:rPr>
        <w:t>2022</w:t>
      </w:r>
      <w:r w:rsidR="002625FE" w:rsidRPr="00D91F6A">
        <w:rPr>
          <w:rFonts w:cstheme="minorHAnsi"/>
          <w:color w:val="000000"/>
        </w:rPr>
        <w:t xml:space="preserve">) explain that there is a detrimental decline in the </w:t>
      </w:r>
      <w:r w:rsidR="00A23F2B" w:rsidRPr="00D91F6A">
        <w:rPr>
          <w:rFonts w:cstheme="minorHAnsi"/>
          <w:color w:val="000000"/>
        </w:rPr>
        <w:t>public’s</w:t>
      </w:r>
      <w:r w:rsidR="002625FE" w:rsidRPr="00D91F6A">
        <w:rPr>
          <w:rFonts w:cstheme="minorHAnsi"/>
          <w:color w:val="000000"/>
        </w:rPr>
        <w:t xml:space="preserve"> confidence in the police service, leading to many people not bothering to report ASB to the police. This lack of reporting could have severe impacts on police forces </w:t>
      </w:r>
      <w:r w:rsidR="00A23F2B" w:rsidRPr="00D91F6A">
        <w:rPr>
          <w:rFonts w:cstheme="minorHAnsi"/>
          <w:color w:val="000000"/>
        </w:rPr>
        <w:t>across</w:t>
      </w:r>
      <w:r w:rsidR="002625FE" w:rsidRPr="00D91F6A">
        <w:rPr>
          <w:rFonts w:cstheme="minorHAnsi"/>
          <w:color w:val="000000"/>
        </w:rPr>
        <w:t xml:space="preserve"> the UK, as the forces rely on witnesses and victims to cooperate and communicate with them regarding incidents, yet if this comes to an end, it risks upending the whole system on which UK policing is based upon. </w:t>
      </w:r>
      <w:r w:rsidR="00CE0526" w:rsidRPr="00D91F6A">
        <w:rPr>
          <w:rFonts w:cstheme="minorHAnsi"/>
          <w:color w:val="000000"/>
        </w:rPr>
        <w:t>Another source states that</w:t>
      </w:r>
      <w:r w:rsidR="000F515B" w:rsidRPr="00D91F6A">
        <w:rPr>
          <w:rFonts w:cstheme="minorHAnsi"/>
          <w:color w:val="000000"/>
        </w:rPr>
        <w:t xml:space="preserve"> </w:t>
      </w:r>
      <w:r w:rsidR="00754A48" w:rsidRPr="00D91F6A">
        <w:rPr>
          <w:rFonts w:cstheme="minorHAnsi"/>
          <w:color w:val="000000"/>
        </w:rPr>
        <w:t>poor response from police have led victims to feel ignored (</w:t>
      </w:r>
      <w:r w:rsidR="00365551" w:rsidRPr="00D91F6A">
        <w:rPr>
          <w:rFonts w:cstheme="minorHAnsi"/>
          <w:color w:val="000000"/>
        </w:rPr>
        <w:t>Heap, 2016</w:t>
      </w:r>
      <w:r w:rsidR="00754A48" w:rsidRPr="00D91F6A">
        <w:rPr>
          <w:rFonts w:cstheme="minorHAnsi"/>
          <w:color w:val="000000"/>
        </w:rPr>
        <w:t xml:space="preserve">). If victims feel ignored or brushed aside, they are less likely to report any further ASB that they fall victim to, which again leads to the risk of breaking down the UK policing system. In addition to this, the victims trust in the police will significantly decline which has the possibility to lead to them not reporting any other types of crime that they experience. </w:t>
      </w:r>
    </w:p>
    <w:p w14:paraId="4F270F45" w14:textId="77777777" w:rsidR="002625FE" w:rsidRPr="00D91F6A" w:rsidRDefault="002625FE" w:rsidP="00D91F6A">
      <w:pPr>
        <w:spacing w:line="360" w:lineRule="auto"/>
        <w:rPr>
          <w:rFonts w:cstheme="minorHAnsi"/>
          <w:color w:val="000000"/>
        </w:rPr>
      </w:pPr>
    </w:p>
    <w:p w14:paraId="55D30750" w14:textId="3DDDFDBA" w:rsidR="00F454D7" w:rsidRPr="00D91F6A" w:rsidRDefault="00365551" w:rsidP="00D91F6A">
      <w:pPr>
        <w:spacing w:line="360" w:lineRule="auto"/>
        <w:rPr>
          <w:rFonts w:cstheme="minorHAnsi"/>
          <w:color w:val="000000"/>
        </w:rPr>
      </w:pPr>
      <w:r w:rsidRPr="00D91F6A">
        <w:rPr>
          <w:rFonts w:cstheme="minorHAnsi"/>
          <w:color w:val="000000"/>
        </w:rPr>
        <w:t xml:space="preserve">In conclusion, communities suffer a detrimental impact as a result of ongoing anti-social behaviour and crime. The </w:t>
      </w:r>
      <w:r w:rsidR="00DE14D4" w:rsidRPr="00D91F6A">
        <w:rPr>
          <w:rFonts w:cstheme="minorHAnsi"/>
          <w:color w:val="000000"/>
        </w:rPr>
        <w:t>Victims Commissioner</w:t>
      </w:r>
      <w:r w:rsidRPr="00D91F6A">
        <w:rPr>
          <w:rFonts w:cstheme="minorHAnsi"/>
          <w:color w:val="000000"/>
        </w:rPr>
        <w:t xml:space="preserve"> (20</w:t>
      </w:r>
      <w:r w:rsidR="00DE14D4" w:rsidRPr="00D91F6A">
        <w:rPr>
          <w:rFonts w:cstheme="minorHAnsi"/>
          <w:color w:val="000000"/>
        </w:rPr>
        <w:t>22</w:t>
      </w:r>
      <w:r w:rsidRPr="00D91F6A">
        <w:rPr>
          <w:rFonts w:cstheme="minorHAnsi"/>
          <w:color w:val="000000"/>
        </w:rPr>
        <w:t xml:space="preserve">) explains that the biggest effect on communities is a lack of ‘sense of community’ felt by the members, which leads to mistrust between neighbours and the individuals being less likely to leave their homes. </w:t>
      </w:r>
      <w:r w:rsidR="00DE14D4" w:rsidRPr="00D91F6A">
        <w:rPr>
          <w:rFonts w:cstheme="minorHAnsi"/>
          <w:color w:val="000000"/>
        </w:rPr>
        <w:t xml:space="preserve">As discussed during the essay, the neighbourhood policing teams are key in supporting victims and working closely with partner agencies to find long-term solutions to ASB issues in their communities (West Yorkshire Police, no date). </w:t>
      </w:r>
      <w:r w:rsidR="009B6444" w:rsidRPr="00D91F6A">
        <w:rPr>
          <w:rFonts w:cstheme="minorHAnsi"/>
          <w:color w:val="000000"/>
        </w:rPr>
        <w:t>Yet Higgins (2018) explains that communities are becoming harder to police as they are reporting less crimes, therefore the teams are having difficulties identifying the issues that need solutions. Fiona Pilkington’s case has exposed how crucial effective and attentive policing response is for victims of ASB, as there is a significant need to support victims and implement long-term solutions in order to end the problem. Therefore, neighbourhood policing cooperating with partner agencies is essential in supporting victims and communities in order for the impact of ASB and crime to be reduced</w:t>
      </w:r>
      <w:r w:rsidR="005142CE" w:rsidRPr="00D91F6A">
        <w:rPr>
          <w:rFonts w:cstheme="minorHAnsi"/>
          <w:color w:val="000000"/>
        </w:rPr>
        <w:t>.</w:t>
      </w:r>
      <w:r w:rsidR="00F454D7" w:rsidRPr="00D91F6A">
        <w:rPr>
          <w:rFonts w:cstheme="minorHAnsi"/>
        </w:rPr>
        <w:br w:type="page"/>
      </w:r>
    </w:p>
    <w:p w14:paraId="379CFF17" w14:textId="750C6750" w:rsidR="008B6EEE" w:rsidRPr="00D91F6A" w:rsidRDefault="008B6EEE" w:rsidP="00D91F6A">
      <w:pPr>
        <w:spacing w:line="276" w:lineRule="auto"/>
        <w:rPr>
          <w:rFonts w:cstheme="minorHAnsi"/>
          <w:b/>
          <w:bCs/>
        </w:rPr>
      </w:pPr>
      <w:r w:rsidRPr="00D91F6A">
        <w:rPr>
          <w:rFonts w:cstheme="minorHAnsi"/>
          <w:b/>
          <w:bCs/>
        </w:rPr>
        <w:lastRenderedPageBreak/>
        <w:t>References</w:t>
      </w:r>
    </w:p>
    <w:p w14:paraId="36287A05" w14:textId="77777777" w:rsidR="008B6EEE" w:rsidRPr="00D91F6A" w:rsidRDefault="008B6EEE" w:rsidP="00D91F6A">
      <w:pPr>
        <w:spacing w:line="276" w:lineRule="auto"/>
        <w:rPr>
          <w:rFonts w:cstheme="minorHAnsi"/>
        </w:rPr>
      </w:pPr>
    </w:p>
    <w:p w14:paraId="5DC3CA73" w14:textId="5D6C9719" w:rsidR="008B6EEE" w:rsidRPr="00D91F6A" w:rsidRDefault="008B6EEE" w:rsidP="00D91F6A">
      <w:pPr>
        <w:spacing w:line="276" w:lineRule="auto"/>
        <w:rPr>
          <w:rFonts w:cstheme="minorHAnsi"/>
          <w:color w:val="333333"/>
          <w:shd w:val="clear" w:color="auto" w:fill="FBFBFB"/>
        </w:rPr>
      </w:pPr>
      <w:r w:rsidRPr="00D91F6A">
        <w:rPr>
          <w:rFonts w:cstheme="minorHAnsi"/>
          <w:i/>
          <w:iCs/>
          <w:color w:val="333333"/>
        </w:rPr>
        <w:t>Anti-social Behaviour, Crime and Policing Act 2014</w:t>
      </w:r>
      <w:r w:rsidRPr="00D91F6A">
        <w:rPr>
          <w:rFonts w:cstheme="minorHAnsi"/>
          <w:color w:val="333333"/>
          <w:shd w:val="clear" w:color="auto" w:fill="FBFBFB"/>
        </w:rPr>
        <w:t xml:space="preserve">. </w:t>
      </w:r>
      <w:r w:rsidR="002A3B95" w:rsidRPr="00D91F6A">
        <w:rPr>
          <w:rFonts w:cstheme="minorHAnsi"/>
          <w:color w:val="333333"/>
          <w:shd w:val="clear" w:color="auto" w:fill="FBFBFB"/>
        </w:rPr>
        <w:t xml:space="preserve">United Kingdom. </w:t>
      </w:r>
      <w:r w:rsidRPr="00D91F6A">
        <w:rPr>
          <w:rFonts w:cstheme="minorHAnsi"/>
          <w:color w:val="333333"/>
          <w:shd w:val="clear" w:color="auto" w:fill="FBFBFB"/>
        </w:rPr>
        <w:t xml:space="preserve">Available at: </w:t>
      </w:r>
      <w:hyperlink r:id="rId5" w:history="1">
        <w:r w:rsidRPr="00D91F6A">
          <w:rPr>
            <w:rStyle w:val="Hyperlink"/>
            <w:rFonts w:cstheme="minorHAnsi"/>
            <w:shd w:val="clear" w:color="auto" w:fill="FBFBFB"/>
          </w:rPr>
          <w:t>https://www.legislation.gov.uk/ukpga/2014/12/section/2/enacted</w:t>
        </w:r>
      </w:hyperlink>
      <w:r w:rsidRPr="00D91F6A">
        <w:rPr>
          <w:rFonts w:cstheme="minorHAnsi"/>
          <w:color w:val="333333"/>
          <w:shd w:val="clear" w:color="auto" w:fill="FBFBFB"/>
        </w:rPr>
        <w:t xml:space="preserve"> (Accessed: 29 October 2023).</w:t>
      </w:r>
    </w:p>
    <w:p w14:paraId="3E0EE434" w14:textId="77777777" w:rsidR="005142CE" w:rsidRPr="00D91F6A" w:rsidRDefault="005142CE" w:rsidP="00D91F6A">
      <w:pPr>
        <w:pStyle w:val="NormalWeb"/>
        <w:spacing w:line="276" w:lineRule="auto"/>
        <w:rPr>
          <w:rFonts w:asciiTheme="minorHAnsi" w:hAnsiTheme="minorHAnsi" w:cstheme="minorHAnsi"/>
          <w:color w:val="333333"/>
          <w:shd w:val="clear" w:color="auto" w:fill="FBFBFB"/>
        </w:rPr>
      </w:pPr>
      <w:r w:rsidRPr="00D91F6A">
        <w:rPr>
          <w:rFonts w:asciiTheme="minorHAnsi" w:hAnsiTheme="minorHAnsi" w:cstheme="minorHAnsi"/>
          <w:i/>
          <w:iCs/>
          <w:color w:val="333333"/>
        </w:rPr>
        <w:t>Anti-social Behaviour, Crime and Policing Act, 2014. </w:t>
      </w:r>
      <w:r w:rsidRPr="00D91F6A">
        <w:rPr>
          <w:rFonts w:asciiTheme="minorHAnsi" w:hAnsiTheme="minorHAnsi" w:cstheme="minorHAnsi"/>
          <w:color w:val="333333"/>
          <w:shd w:val="clear" w:color="auto" w:fill="FBFBFB"/>
        </w:rPr>
        <w:t xml:space="preserve">United Kingdom. Available at: </w:t>
      </w:r>
      <w:hyperlink r:id="rId6" w:history="1">
        <w:r w:rsidRPr="00D91F6A">
          <w:rPr>
            <w:rStyle w:val="Hyperlink"/>
            <w:rFonts w:asciiTheme="minorHAnsi" w:hAnsiTheme="minorHAnsi" w:cstheme="minorHAnsi"/>
            <w:shd w:val="clear" w:color="auto" w:fill="FBFBFB"/>
          </w:rPr>
          <w:t>https://assets.publishing.service.gov.uk/government/uploads/system/uploads/attachment_data/file/1146322/2023_Updat</w:t>
        </w:r>
        <w:r w:rsidRPr="00D91F6A">
          <w:rPr>
            <w:rStyle w:val="Hyperlink"/>
            <w:rFonts w:asciiTheme="minorHAnsi" w:hAnsiTheme="minorHAnsi" w:cstheme="minorHAnsi"/>
            <w:shd w:val="clear" w:color="auto" w:fill="FBFBFB"/>
          </w:rPr>
          <w:t>e</w:t>
        </w:r>
        <w:r w:rsidRPr="00D91F6A">
          <w:rPr>
            <w:rStyle w:val="Hyperlink"/>
            <w:rFonts w:asciiTheme="minorHAnsi" w:hAnsiTheme="minorHAnsi" w:cstheme="minorHAnsi"/>
            <w:shd w:val="clear" w:color="auto" w:fill="FBFBFB"/>
          </w:rPr>
          <w:t>_</w:t>
        </w:r>
        <w:r w:rsidRPr="00D91F6A">
          <w:rPr>
            <w:rStyle w:val="Hyperlink"/>
            <w:rFonts w:asciiTheme="minorHAnsi" w:hAnsiTheme="minorHAnsi" w:cstheme="minorHAnsi"/>
            <w:shd w:val="clear" w:color="auto" w:fill="FBFBFB"/>
          </w:rPr>
          <w:t>ASB_Statutory_Guidance_-_FINAL__1_.pdf</w:t>
        </w:r>
      </w:hyperlink>
      <w:r w:rsidRPr="00D91F6A">
        <w:rPr>
          <w:rFonts w:asciiTheme="minorHAnsi" w:hAnsiTheme="minorHAnsi" w:cstheme="minorHAnsi"/>
          <w:color w:val="333333"/>
          <w:shd w:val="clear" w:color="auto" w:fill="FBFBFB"/>
        </w:rPr>
        <w:t xml:space="preserve"> (Accessed: 4 November 2023).</w:t>
      </w:r>
    </w:p>
    <w:p w14:paraId="638691C6" w14:textId="77B32E5B" w:rsidR="005142CE" w:rsidRPr="00D91F6A" w:rsidRDefault="005142CE" w:rsidP="00D91F6A">
      <w:pPr>
        <w:spacing w:line="276" w:lineRule="auto"/>
        <w:rPr>
          <w:rFonts w:cstheme="minorHAnsi"/>
        </w:rPr>
      </w:pPr>
      <w:r w:rsidRPr="00D91F6A">
        <w:rPr>
          <w:rFonts w:cstheme="minorHAnsi"/>
        </w:rPr>
        <w:t xml:space="preserve">Benz, S. (2012) ‘Criminal Evidence Act 1984: balancing civil liberties and public security’ </w:t>
      </w:r>
      <w:proofErr w:type="spellStart"/>
      <w:r w:rsidRPr="00D91F6A">
        <w:rPr>
          <w:rFonts w:cstheme="minorHAnsi"/>
          <w:i/>
          <w:iCs/>
        </w:rPr>
        <w:t>UCLan</w:t>
      </w:r>
      <w:proofErr w:type="spellEnd"/>
      <w:r w:rsidRPr="00D91F6A">
        <w:rPr>
          <w:rFonts w:cstheme="minorHAnsi"/>
          <w:i/>
          <w:iCs/>
        </w:rPr>
        <w:t xml:space="preserve"> Journal of Undergraduate Research</w:t>
      </w:r>
      <w:r w:rsidRPr="00D91F6A">
        <w:rPr>
          <w:rFonts w:cstheme="minorHAnsi"/>
        </w:rPr>
        <w:t>. 5(2). pp. 1-4.</w:t>
      </w:r>
    </w:p>
    <w:p w14:paraId="1D148F3E" w14:textId="77777777" w:rsidR="005142CE" w:rsidRPr="00D91F6A" w:rsidRDefault="005142CE" w:rsidP="00D91F6A">
      <w:pPr>
        <w:spacing w:line="276" w:lineRule="auto"/>
        <w:rPr>
          <w:rFonts w:cstheme="minorHAnsi"/>
        </w:rPr>
      </w:pPr>
    </w:p>
    <w:p w14:paraId="38C7F978" w14:textId="77777777" w:rsidR="005142CE" w:rsidRPr="00D91F6A" w:rsidRDefault="005142CE" w:rsidP="00D91F6A">
      <w:pPr>
        <w:spacing w:line="276" w:lineRule="auto"/>
        <w:rPr>
          <w:rFonts w:cstheme="minorHAnsi"/>
        </w:rPr>
      </w:pPr>
      <w:r w:rsidRPr="00D91F6A">
        <w:rPr>
          <w:rFonts w:cstheme="minorHAnsi"/>
        </w:rPr>
        <w:t xml:space="preserve">Cheshire Constabulary (no date) Available at: </w:t>
      </w:r>
      <w:hyperlink r:id="rId7" w:history="1">
        <w:r w:rsidRPr="00D91F6A">
          <w:rPr>
            <w:rStyle w:val="Hyperlink"/>
            <w:rFonts w:cstheme="minorHAnsi"/>
          </w:rPr>
          <w:t>https://www.cheshire.police.uk/police-forces/cheshire-constabulary/areas/cheshire/about-us/about-us/transparency-openness-and-legitimacy/dispersals/</w:t>
        </w:r>
      </w:hyperlink>
      <w:r w:rsidRPr="00D91F6A">
        <w:rPr>
          <w:rFonts w:cstheme="minorHAnsi"/>
        </w:rPr>
        <w:t xml:space="preserve"> (Accessed: 5 November 2023)</w:t>
      </w:r>
    </w:p>
    <w:p w14:paraId="48CBB846" w14:textId="77777777" w:rsidR="005142CE" w:rsidRPr="00D91F6A" w:rsidRDefault="005142CE" w:rsidP="00D91F6A">
      <w:pPr>
        <w:spacing w:line="276" w:lineRule="auto"/>
        <w:rPr>
          <w:rFonts w:cstheme="minorHAnsi"/>
        </w:rPr>
      </w:pPr>
    </w:p>
    <w:p w14:paraId="462D9F68" w14:textId="7FDEB218" w:rsidR="005142CE" w:rsidRPr="00D91F6A" w:rsidRDefault="005142CE" w:rsidP="00D91F6A">
      <w:pPr>
        <w:spacing w:line="276" w:lineRule="auto"/>
        <w:rPr>
          <w:rFonts w:cstheme="minorHAnsi"/>
        </w:rPr>
      </w:pPr>
      <w:r w:rsidRPr="00D91F6A">
        <w:rPr>
          <w:rFonts w:cstheme="minorHAnsi"/>
        </w:rPr>
        <w:t xml:space="preserve">College of Policing (no date) </w:t>
      </w:r>
      <w:r w:rsidRPr="00D91F6A">
        <w:rPr>
          <w:rFonts w:cstheme="minorHAnsi"/>
          <w:i/>
          <w:iCs/>
        </w:rPr>
        <w:t>Neighbourhood Policing Constable – Role Purpose</w:t>
      </w:r>
      <w:r w:rsidRPr="00D91F6A">
        <w:rPr>
          <w:rFonts w:cstheme="minorHAnsi"/>
        </w:rPr>
        <w:t xml:space="preserve">. Available at: </w:t>
      </w:r>
      <w:hyperlink r:id="rId8" w:history="1">
        <w:r w:rsidRPr="00D91F6A">
          <w:rPr>
            <w:rStyle w:val="Hyperlink"/>
            <w:rFonts w:cstheme="minorHAnsi"/>
          </w:rPr>
          <w:t>https://profdev.college.police.uk/professional-profile/neighbourhood-policing-constable/</w:t>
        </w:r>
      </w:hyperlink>
      <w:r w:rsidRPr="00D91F6A">
        <w:rPr>
          <w:rFonts w:cstheme="minorHAnsi"/>
        </w:rPr>
        <w:t xml:space="preserve"> (Accessed: 5 November 2023)  </w:t>
      </w:r>
    </w:p>
    <w:p w14:paraId="1E3F62A8" w14:textId="4018F1BC" w:rsidR="005142CE" w:rsidRPr="00D91F6A" w:rsidRDefault="005142CE" w:rsidP="00D91F6A">
      <w:pPr>
        <w:pStyle w:val="NormalWeb"/>
        <w:spacing w:line="276" w:lineRule="auto"/>
        <w:rPr>
          <w:rFonts w:asciiTheme="minorHAnsi" w:hAnsiTheme="minorHAnsi" w:cstheme="minorHAnsi"/>
          <w:color w:val="333333"/>
          <w:shd w:val="clear" w:color="auto" w:fill="FBFBFB"/>
        </w:rPr>
      </w:pPr>
      <w:r w:rsidRPr="00D91F6A">
        <w:rPr>
          <w:rFonts w:asciiTheme="minorHAnsi" w:hAnsiTheme="minorHAnsi" w:cstheme="minorHAnsi"/>
          <w:color w:val="333333"/>
          <w:shd w:val="clear" w:color="auto" w:fill="FBFBFB"/>
        </w:rPr>
        <w:t xml:space="preserve">College of Policing (2021) </w:t>
      </w:r>
      <w:r w:rsidRPr="00D91F6A">
        <w:rPr>
          <w:rFonts w:asciiTheme="minorHAnsi" w:hAnsiTheme="minorHAnsi" w:cstheme="minorHAnsi"/>
          <w:i/>
          <w:iCs/>
          <w:color w:val="333333"/>
          <w:shd w:val="clear" w:color="auto" w:fill="FBFBFB"/>
        </w:rPr>
        <w:t xml:space="preserve">People and Places – How resources can be targeted. </w:t>
      </w:r>
      <w:r w:rsidRPr="00D91F6A">
        <w:rPr>
          <w:rFonts w:asciiTheme="minorHAnsi" w:hAnsiTheme="minorHAnsi" w:cstheme="minorHAnsi"/>
          <w:color w:val="333333"/>
          <w:shd w:val="clear" w:color="auto" w:fill="FBFBFB"/>
        </w:rPr>
        <w:t xml:space="preserve">Available at: </w:t>
      </w:r>
      <w:hyperlink r:id="rId9" w:history="1">
        <w:r w:rsidRPr="00D91F6A">
          <w:rPr>
            <w:rStyle w:val="Hyperlink"/>
            <w:rFonts w:asciiTheme="minorHAnsi" w:hAnsiTheme="minorHAnsi" w:cstheme="minorHAnsi"/>
            <w:shd w:val="clear" w:color="auto" w:fill="FBFBFB"/>
          </w:rPr>
          <w:t>https://www.college.police.uk/research/what-works-policing-reduce-crime/people-and-places</w:t>
        </w:r>
      </w:hyperlink>
      <w:r w:rsidRPr="00D91F6A">
        <w:rPr>
          <w:rFonts w:asciiTheme="minorHAnsi" w:hAnsiTheme="minorHAnsi" w:cstheme="minorHAnsi"/>
          <w:color w:val="333333"/>
          <w:shd w:val="clear" w:color="auto" w:fill="FBFBFB"/>
        </w:rPr>
        <w:t xml:space="preserve"> (Accessed: 4 November 2023).</w:t>
      </w:r>
    </w:p>
    <w:p w14:paraId="00E64DB2" w14:textId="44A66FB9" w:rsidR="005142CE" w:rsidRPr="00D91F6A" w:rsidRDefault="005142CE" w:rsidP="00D91F6A">
      <w:pPr>
        <w:spacing w:line="276" w:lineRule="auto"/>
        <w:rPr>
          <w:rFonts w:cstheme="minorHAnsi"/>
        </w:rPr>
      </w:pPr>
      <w:r w:rsidRPr="00D91F6A">
        <w:rPr>
          <w:rFonts w:cstheme="minorHAnsi"/>
        </w:rPr>
        <w:t xml:space="preserve">College of Policing (2020) </w:t>
      </w:r>
      <w:r w:rsidRPr="00D91F6A">
        <w:rPr>
          <w:rFonts w:cstheme="minorHAnsi"/>
          <w:i/>
          <w:iCs/>
        </w:rPr>
        <w:t>Problem Oriented Policing</w:t>
      </w:r>
      <w:r w:rsidRPr="00D91F6A">
        <w:rPr>
          <w:rFonts w:cstheme="minorHAnsi"/>
        </w:rPr>
        <w:t xml:space="preserve">. Available at: </w:t>
      </w:r>
      <w:hyperlink r:id="rId10" w:history="1">
        <w:r w:rsidRPr="00D91F6A">
          <w:rPr>
            <w:rStyle w:val="Hyperlink"/>
            <w:rFonts w:cstheme="minorHAnsi"/>
          </w:rPr>
          <w:t>https://www.college.police.uk/research/crime-reduction-toolkit/problem-oriented-policing#:~:text=Problem%2Doriented%20policing%20(POP),development%20of%20a%20tailored%20response</w:t>
        </w:r>
      </w:hyperlink>
      <w:r w:rsidRPr="00D91F6A">
        <w:rPr>
          <w:rFonts w:cstheme="minorHAnsi"/>
        </w:rPr>
        <w:t xml:space="preserve"> (Accessed: 5 November 2023)</w:t>
      </w:r>
    </w:p>
    <w:p w14:paraId="6BD35D4C" w14:textId="2457D2C9" w:rsidR="005142CE" w:rsidRPr="00D91F6A" w:rsidRDefault="005142CE" w:rsidP="00D91F6A">
      <w:pPr>
        <w:pStyle w:val="NormalWeb"/>
        <w:spacing w:line="276" w:lineRule="auto"/>
        <w:rPr>
          <w:rFonts w:asciiTheme="minorHAnsi" w:hAnsiTheme="minorHAnsi" w:cstheme="minorHAnsi"/>
          <w:color w:val="333333"/>
          <w:shd w:val="clear" w:color="auto" w:fill="FBFBFB"/>
        </w:rPr>
      </w:pPr>
      <w:r w:rsidRPr="00D91F6A">
        <w:rPr>
          <w:rFonts w:asciiTheme="minorHAnsi" w:hAnsiTheme="minorHAnsi" w:cstheme="minorHAnsi"/>
          <w:color w:val="000000" w:themeColor="text1"/>
          <w:shd w:val="clear" w:color="auto" w:fill="FBFBFB"/>
        </w:rPr>
        <w:t xml:space="preserve">Crime Victims Helpline (no date) </w:t>
      </w:r>
      <w:r w:rsidRPr="00D91F6A">
        <w:rPr>
          <w:rFonts w:asciiTheme="minorHAnsi" w:hAnsiTheme="minorHAnsi" w:cstheme="minorHAnsi"/>
          <w:i/>
          <w:iCs/>
          <w:color w:val="000000" w:themeColor="text1"/>
          <w:shd w:val="clear" w:color="auto" w:fill="FBFBFB"/>
        </w:rPr>
        <w:t>After a Crime – The Effects of Crime</w:t>
      </w:r>
      <w:r w:rsidRPr="00D91F6A">
        <w:rPr>
          <w:rFonts w:asciiTheme="minorHAnsi" w:hAnsiTheme="minorHAnsi" w:cstheme="minorHAnsi"/>
          <w:color w:val="000000" w:themeColor="text1"/>
          <w:shd w:val="clear" w:color="auto" w:fill="FBFBFB"/>
        </w:rPr>
        <w:t xml:space="preserve">. Available at: </w:t>
      </w:r>
      <w:hyperlink r:id="rId11" w:history="1">
        <w:r w:rsidRPr="00D91F6A">
          <w:rPr>
            <w:rStyle w:val="Hyperlink"/>
            <w:rFonts w:asciiTheme="minorHAnsi" w:hAnsiTheme="minorHAnsi" w:cstheme="minorHAnsi"/>
            <w:shd w:val="clear" w:color="auto" w:fill="FBFBFB"/>
          </w:rPr>
          <w:t>https://www.crimevictimshelpline.ie/after-a-crime/the-effects-of-crime</w:t>
        </w:r>
      </w:hyperlink>
      <w:r w:rsidRPr="00D91F6A">
        <w:rPr>
          <w:rFonts w:asciiTheme="minorHAnsi" w:hAnsiTheme="minorHAnsi" w:cstheme="minorHAnsi"/>
          <w:color w:val="333333"/>
          <w:shd w:val="clear" w:color="auto" w:fill="FBFBFB"/>
        </w:rPr>
        <w:t xml:space="preserve"> (Accessed: 30 October)</w:t>
      </w:r>
    </w:p>
    <w:p w14:paraId="3E0C5783" w14:textId="06959A70" w:rsidR="005142CE" w:rsidRPr="00D91F6A" w:rsidRDefault="005142CE" w:rsidP="00D91F6A">
      <w:pPr>
        <w:spacing w:line="276" w:lineRule="auto"/>
        <w:rPr>
          <w:rFonts w:cstheme="minorHAnsi"/>
        </w:rPr>
      </w:pPr>
      <w:r w:rsidRPr="00D91F6A">
        <w:rPr>
          <w:rFonts w:cstheme="minorHAnsi"/>
        </w:rPr>
        <w:t xml:space="preserve">Eck, J (1987) </w:t>
      </w:r>
      <w:r w:rsidRPr="00D91F6A">
        <w:rPr>
          <w:rFonts w:cstheme="minorHAnsi"/>
          <w:i/>
          <w:iCs/>
        </w:rPr>
        <w:t>Problem-solving: Problem-oriented Policing in Newport News</w:t>
      </w:r>
      <w:r w:rsidRPr="00D91F6A">
        <w:rPr>
          <w:rFonts w:cstheme="minorHAnsi"/>
        </w:rPr>
        <w:t xml:space="preserve">. University of Georgia Libraries: U.S. Department of Justice, National Institute of Justice. </w:t>
      </w:r>
    </w:p>
    <w:p w14:paraId="57A42696" w14:textId="77777777" w:rsidR="005142CE" w:rsidRPr="00D91F6A" w:rsidRDefault="005142CE" w:rsidP="00D91F6A">
      <w:pPr>
        <w:spacing w:line="276" w:lineRule="auto"/>
        <w:rPr>
          <w:rFonts w:cstheme="minorHAnsi"/>
        </w:rPr>
      </w:pPr>
    </w:p>
    <w:p w14:paraId="5E7106BA" w14:textId="77777777" w:rsidR="005142CE" w:rsidRPr="00D91F6A" w:rsidRDefault="005142CE" w:rsidP="00D91F6A">
      <w:pPr>
        <w:spacing w:line="276" w:lineRule="auto"/>
        <w:rPr>
          <w:rFonts w:cstheme="minorHAnsi"/>
        </w:rPr>
      </w:pPr>
      <w:r w:rsidRPr="00D91F6A">
        <w:rPr>
          <w:rFonts w:cstheme="minorHAnsi"/>
        </w:rPr>
        <w:t xml:space="preserve">GOV UK (2023) </w:t>
      </w:r>
      <w:r w:rsidRPr="00D91F6A">
        <w:rPr>
          <w:rFonts w:cstheme="minorHAnsi"/>
          <w:i/>
          <w:iCs/>
        </w:rPr>
        <w:t>Anti-social behaviour: impacts on individuals and local communities</w:t>
      </w:r>
      <w:r w:rsidRPr="00D91F6A">
        <w:rPr>
          <w:rFonts w:cstheme="minorHAnsi"/>
        </w:rPr>
        <w:t xml:space="preserve">. Available at: </w:t>
      </w:r>
      <w:hyperlink r:id="rId12" w:history="1">
        <w:r w:rsidRPr="00D91F6A">
          <w:rPr>
            <w:rStyle w:val="Hyperlink"/>
            <w:rFonts w:cstheme="minorHAnsi"/>
          </w:rPr>
          <w:t>https://www.gov.uk/government/publications/impacts-of-anti-social-behaviour-on-individuals-and-communities/anti-social-behaviour-impacts-on-individuals-and-local-communities</w:t>
        </w:r>
      </w:hyperlink>
      <w:r w:rsidRPr="00D91F6A">
        <w:rPr>
          <w:rFonts w:cstheme="minorHAnsi"/>
        </w:rPr>
        <w:t xml:space="preserve"> (Accessed: 24 October 2023) </w:t>
      </w:r>
    </w:p>
    <w:p w14:paraId="500FB1CF" w14:textId="7CEC5AC0" w:rsidR="005142CE" w:rsidRPr="00D91F6A" w:rsidRDefault="005142CE" w:rsidP="00D91F6A">
      <w:pPr>
        <w:pStyle w:val="NormalWeb"/>
        <w:spacing w:line="276" w:lineRule="auto"/>
        <w:rPr>
          <w:rFonts w:asciiTheme="minorHAnsi" w:hAnsiTheme="minorHAnsi" w:cstheme="minorHAnsi"/>
        </w:rPr>
      </w:pPr>
      <w:r w:rsidRPr="00D91F6A">
        <w:rPr>
          <w:rFonts w:asciiTheme="minorHAnsi" w:hAnsiTheme="minorHAnsi" w:cstheme="minorHAnsi"/>
        </w:rPr>
        <w:lastRenderedPageBreak/>
        <w:t xml:space="preserve">Heap, Vicky (2021). </w:t>
      </w:r>
      <w:r w:rsidRPr="00D91F6A">
        <w:rPr>
          <w:rFonts w:asciiTheme="minorHAnsi" w:hAnsiTheme="minorHAnsi" w:cstheme="minorHAnsi"/>
          <w:i/>
          <w:iCs/>
        </w:rPr>
        <w:t>Exploring the effects of long-term anti-social behaviour victimisation. International Review of Victimology</w:t>
      </w:r>
      <w:r w:rsidRPr="00D91F6A">
        <w:rPr>
          <w:rFonts w:asciiTheme="minorHAnsi" w:hAnsiTheme="minorHAnsi" w:cstheme="minorHAnsi"/>
        </w:rPr>
        <w:t xml:space="preserve">, 27 (2), 227-242.  </w:t>
      </w:r>
    </w:p>
    <w:p w14:paraId="45F0C21E" w14:textId="68B78620" w:rsidR="005142CE" w:rsidRPr="00D91F6A" w:rsidRDefault="005142CE" w:rsidP="00D91F6A">
      <w:pPr>
        <w:spacing w:line="276" w:lineRule="auto"/>
        <w:rPr>
          <w:rFonts w:cstheme="minorHAnsi"/>
        </w:rPr>
      </w:pPr>
      <w:r w:rsidRPr="00D91F6A">
        <w:rPr>
          <w:rFonts w:cstheme="minorHAnsi"/>
        </w:rPr>
        <w:t xml:space="preserve">Heap, Vicky (2016) </w:t>
      </w:r>
      <w:r w:rsidRPr="00D91F6A">
        <w:rPr>
          <w:rFonts w:cstheme="minorHAnsi"/>
          <w:i/>
          <w:iCs/>
        </w:rPr>
        <w:t>Putting victims first? : a critique of Coalition anti-social behaviour policy.</w:t>
      </w:r>
      <w:r w:rsidRPr="00D91F6A">
        <w:rPr>
          <w:rFonts w:cstheme="minorHAnsi"/>
        </w:rPr>
        <w:t xml:space="preserve"> Critical Social Policy, 36(2) pp. 246-264.</w:t>
      </w:r>
    </w:p>
    <w:p w14:paraId="43615BFC" w14:textId="77777777" w:rsidR="005142CE" w:rsidRPr="00D91F6A" w:rsidRDefault="005142CE" w:rsidP="00D91F6A">
      <w:pPr>
        <w:spacing w:line="276" w:lineRule="auto"/>
        <w:rPr>
          <w:rFonts w:cstheme="minorHAnsi"/>
        </w:rPr>
      </w:pPr>
    </w:p>
    <w:p w14:paraId="18E02FE2" w14:textId="77777777" w:rsidR="00D91F6A" w:rsidRPr="00D91F6A" w:rsidRDefault="00D91F6A" w:rsidP="00D91F6A">
      <w:pPr>
        <w:spacing w:line="276" w:lineRule="auto"/>
        <w:rPr>
          <w:rFonts w:cstheme="minorHAnsi"/>
        </w:rPr>
      </w:pPr>
      <w:r w:rsidRPr="00D91F6A">
        <w:rPr>
          <w:rFonts w:cstheme="minorHAnsi"/>
        </w:rPr>
        <w:t xml:space="preserve">Higgins (2018) </w:t>
      </w:r>
      <w:r w:rsidRPr="00D91F6A">
        <w:rPr>
          <w:rFonts w:cstheme="minorHAnsi"/>
          <w:i/>
          <w:iCs/>
        </w:rPr>
        <w:t>The Future of Neighbourhood Policing</w:t>
      </w:r>
      <w:r w:rsidRPr="00D91F6A">
        <w:rPr>
          <w:rFonts w:cstheme="minorHAnsi"/>
        </w:rPr>
        <w:t xml:space="preserve">. Available at: </w:t>
      </w:r>
      <w:hyperlink r:id="rId13" w:history="1">
        <w:r w:rsidRPr="00D91F6A">
          <w:rPr>
            <w:rStyle w:val="Hyperlink"/>
            <w:rFonts w:cstheme="minorHAnsi"/>
          </w:rPr>
          <w:t>https://www.police-foundation.org.uk/publication/future-neighbourhood-policing/</w:t>
        </w:r>
      </w:hyperlink>
      <w:r w:rsidRPr="00D91F6A">
        <w:rPr>
          <w:rFonts w:cstheme="minorHAnsi"/>
        </w:rPr>
        <w:t xml:space="preserve"> (Accessed: 7 November 2023)</w:t>
      </w:r>
    </w:p>
    <w:p w14:paraId="76F7BB7A" w14:textId="77777777" w:rsidR="00D91F6A" w:rsidRPr="00D91F6A" w:rsidRDefault="00D91F6A" w:rsidP="00D91F6A">
      <w:pPr>
        <w:spacing w:line="276" w:lineRule="auto"/>
        <w:rPr>
          <w:rFonts w:cstheme="minorHAnsi"/>
        </w:rPr>
      </w:pPr>
    </w:p>
    <w:p w14:paraId="319907C5" w14:textId="77777777" w:rsidR="005142CE" w:rsidRPr="00D91F6A" w:rsidRDefault="005142CE" w:rsidP="00D91F6A">
      <w:pPr>
        <w:spacing w:line="276" w:lineRule="auto"/>
        <w:rPr>
          <w:rFonts w:cstheme="minorHAnsi"/>
          <w:color w:val="333333"/>
          <w:shd w:val="clear" w:color="auto" w:fill="FBFBFB"/>
        </w:rPr>
      </w:pPr>
      <w:r w:rsidRPr="00D91F6A">
        <w:rPr>
          <w:rFonts w:cstheme="minorHAnsi"/>
          <w:color w:val="333333"/>
          <w:shd w:val="clear" w:color="auto" w:fill="FBFBFB"/>
        </w:rPr>
        <w:t xml:space="preserve">Independent Police Complaints Commission (2009) </w:t>
      </w:r>
      <w:r w:rsidRPr="00D91F6A">
        <w:rPr>
          <w:rFonts w:cstheme="minorHAnsi"/>
          <w:i/>
          <w:iCs/>
          <w:color w:val="333333"/>
          <w:shd w:val="clear" w:color="auto" w:fill="FBFBFB"/>
        </w:rPr>
        <w:t>Report Into the Contact Between Fiona Pilkington and Leicestershire Constabulary 2004-2007</w:t>
      </w:r>
      <w:r w:rsidRPr="00D91F6A">
        <w:rPr>
          <w:rFonts w:cstheme="minorHAnsi"/>
          <w:color w:val="333333"/>
          <w:shd w:val="clear" w:color="auto" w:fill="FBFBFB"/>
        </w:rPr>
        <w:t xml:space="preserve">. Available at: </w:t>
      </w:r>
      <w:hyperlink r:id="rId14" w:history="1">
        <w:r w:rsidRPr="00D91F6A">
          <w:rPr>
            <w:rStyle w:val="Hyperlink"/>
            <w:rFonts w:cstheme="minorHAnsi"/>
            <w:shd w:val="clear" w:color="auto" w:fill="FBFBFB"/>
          </w:rPr>
          <w:t>https://www.report-it.org.uk/files/ipcc_report-fiona-pilkington-leicestershire.pdf</w:t>
        </w:r>
      </w:hyperlink>
      <w:r w:rsidRPr="00D91F6A">
        <w:rPr>
          <w:rFonts w:cstheme="minorHAnsi"/>
          <w:color w:val="333333"/>
          <w:shd w:val="clear" w:color="auto" w:fill="FBFBFB"/>
        </w:rPr>
        <w:t xml:space="preserve"> (Accessed: 3 November 2023)</w:t>
      </w:r>
    </w:p>
    <w:p w14:paraId="0C848C76" w14:textId="77777777" w:rsidR="005142CE" w:rsidRPr="00D91F6A" w:rsidRDefault="005142CE" w:rsidP="00D91F6A">
      <w:pPr>
        <w:spacing w:line="276" w:lineRule="auto"/>
        <w:rPr>
          <w:rFonts w:cstheme="minorHAnsi"/>
        </w:rPr>
      </w:pPr>
    </w:p>
    <w:p w14:paraId="540D3EF1" w14:textId="77777777" w:rsidR="005142CE" w:rsidRPr="00D91F6A" w:rsidRDefault="005142CE" w:rsidP="00D91F6A">
      <w:pPr>
        <w:spacing w:line="276" w:lineRule="auto"/>
        <w:rPr>
          <w:rFonts w:cstheme="minorHAnsi"/>
        </w:rPr>
      </w:pPr>
      <w:r w:rsidRPr="00D91F6A">
        <w:rPr>
          <w:rFonts w:cstheme="minorHAnsi"/>
        </w:rPr>
        <w:t xml:space="preserve">National Business Crime Centre (no date) </w:t>
      </w:r>
      <w:r w:rsidRPr="00D91F6A">
        <w:rPr>
          <w:rFonts w:cstheme="minorHAnsi"/>
          <w:i/>
          <w:iCs/>
        </w:rPr>
        <w:t>Tackling Anti-social Behaviour</w:t>
      </w:r>
      <w:r w:rsidRPr="00D91F6A">
        <w:rPr>
          <w:rFonts w:cstheme="minorHAnsi"/>
        </w:rPr>
        <w:t xml:space="preserve">. Available at: </w:t>
      </w:r>
      <w:hyperlink r:id="rId15" w:history="1">
        <w:r w:rsidRPr="00D91F6A">
          <w:rPr>
            <w:rStyle w:val="Hyperlink"/>
            <w:rFonts w:cstheme="minorHAnsi"/>
          </w:rPr>
          <w:t>https://nbcc.police.uk/crime-prevention/anti-social-behaviour/tackling-asb</w:t>
        </w:r>
      </w:hyperlink>
      <w:r w:rsidRPr="00D91F6A">
        <w:rPr>
          <w:rFonts w:cstheme="minorHAnsi"/>
        </w:rPr>
        <w:t xml:space="preserve"> (Accessed: 5 November 2023)</w:t>
      </w:r>
    </w:p>
    <w:p w14:paraId="35C9746F" w14:textId="77777777" w:rsidR="005142CE" w:rsidRPr="00D91F6A" w:rsidRDefault="005142CE" w:rsidP="00D91F6A">
      <w:pPr>
        <w:spacing w:line="276" w:lineRule="auto"/>
        <w:rPr>
          <w:rFonts w:cstheme="minorHAnsi"/>
          <w:color w:val="333333"/>
          <w:shd w:val="clear" w:color="auto" w:fill="FBFBFB"/>
        </w:rPr>
      </w:pPr>
    </w:p>
    <w:p w14:paraId="0D25EEBC" w14:textId="65D67797" w:rsidR="008A7ABB" w:rsidRPr="00D91F6A" w:rsidRDefault="0056668B" w:rsidP="00D91F6A">
      <w:pPr>
        <w:spacing w:line="276" w:lineRule="auto"/>
        <w:rPr>
          <w:rFonts w:cstheme="minorHAnsi"/>
          <w:color w:val="333333"/>
          <w:shd w:val="clear" w:color="auto" w:fill="FBFBFB"/>
        </w:rPr>
      </w:pPr>
      <w:r w:rsidRPr="00D91F6A">
        <w:rPr>
          <w:rFonts w:cstheme="minorHAnsi"/>
          <w:color w:val="333333"/>
          <w:shd w:val="clear" w:color="auto" w:fill="FBFBFB"/>
        </w:rPr>
        <w:t xml:space="preserve">Paterson, J, Walters, M.A, Brown, R, Fearn, H. (2018) </w:t>
      </w:r>
      <w:r w:rsidRPr="00D91F6A">
        <w:rPr>
          <w:rFonts w:cstheme="minorHAnsi"/>
          <w:i/>
          <w:iCs/>
          <w:color w:val="333333"/>
          <w:shd w:val="clear" w:color="auto" w:fill="FBFBFB"/>
        </w:rPr>
        <w:t>The Sussex Hate Crime Project</w:t>
      </w:r>
      <w:r w:rsidRPr="00D91F6A">
        <w:rPr>
          <w:rFonts w:cstheme="minorHAnsi"/>
          <w:color w:val="333333"/>
          <w:shd w:val="clear" w:color="auto" w:fill="FBFBFB"/>
        </w:rPr>
        <w:t xml:space="preserve">. Available at: </w:t>
      </w:r>
      <w:hyperlink r:id="rId16" w:history="1">
        <w:r w:rsidRPr="00D91F6A">
          <w:rPr>
            <w:rStyle w:val="Hyperlink"/>
            <w:rFonts w:cstheme="minorHAnsi"/>
            <w:shd w:val="clear" w:color="auto" w:fill="FBFBFB"/>
          </w:rPr>
          <w:t>https://www.sussex.ac.uk/webteam/gateway/file.php?nam</w:t>
        </w:r>
        <w:r w:rsidRPr="00D91F6A">
          <w:rPr>
            <w:rStyle w:val="Hyperlink"/>
            <w:rFonts w:cstheme="minorHAnsi"/>
            <w:shd w:val="clear" w:color="auto" w:fill="FBFBFB"/>
          </w:rPr>
          <w:t>e</w:t>
        </w:r>
        <w:r w:rsidRPr="00D91F6A">
          <w:rPr>
            <w:rStyle w:val="Hyperlink"/>
            <w:rFonts w:cstheme="minorHAnsi"/>
            <w:shd w:val="clear" w:color="auto" w:fill="FBFBFB"/>
          </w:rPr>
          <w:t>=sussex-hate-crime-project-report.pdf&amp;site=430</w:t>
        </w:r>
      </w:hyperlink>
      <w:r w:rsidRPr="00D91F6A">
        <w:rPr>
          <w:rFonts w:cstheme="minorHAnsi"/>
          <w:color w:val="333333"/>
          <w:shd w:val="clear" w:color="auto" w:fill="FBFBFB"/>
        </w:rPr>
        <w:t xml:space="preserve"> (Accessed: 30 October 2023) </w:t>
      </w:r>
    </w:p>
    <w:p w14:paraId="6BC754D1" w14:textId="77777777" w:rsidR="005142CE" w:rsidRPr="00D91F6A" w:rsidRDefault="005142CE" w:rsidP="00D91F6A">
      <w:pPr>
        <w:spacing w:line="276" w:lineRule="auto"/>
        <w:rPr>
          <w:rFonts w:cstheme="minorHAnsi"/>
          <w:color w:val="333333"/>
          <w:shd w:val="clear" w:color="auto" w:fill="FBFBFB"/>
        </w:rPr>
      </w:pPr>
    </w:p>
    <w:p w14:paraId="7DC6630F" w14:textId="590DB3CF" w:rsidR="005142CE" w:rsidRPr="00D91F6A" w:rsidRDefault="005142CE" w:rsidP="00D91F6A">
      <w:pPr>
        <w:spacing w:line="276" w:lineRule="auto"/>
        <w:rPr>
          <w:rFonts w:cstheme="minorHAnsi"/>
        </w:rPr>
      </w:pPr>
      <w:r w:rsidRPr="00D91F6A">
        <w:rPr>
          <w:rFonts w:cstheme="minorHAnsi"/>
          <w:i/>
          <w:iCs/>
        </w:rPr>
        <w:t>Police and Criminal Evidence Act 1984</w:t>
      </w:r>
      <w:r w:rsidRPr="00D91F6A">
        <w:rPr>
          <w:rFonts w:cstheme="minorHAnsi"/>
        </w:rPr>
        <w:t xml:space="preserve">. United Kingdom. Available at: </w:t>
      </w:r>
      <w:hyperlink r:id="rId17" w:history="1">
        <w:r w:rsidRPr="00D91F6A">
          <w:rPr>
            <w:rStyle w:val="Hyperlink"/>
            <w:rFonts w:cstheme="minorHAnsi"/>
          </w:rPr>
          <w:t>https://www.legislation.gov.uk/ukpga/1984/60/contents</w:t>
        </w:r>
      </w:hyperlink>
      <w:r w:rsidRPr="00D91F6A">
        <w:rPr>
          <w:rFonts w:cstheme="minorHAnsi"/>
        </w:rPr>
        <w:t xml:space="preserve"> (Accessed: 30 October 2023) </w:t>
      </w:r>
    </w:p>
    <w:p w14:paraId="290C25ED" w14:textId="7584A934" w:rsidR="005142CE" w:rsidRPr="00D91F6A" w:rsidRDefault="005142CE" w:rsidP="00D91F6A">
      <w:pPr>
        <w:pStyle w:val="NormalWeb"/>
        <w:spacing w:line="276" w:lineRule="auto"/>
        <w:rPr>
          <w:rFonts w:asciiTheme="minorHAnsi" w:hAnsiTheme="minorHAnsi" w:cstheme="minorHAnsi"/>
        </w:rPr>
      </w:pPr>
      <w:proofErr w:type="spellStart"/>
      <w:r w:rsidRPr="00D91F6A">
        <w:rPr>
          <w:rFonts w:asciiTheme="minorHAnsi" w:hAnsiTheme="minorHAnsi" w:cstheme="minorHAnsi"/>
        </w:rPr>
        <w:t>Reemst</w:t>
      </w:r>
      <w:proofErr w:type="spellEnd"/>
      <w:r w:rsidRPr="00D91F6A">
        <w:rPr>
          <w:rFonts w:asciiTheme="minorHAnsi" w:hAnsiTheme="minorHAnsi" w:cstheme="minorHAnsi"/>
        </w:rPr>
        <w:t xml:space="preserve">, L. (2013) </w:t>
      </w:r>
      <w:r w:rsidRPr="00D91F6A">
        <w:rPr>
          <w:rFonts w:asciiTheme="minorHAnsi" w:hAnsiTheme="minorHAnsi" w:cstheme="minorHAnsi"/>
          <w:i/>
          <w:iCs/>
        </w:rPr>
        <w:t xml:space="preserve">Risk factors for repeat victimization. </w:t>
      </w:r>
      <w:r w:rsidRPr="00D91F6A">
        <w:rPr>
          <w:rFonts w:asciiTheme="minorHAnsi" w:hAnsiTheme="minorHAnsi" w:cstheme="minorHAnsi"/>
        </w:rPr>
        <w:t xml:space="preserve">Available at: </w:t>
      </w:r>
      <w:hyperlink r:id="rId18" w:history="1">
        <w:r w:rsidRPr="00D91F6A">
          <w:rPr>
            <w:rStyle w:val="Hyperlink"/>
            <w:rFonts w:asciiTheme="minorHAnsi" w:hAnsiTheme="minorHAnsi" w:cstheme="minorHAnsi"/>
          </w:rPr>
          <w:t>https://repository.wodc.nl/bitstream/handle/20.500.12832/2038/2318a-summary_tcm28-72966.pdf?sequence=3&amp;isAllowed=y</w:t>
        </w:r>
      </w:hyperlink>
      <w:r w:rsidRPr="00D91F6A">
        <w:rPr>
          <w:rFonts w:asciiTheme="minorHAnsi" w:hAnsiTheme="minorHAnsi" w:cstheme="minorHAnsi"/>
        </w:rPr>
        <w:t xml:space="preserve"> (Accessed: 6 November 2023) </w:t>
      </w:r>
    </w:p>
    <w:p w14:paraId="60E1D2DE" w14:textId="3854F532" w:rsidR="005142CE" w:rsidRPr="00D91F6A" w:rsidRDefault="005142CE" w:rsidP="00D91F6A">
      <w:pPr>
        <w:spacing w:line="276" w:lineRule="auto"/>
        <w:rPr>
          <w:rFonts w:cstheme="minorHAnsi"/>
        </w:rPr>
      </w:pPr>
      <w:r w:rsidRPr="00D91F6A">
        <w:rPr>
          <w:rFonts w:cstheme="minorHAnsi"/>
        </w:rPr>
        <w:t xml:space="preserve">Sidebottom, A et al (2019) </w:t>
      </w:r>
      <w:r w:rsidRPr="00D91F6A">
        <w:rPr>
          <w:rFonts w:cstheme="minorHAnsi"/>
          <w:i/>
          <w:iCs/>
        </w:rPr>
        <w:t>Problem-Oriented Policing in England and Wales.</w:t>
      </w:r>
      <w:r w:rsidRPr="00D91F6A">
        <w:rPr>
          <w:rFonts w:cstheme="minorHAnsi"/>
        </w:rPr>
        <w:t xml:space="preserve"> Available at: </w:t>
      </w:r>
      <w:hyperlink r:id="rId19" w:history="1">
        <w:r w:rsidRPr="00D91F6A">
          <w:rPr>
            <w:rStyle w:val="Hyperlink"/>
            <w:rFonts w:cstheme="minorHAnsi"/>
          </w:rPr>
          <w:t>https://library.college.police.uk/docs/Problem-Oriented-Policing-in-England-and-Wales-2019.pdf</w:t>
        </w:r>
      </w:hyperlink>
      <w:r w:rsidRPr="00D91F6A">
        <w:rPr>
          <w:rFonts w:cstheme="minorHAnsi"/>
        </w:rPr>
        <w:t xml:space="preserve"> (Accessed: 6 November 2023)</w:t>
      </w:r>
    </w:p>
    <w:p w14:paraId="41CC4B3D" w14:textId="77777777" w:rsidR="005142CE" w:rsidRPr="00D91F6A" w:rsidRDefault="005142CE" w:rsidP="00D91F6A">
      <w:pPr>
        <w:spacing w:line="276" w:lineRule="auto"/>
        <w:rPr>
          <w:rFonts w:cstheme="minorHAnsi"/>
        </w:rPr>
      </w:pPr>
    </w:p>
    <w:p w14:paraId="45B25374" w14:textId="77777777" w:rsidR="005142CE" w:rsidRPr="00D91F6A" w:rsidRDefault="005142CE" w:rsidP="00D91F6A">
      <w:pPr>
        <w:spacing w:line="276" w:lineRule="auto"/>
        <w:rPr>
          <w:rFonts w:cstheme="minorHAnsi"/>
        </w:rPr>
      </w:pPr>
      <w:r w:rsidRPr="00D91F6A">
        <w:rPr>
          <w:rFonts w:cstheme="minorHAnsi"/>
        </w:rPr>
        <w:t xml:space="preserve">South Wales Police (2023) </w:t>
      </w:r>
      <w:r w:rsidRPr="00D91F6A">
        <w:rPr>
          <w:rFonts w:cstheme="minorHAnsi"/>
          <w:i/>
          <w:iCs/>
        </w:rPr>
        <w:t>Residents urged to help shape policing in their communities</w:t>
      </w:r>
      <w:r w:rsidRPr="00D91F6A">
        <w:rPr>
          <w:rFonts w:cstheme="minorHAnsi"/>
        </w:rPr>
        <w:t xml:space="preserve">. Available at: </w:t>
      </w:r>
      <w:hyperlink r:id="rId20" w:history="1">
        <w:r w:rsidRPr="00D91F6A">
          <w:rPr>
            <w:rStyle w:val="Hyperlink"/>
            <w:rFonts w:cstheme="minorHAnsi"/>
          </w:rPr>
          <w:t>https://www.south-wales.police.uk/news/south-wales/news/2023/mai-may/residents-urged-to-help-shape-policing-in-their-communities/</w:t>
        </w:r>
      </w:hyperlink>
      <w:r w:rsidRPr="00D91F6A">
        <w:rPr>
          <w:rFonts w:cstheme="minorHAnsi"/>
        </w:rPr>
        <w:t xml:space="preserve"> (Accessed: 4 November 2023)</w:t>
      </w:r>
    </w:p>
    <w:p w14:paraId="0D50AA5C" w14:textId="47191A20" w:rsidR="005142CE" w:rsidRPr="00D91F6A" w:rsidRDefault="005142CE" w:rsidP="00D91F6A">
      <w:pPr>
        <w:pStyle w:val="NormalWeb"/>
        <w:spacing w:line="276" w:lineRule="auto"/>
        <w:rPr>
          <w:rFonts w:asciiTheme="minorHAnsi" w:hAnsiTheme="minorHAnsi" w:cstheme="minorHAnsi"/>
          <w:color w:val="000000" w:themeColor="text1"/>
          <w:shd w:val="clear" w:color="auto" w:fill="FBFBFB"/>
        </w:rPr>
      </w:pPr>
      <w:r w:rsidRPr="00D91F6A">
        <w:rPr>
          <w:rFonts w:asciiTheme="minorHAnsi" w:hAnsiTheme="minorHAnsi" w:cstheme="minorHAnsi"/>
          <w:color w:val="000000" w:themeColor="text1"/>
          <w:shd w:val="clear" w:color="auto" w:fill="FBFBFB"/>
        </w:rPr>
        <w:t>Taylor, R.B. (1995) 'The Impact of Crime on Communities',</w:t>
      </w:r>
      <w:r w:rsidRPr="00D91F6A">
        <w:rPr>
          <w:rStyle w:val="apple-converted-space"/>
          <w:rFonts w:asciiTheme="minorHAnsi" w:hAnsiTheme="minorHAnsi" w:cstheme="minorHAnsi"/>
          <w:color w:val="000000" w:themeColor="text1"/>
          <w:shd w:val="clear" w:color="auto" w:fill="FBFBFB"/>
        </w:rPr>
        <w:t> </w:t>
      </w:r>
      <w:r w:rsidRPr="00D91F6A">
        <w:rPr>
          <w:rFonts w:asciiTheme="minorHAnsi" w:hAnsiTheme="minorHAnsi" w:cstheme="minorHAnsi"/>
          <w:i/>
          <w:iCs/>
          <w:color w:val="000000" w:themeColor="text1"/>
        </w:rPr>
        <w:t>Annals of the American Academy of Political and Social Science</w:t>
      </w:r>
      <w:r w:rsidRPr="00D91F6A">
        <w:rPr>
          <w:rFonts w:asciiTheme="minorHAnsi" w:hAnsiTheme="minorHAnsi" w:cstheme="minorHAnsi"/>
          <w:color w:val="000000" w:themeColor="text1"/>
          <w:shd w:val="clear" w:color="auto" w:fill="FBFBFB"/>
        </w:rPr>
        <w:t>, 539, pp. 28-45.</w:t>
      </w:r>
    </w:p>
    <w:p w14:paraId="273F766D" w14:textId="77777777" w:rsidR="00D91F6A" w:rsidRPr="00D91F6A" w:rsidRDefault="00D91F6A" w:rsidP="00D91F6A">
      <w:pPr>
        <w:spacing w:line="276" w:lineRule="auto"/>
        <w:rPr>
          <w:rFonts w:cstheme="minorHAnsi"/>
        </w:rPr>
      </w:pPr>
      <w:r w:rsidRPr="00D91F6A">
        <w:rPr>
          <w:rFonts w:cstheme="minorHAnsi"/>
        </w:rPr>
        <w:lastRenderedPageBreak/>
        <w:t xml:space="preserve">The Independent (2017) </w:t>
      </w:r>
      <w:r w:rsidRPr="00D91F6A">
        <w:rPr>
          <w:rFonts w:cstheme="minorHAnsi"/>
          <w:i/>
          <w:iCs/>
        </w:rPr>
        <w:t xml:space="preserve">Ten years on after the death of Fiona Pilkington, have the police got better at tackling hate crime? </w:t>
      </w:r>
      <w:r w:rsidRPr="00D91F6A">
        <w:rPr>
          <w:rFonts w:cstheme="minorHAnsi"/>
        </w:rPr>
        <w:t xml:space="preserve">Available at: </w:t>
      </w:r>
      <w:hyperlink r:id="rId21" w:history="1">
        <w:r w:rsidRPr="00D91F6A">
          <w:rPr>
            <w:rStyle w:val="Hyperlink"/>
            <w:rFonts w:cstheme="minorHAnsi"/>
          </w:rPr>
          <w:t>https://www.independent.co.uk/news/long_reads/fiona-pilkington-frankie-pilkington-suicide-learning-disabilities-bullying-hate-crime-a8004526.html</w:t>
        </w:r>
      </w:hyperlink>
      <w:r w:rsidRPr="00D91F6A">
        <w:rPr>
          <w:rFonts w:cstheme="minorHAnsi"/>
        </w:rPr>
        <w:t xml:space="preserve"> (Accessed: 7 November 2023)</w:t>
      </w:r>
    </w:p>
    <w:p w14:paraId="7EAC09F9" w14:textId="77777777" w:rsidR="00D91F6A" w:rsidRPr="00D91F6A" w:rsidRDefault="00D91F6A" w:rsidP="00D91F6A">
      <w:pPr>
        <w:spacing w:line="276" w:lineRule="auto"/>
        <w:rPr>
          <w:rFonts w:cstheme="minorHAnsi"/>
        </w:rPr>
      </w:pPr>
    </w:p>
    <w:p w14:paraId="3663BE09" w14:textId="48AF0DAA" w:rsidR="005142CE" w:rsidRPr="00D91F6A" w:rsidRDefault="005142CE" w:rsidP="00D91F6A">
      <w:pPr>
        <w:spacing w:line="276" w:lineRule="auto"/>
        <w:rPr>
          <w:rFonts w:cstheme="minorHAnsi"/>
        </w:rPr>
      </w:pPr>
      <w:r w:rsidRPr="00D91F6A">
        <w:rPr>
          <w:rFonts w:cstheme="minorHAnsi"/>
        </w:rPr>
        <w:t xml:space="preserve">Tony Blaire Institute for Global Change (2022) </w:t>
      </w:r>
      <w:r w:rsidRPr="00D91F6A">
        <w:rPr>
          <w:rFonts w:cstheme="minorHAnsi"/>
          <w:i/>
          <w:iCs/>
        </w:rPr>
        <w:t>Rebuilding Communities: Why It’s Time to Put Anti-social Behaviour Back on the Agenda</w:t>
      </w:r>
      <w:r w:rsidRPr="00D91F6A">
        <w:rPr>
          <w:rFonts w:cstheme="minorHAnsi"/>
        </w:rPr>
        <w:t xml:space="preserve">. Available at: </w:t>
      </w:r>
      <w:hyperlink r:id="rId22" w:history="1">
        <w:r w:rsidRPr="00D91F6A">
          <w:rPr>
            <w:rStyle w:val="Hyperlink"/>
            <w:rFonts w:cstheme="minorHAnsi"/>
          </w:rPr>
          <w:t>https://www.institute.global/insights/geopolitics-and-security/rebuilding-communities-why-its-time-put-anti-social-behaviour-back-agenda</w:t>
        </w:r>
      </w:hyperlink>
      <w:r w:rsidRPr="00D91F6A">
        <w:rPr>
          <w:rFonts w:cstheme="minorHAnsi"/>
        </w:rPr>
        <w:t xml:space="preserve"> (Accessed: 6 November 2023)</w:t>
      </w:r>
    </w:p>
    <w:p w14:paraId="7F8713F5" w14:textId="77777777" w:rsidR="005142CE" w:rsidRPr="00D91F6A" w:rsidRDefault="005142CE" w:rsidP="00D91F6A">
      <w:pPr>
        <w:spacing w:line="276" w:lineRule="auto"/>
        <w:rPr>
          <w:rFonts w:cstheme="minorHAnsi"/>
        </w:rPr>
      </w:pPr>
    </w:p>
    <w:p w14:paraId="7C158C5F" w14:textId="77777777" w:rsidR="005142CE" w:rsidRPr="00D91F6A" w:rsidRDefault="005142CE" w:rsidP="00D91F6A">
      <w:pPr>
        <w:spacing w:line="276" w:lineRule="auto"/>
        <w:rPr>
          <w:rFonts w:cstheme="minorHAnsi"/>
        </w:rPr>
      </w:pPr>
      <w:r w:rsidRPr="00D91F6A">
        <w:rPr>
          <w:rFonts w:cstheme="minorHAnsi"/>
        </w:rPr>
        <w:t xml:space="preserve">University of South Wales (no date) </w:t>
      </w:r>
      <w:r w:rsidRPr="00D91F6A">
        <w:rPr>
          <w:rFonts w:cstheme="minorHAnsi"/>
          <w:i/>
          <w:iCs/>
        </w:rPr>
        <w:t>Police and the Community</w:t>
      </w:r>
      <w:r w:rsidRPr="00D91F6A">
        <w:rPr>
          <w:rFonts w:cstheme="minorHAnsi"/>
        </w:rPr>
        <w:t xml:space="preserve">. Available at: </w:t>
      </w:r>
      <w:hyperlink r:id="rId23" w:history="1">
        <w:r w:rsidRPr="00D91F6A">
          <w:rPr>
            <w:rStyle w:val="Hyperlink"/>
            <w:rFonts w:cstheme="minorHAnsi"/>
          </w:rPr>
          <w:t>https://studentsafety.southwales.ac.uk/keeping-yourself-safe/police-and-community/#:~:text=The%20local%20police%20forces%20conduct,a%20difference%20to%20your%20community</w:t>
        </w:r>
      </w:hyperlink>
      <w:r w:rsidRPr="00D91F6A">
        <w:rPr>
          <w:rFonts w:cstheme="minorHAnsi"/>
        </w:rPr>
        <w:t>! (Accessed: 4 November 2023)</w:t>
      </w:r>
    </w:p>
    <w:p w14:paraId="06B523F2" w14:textId="77777777" w:rsidR="00D91F6A" w:rsidRPr="00D91F6A" w:rsidRDefault="00D91F6A" w:rsidP="00D91F6A">
      <w:pPr>
        <w:spacing w:line="276" w:lineRule="auto"/>
        <w:rPr>
          <w:rFonts w:cstheme="minorHAnsi"/>
        </w:rPr>
      </w:pPr>
    </w:p>
    <w:p w14:paraId="6E30B73B" w14:textId="77777777" w:rsidR="00D91F6A" w:rsidRPr="00D91F6A" w:rsidRDefault="00D91F6A" w:rsidP="00D91F6A">
      <w:pPr>
        <w:spacing w:line="276" w:lineRule="auto"/>
        <w:rPr>
          <w:rFonts w:cstheme="minorHAnsi"/>
        </w:rPr>
      </w:pPr>
      <w:r w:rsidRPr="00D91F6A">
        <w:rPr>
          <w:rFonts w:cstheme="minorHAnsi"/>
        </w:rPr>
        <w:t xml:space="preserve">Victims Commissioner (2022) </w:t>
      </w:r>
      <w:r w:rsidRPr="00D91F6A">
        <w:rPr>
          <w:rFonts w:cstheme="minorHAnsi"/>
          <w:i/>
          <w:iCs/>
        </w:rPr>
        <w:t>Anti-social Behaviour: living in a nightmare</w:t>
      </w:r>
      <w:r w:rsidRPr="00D91F6A">
        <w:rPr>
          <w:rFonts w:cstheme="minorHAnsi"/>
        </w:rPr>
        <w:t xml:space="preserve">. Available at: </w:t>
      </w:r>
      <w:hyperlink r:id="rId24" w:history="1">
        <w:r w:rsidRPr="00D91F6A">
          <w:rPr>
            <w:rStyle w:val="Hyperlink"/>
            <w:rFonts w:cstheme="minorHAnsi"/>
          </w:rPr>
          <w:t>https://victimscommissioner.org.uk/news/anti-social-behaviour-living-a-nightmare/</w:t>
        </w:r>
      </w:hyperlink>
      <w:r w:rsidRPr="00D91F6A">
        <w:rPr>
          <w:rFonts w:cstheme="minorHAnsi"/>
        </w:rPr>
        <w:t xml:space="preserve"> (Accessed: 5 November 2023)</w:t>
      </w:r>
    </w:p>
    <w:p w14:paraId="0D1200CB" w14:textId="77777777" w:rsidR="00D91F6A" w:rsidRPr="00D91F6A" w:rsidRDefault="00D91F6A" w:rsidP="00D91F6A">
      <w:pPr>
        <w:spacing w:line="276" w:lineRule="auto"/>
        <w:rPr>
          <w:rFonts w:cstheme="minorHAnsi"/>
        </w:rPr>
      </w:pPr>
    </w:p>
    <w:p w14:paraId="5A7D4019" w14:textId="73AE1F44" w:rsidR="00CF5132" w:rsidRPr="00D91F6A" w:rsidRDefault="008A7ABB" w:rsidP="00D91F6A">
      <w:pPr>
        <w:spacing w:line="276" w:lineRule="auto"/>
        <w:rPr>
          <w:rFonts w:cstheme="minorHAnsi"/>
          <w:color w:val="333333"/>
          <w:shd w:val="clear" w:color="auto" w:fill="FBFBFB"/>
        </w:rPr>
      </w:pPr>
      <w:r w:rsidRPr="00D91F6A">
        <w:rPr>
          <w:rFonts w:cstheme="minorHAnsi"/>
          <w:color w:val="333333"/>
          <w:shd w:val="clear" w:color="auto" w:fill="FBFBFB"/>
        </w:rPr>
        <w:t xml:space="preserve">Victim Support (no date) </w:t>
      </w:r>
      <w:r w:rsidRPr="00D91F6A">
        <w:rPr>
          <w:rFonts w:cstheme="minorHAnsi"/>
          <w:i/>
          <w:iCs/>
          <w:color w:val="333333"/>
          <w:shd w:val="clear" w:color="auto" w:fill="FBFBFB"/>
        </w:rPr>
        <w:t>Types of Crime – Anti-social Behaviour.</w:t>
      </w:r>
      <w:r w:rsidRPr="00D91F6A">
        <w:rPr>
          <w:rFonts w:cstheme="minorHAnsi"/>
          <w:color w:val="333333"/>
          <w:shd w:val="clear" w:color="auto" w:fill="FBFBFB"/>
        </w:rPr>
        <w:t xml:space="preserve"> Available at: </w:t>
      </w:r>
      <w:hyperlink r:id="rId25" w:history="1">
        <w:r w:rsidRPr="00D91F6A">
          <w:rPr>
            <w:rStyle w:val="Hyperlink"/>
            <w:rFonts w:cstheme="minorHAnsi"/>
            <w:shd w:val="clear" w:color="auto" w:fill="FBFBFB"/>
          </w:rPr>
          <w:t>https://www.victimsupport.org.uk/crime-info/types-crime/antisocial-behaviour/</w:t>
        </w:r>
      </w:hyperlink>
      <w:r w:rsidRPr="00D91F6A">
        <w:rPr>
          <w:rFonts w:cstheme="minorHAnsi"/>
          <w:color w:val="333333"/>
          <w:shd w:val="clear" w:color="auto" w:fill="FBFBFB"/>
        </w:rPr>
        <w:t xml:space="preserve"> (Accessed: 30 October 2023) </w:t>
      </w:r>
    </w:p>
    <w:p w14:paraId="4F43FA5A" w14:textId="77777777" w:rsidR="00365551" w:rsidRPr="00D91F6A" w:rsidRDefault="00365551" w:rsidP="00D91F6A">
      <w:pPr>
        <w:spacing w:line="276" w:lineRule="auto"/>
        <w:rPr>
          <w:rFonts w:cstheme="minorHAnsi"/>
        </w:rPr>
      </w:pPr>
    </w:p>
    <w:p w14:paraId="6A61277B" w14:textId="61E0A561" w:rsidR="00C42649" w:rsidRPr="00D91F6A" w:rsidRDefault="00DE14D4" w:rsidP="00D91F6A">
      <w:pPr>
        <w:spacing w:line="276" w:lineRule="auto"/>
        <w:rPr>
          <w:rFonts w:cstheme="minorHAnsi"/>
        </w:rPr>
      </w:pPr>
      <w:r w:rsidRPr="00D91F6A">
        <w:rPr>
          <w:rFonts w:cstheme="minorHAnsi"/>
        </w:rPr>
        <w:t xml:space="preserve">West Yorkshire Police (no date) </w:t>
      </w:r>
      <w:hyperlink r:id="rId26" w:history="1">
        <w:r w:rsidRPr="00D91F6A">
          <w:rPr>
            <w:rStyle w:val="Hyperlink"/>
            <w:rFonts w:cstheme="minorHAnsi"/>
          </w:rPr>
          <w:t>https://www.westyorkshire.police.uk/neighbourhood-policing</w:t>
        </w:r>
      </w:hyperlink>
      <w:r w:rsidRPr="00D91F6A">
        <w:rPr>
          <w:rFonts w:cstheme="minorHAnsi"/>
        </w:rPr>
        <w:t xml:space="preserve"> (Accessed: 7 November 2023) </w:t>
      </w:r>
    </w:p>
    <w:p w14:paraId="0B3F24D2" w14:textId="77777777" w:rsidR="005142CE" w:rsidRDefault="005142CE">
      <w:pPr>
        <w:rPr>
          <w:rFonts w:cstheme="minorHAnsi"/>
        </w:rPr>
      </w:pPr>
    </w:p>
    <w:p w14:paraId="5543A4F2" w14:textId="01CCC21D" w:rsidR="005142CE" w:rsidRPr="005142CE" w:rsidRDefault="005142CE">
      <w:pPr>
        <w:rPr>
          <w:rFonts w:cstheme="minorHAnsi"/>
        </w:rPr>
      </w:pPr>
    </w:p>
    <w:sectPr w:rsidR="005142CE" w:rsidRPr="005142CE" w:rsidSect="005142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F7F7B"/>
    <w:multiLevelType w:val="multilevel"/>
    <w:tmpl w:val="B4940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BA788C"/>
    <w:multiLevelType w:val="multilevel"/>
    <w:tmpl w:val="D2BE5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3D2959"/>
    <w:multiLevelType w:val="hybridMultilevel"/>
    <w:tmpl w:val="0B08B064"/>
    <w:lvl w:ilvl="0" w:tplc="4D4AA61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9311921">
    <w:abstractNumId w:val="2"/>
  </w:num>
  <w:num w:numId="2" w16cid:durableId="109324159">
    <w:abstractNumId w:val="0"/>
  </w:num>
  <w:num w:numId="3" w16cid:durableId="1963536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336"/>
    <w:rsid w:val="00006455"/>
    <w:rsid w:val="0005061A"/>
    <w:rsid w:val="000A0E21"/>
    <w:rsid w:val="000A4679"/>
    <w:rsid w:val="000F515B"/>
    <w:rsid w:val="00101E78"/>
    <w:rsid w:val="00116336"/>
    <w:rsid w:val="00182826"/>
    <w:rsid w:val="002625FE"/>
    <w:rsid w:val="002A30A1"/>
    <w:rsid w:val="002A3B95"/>
    <w:rsid w:val="002B5C13"/>
    <w:rsid w:val="002F0E3D"/>
    <w:rsid w:val="003205B3"/>
    <w:rsid w:val="00343F87"/>
    <w:rsid w:val="00365551"/>
    <w:rsid w:val="00443FCB"/>
    <w:rsid w:val="0046339C"/>
    <w:rsid w:val="00473ED3"/>
    <w:rsid w:val="004A76AC"/>
    <w:rsid w:val="004B0E03"/>
    <w:rsid w:val="004C4459"/>
    <w:rsid w:val="004E38FD"/>
    <w:rsid w:val="00510192"/>
    <w:rsid w:val="005142CE"/>
    <w:rsid w:val="0052533F"/>
    <w:rsid w:val="0056668B"/>
    <w:rsid w:val="00580647"/>
    <w:rsid w:val="00613529"/>
    <w:rsid w:val="00621C9A"/>
    <w:rsid w:val="00623520"/>
    <w:rsid w:val="00754A48"/>
    <w:rsid w:val="00836A7D"/>
    <w:rsid w:val="008A725B"/>
    <w:rsid w:val="008A7ABB"/>
    <w:rsid w:val="008B6EEE"/>
    <w:rsid w:val="008E18B5"/>
    <w:rsid w:val="008E3AD9"/>
    <w:rsid w:val="0099071B"/>
    <w:rsid w:val="009A62C5"/>
    <w:rsid w:val="009B6444"/>
    <w:rsid w:val="00A23F2B"/>
    <w:rsid w:val="00A4710F"/>
    <w:rsid w:val="00A6503D"/>
    <w:rsid w:val="00AA2064"/>
    <w:rsid w:val="00AA4E37"/>
    <w:rsid w:val="00AB18D8"/>
    <w:rsid w:val="00B5236B"/>
    <w:rsid w:val="00B5718F"/>
    <w:rsid w:val="00BB6D71"/>
    <w:rsid w:val="00C272AA"/>
    <w:rsid w:val="00C42649"/>
    <w:rsid w:val="00CE0526"/>
    <w:rsid w:val="00CF5132"/>
    <w:rsid w:val="00D20ED8"/>
    <w:rsid w:val="00D91F6A"/>
    <w:rsid w:val="00DE14D4"/>
    <w:rsid w:val="00DE5C07"/>
    <w:rsid w:val="00E539F8"/>
    <w:rsid w:val="00EA5F38"/>
    <w:rsid w:val="00EC2117"/>
    <w:rsid w:val="00EC596E"/>
    <w:rsid w:val="00EE2824"/>
    <w:rsid w:val="00F454D7"/>
    <w:rsid w:val="00F66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F1FAE"/>
  <w15:chartTrackingRefBased/>
  <w15:docId w15:val="{A74B79BD-BA8E-6344-9DFA-BBF5F39B7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
    <w:name w:val="legclearfix"/>
    <w:basedOn w:val="Normal"/>
    <w:rsid w:val="008B6EE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egds">
    <w:name w:val="legds"/>
    <w:basedOn w:val="DefaultParagraphFont"/>
    <w:rsid w:val="008B6EEE"/>
  </w:style>
  <w:style w:type="character" w:customStyle="1" w:styleId="apple-converted-space">
    <w:name w:val="apple-converted-space"/>
    <w:basedOn w:val="DefaultParagraphFont"/>
    <w:rsid w:val="008B6EEE"/>
  </w:style>
  <w:style w:type="character" w:styleId="Hyperlink">
    <w:name w:val="Hyperlink"/>
    <w:basedOn w:val="DefaultParagraphFont"/>
    <w:uiPriority w:val="99"/>
    <w:unhideWhenUsed/>
    <w:rsid w:val="008B6EEE"/>
    <w:rPr>
      <w:color w:val="0563C1" w:themeColor="hyperlink"/>
      <w:u w:val="single"/>
    </w:rPr>
  </w:style>
  <w:style w:type="character" w:styleId="UnresolvedMention">
    <w:name w:val="Unresolved Mention"/>
    <w:basedOn w:val="DefaultParagraphFont"/>
    <w:uiPriority w:val="99"/>
    <w:semiHidden/>
    <w:unhideWhenUsed/>
    <w:rsid w:val="008B6EEE"/>
    <w:rPr>
      <w:color w:val="605E5C"/>
      <w:shd w:val="clear" w:color="auto" w:fill="E1DFDD"/>
    </w:rPr>
  </w:style>
  <w:style w:type="paragraph" w:styleId="NormalWeb">
    <w:name w:val="Normal (Web)"/>
    <w:basedOn w:val="Normal"/>
    <w:uiPriority w:val="99"/>
    <w:unhideWhenUsed/>
    <w:rsid w:val="0052533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A6503D"/>
    <w:rPr>
      <w:color w:val="954F72" w:themeColor="followedHyperlink"/>
      <w:u w:val="single"/>
    </w:rPr>
  </w:style>
  <w:style w:type="paragraph" w:styleId="ListParagraph">
    <w:name w:val="List Paragraph"/>
    <w:basedOn w:val="Normal"/>
    <w:uiPriority w:val="34"/>
    <w:qFormat/>
    <w:rsid w:val="00443FCB"/>
    <w:pPr>
      <w:ind w:left="720"/>
      <w:contextualSpacing/>
    </w:pPr>
  </w:style>
  <w:style w:type="paragraph" w:styleId="NoSpacing">
    <w:name w:val="No Spacing"/>
    <w:link w:val="NoSpacingChar"/>
    <w:uiPriority w:val="1"/>
    <w:qFormat/>
    <w:rsid w:val="00514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142C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5555">
      <w:bodyDiv w:val="1"/>
      <w:marLeft w:val="0"/>
      <w:marRight w:val="0"/>
      <w:marTop w:val="0"/>
      <w:marBottom w:val="0"/>
      <w:divBdr>
        <w:top w:val="none" w:sz="0" w:space="0" w:color="auto"/>
        <w:left w:val="none" w:sz="0" w:space="0" w:color="auto"/>
        <w:bottom w:val="none" w:sz="0" w:space="0" w:color="auto"/>
        <w:right w:val="none" w:sz="0" w:space="0" w:color="auto"/>
      </w:divBdr>
    </w:div>
    <w:div w:id="94982648">
      <w:bodyDiv w:val="1"/>
      <w:marLeft w:val="0"/>
      <w:marRight w:val="0"/>
      <w:marTop w:val="0"/>
      <w:marBottom w:val="0"/>
      <w:divBdr>
        <w:top w:val="none" w:sz="0" w:space="0" w:color="auto"/>
        <w:left w:val="none" w:sz="0" w:space="0" w:color="auto"/>
        <w:bottom w:val="none" w:sz="0" w:space="0" w:color="auto"/>
        <w:right w:val="none" w:sz="0" w:space="0" w:color="auto"/>
      </w:divBdr>
      <w:divsChild>
        <w:div w:id="997921820">
          <w:marLeft w:val="0"/>
          <w:marRight w:val="0"/>
          <w:marTop w:val="0"/>
          <w:marBottom w:val="0"/>
          <w:divBdr>
            <w:top w:val="none" w:sz="0" w:space="0" w:color="auto"/>
            <w:left w:val="none" w:sz="0" w:space="0" w:color="auto"/>
            <w:bottom w:val="none" w:sz="0" w:space="0" w:color="auto"/>
            <w:right w:val="none" w:sz="0" w:space="0" w:color="auto"/>
          </w:divBdr>
          <w:divsChild>
            <w:div w:id="705255869">
              <w:marLeft w:val="0"/>
              <w:marRight w:val="0"/>
              <w:marTop w:val="0"/>
              <w:marBottom w:val="0"/>
              <w:divBdr>
                <w:top w:val="none" w:sz="0" w:space="0" w:color="auto"/>
                <w:left w:val="none" w:sz="0" w:space="0" w:color="auto"/>
                <w:bottom w:val="none" w:sz="0" w:space="0" w:color="auto"/>
                <w:right w:val="none" w:sz="0" w:space="0" w:color="auto"/>
              </w:divBdr>
              <w:divsChild>
                <w:div w:id="180218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307813">
      <w:bodyDiv w:val="1"/>
      <w:marLeft w:val="0"/>
      <w:marRight w:val="0"/>
      <w:marTop w:val="0"/>
      <w:marBottom w:val="0"/>
      <w:divBdr>
        <w:top w:val="none" w:sz="0" w:space="0" w:color="auto"/>
        <w:left w:val="none" w:sz="0" w:space="0" w:color="auto"/>
        <w:bottom w:val="none" w:sz="0" w:space="0" w:color="auto"/>
        <w:right w:val="none" w:sz="0" w:space="0" w:color="auto"/>
      </w:divBdr>
      <w:divsChild>
        <w:div w:id="428550414">
          <w:marLeft w:val="0"/>
          <w:marRight w:val="0"/>
          <w:marTop w:val="0"/>
          <w:marBottom w:val="0"/>
          <w:divBdr>
            <w:top w:val="none" w:sz="0" w:space="0" w:color="auto"/>
            <w:left w:val="none" w:sz="0" w:space="0" w:color="auto"/>
            <w:bottom w:val="none" w:sz="0" w:space="0" w:color="auto"/>
            <w:right w:val="none" w:sz="0" w:space="0" w:color="auto"/>
          </w:divBdr>
          <w:divsChild>
            <w:div w:id="1599755120">
              <w:marLeft w:val="0"/>
              <w:marRight w:val="0"/>
              <w:marTop w:val="0"/>
              <w:marBottom w:val="0"/>
              <w:divBdr>
                <w:top w:val="none" w:sz="0" w:space="0" w:color="auto"/>
                <w:left w:val="none" w:sz="0" w:space="0" w:color="auto"/>
                <w:bottom w:val="none" w:sz="0" w:space="0" w:color="auto"/>
                <w:right w:val="none" w:sz="0" w:space="0" w:color="auto"/>
              </w:divBdr>
              <w:divsChild>
                <w:div w:id="204532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696424">
      <w:bodyDiv w:val="1"/>
      <w:marLeft w:val="0"/>
      <w:marRight w:val="0"/>
      <w:marTop w:val="0"/>
      <w:marBottom w:val="0"/>
      <w:divBdr>
        <w:top w:val="none" w:sz="0" w:space="0" w:color="auto"/>
        <w:left w:val="none" w:sz="0" w:space="0" w:color="auto"/>
        <w:bottom w:val="none" w:sz="0" w:space="0" w:color="auto"/>
        <w:right w:val="none" w:sz="0" w:space="0" w:color="auto"/>
      </w:divBdr>
    </w:div>
    <w:div w:id="706836716">
      <w:bodyDiv w:val="1"/>
      <w:marLeft w:val="0"/>
      <w:marRight w:val="0"/>
      <w:marTop w:val="0"/>
      <w:marBottom w:val="0"/>
      <w:divBdr>
        <w:top w:val="none" w:sz="0" w:space="0" w:color="auto"/>
        <w:left w:val="none" w:sz="0" w:space="0" w:color="auto"/>
        <w:bottom w:val="none" w:sz="0" w:space="0" w:color="auto"/>
        <w:right w:val="none" w:sz="0" w:space="0" w:color="auto"/>
      </w:divBdr>
      <w:divsChild>
        <w:div w:id="1134718725">
          <w:marLeft w:val="0"/>
          <w:marRight w:val="0"/>
          <w:marTop w:val="0"/>
          <w:marBottom w:val="0"/>
          <w:divBdr>
            <w:top w:val="none" w:sz="0" w:space="0" w:color="auto"/>
            <w:left w:val="none" w:sz="0" w:space="0" w:color="auto"/>
            <w:bottom w:val="none" w:sz="0" w:space="0" w:color="auto"/>
            <w:right w:val="none" w:sz="0" w:space="0" w:color="auto"/>
          </w:divBdr>
          <w:divsChild>
            <w:div w:id="351423438">
              <w:marLeft w:val="0"/>
              <w:marRight w:val="0"/>
              <w:marTop w:val="0"/>
              <w:marBottom w:val="0"/>
              <w:divBdr>
                <w:top w:val="none" w:sz="0" w:space="0" w:color="auto"/>
                <w:left w:val="none" w:sz="0" w:space="0" w:color="auto"/>
                <w:bottom w:val="none" w:sz="0" w:space="0" w:color="auto"/>
                <w:right w:val="none" w:sz="0" w:space="0" w:color="auto"/>
              </w:divBdr>
              <w:divsChild>
                <w:div w:id="7678235">
                  <w:marLeft w:val="0"/>
                  <w:marRight w:val="0"/>
                  <w:marTop w:val="0"/>
                  <w:marBottom w:val="0"/>
                  <w:divBdr>
                    <w:top w:val="none" w:sz="0" w:space="0" w:color="auto"/>
                    <w:left w:val="none" w:sz="0" w:space="0" w:color="auto"/>
                    <w:bottom w:val="none" w:sz="0" w:space="0" w:color="auto"/>
                    <w:right w:val="none" w:sz="0" w:space="0" w:color="auto"/>
                  </w:divBdr>
                  <w:divsChild>
                    <w:div w:id="109668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296073">
      <w:bodyDiv w:val="1"/>
      <w:marLeft w:val="0"/>
      <w:marRight w:val="0"/>
      <w:marTop w:val="0"/>
      <w:marBottom w:val="0"/>
      <w:divBdr>
        <w:top w:val="none" w:sz="0" w:space="0" w:color="auto"/>
        <w:left w:val="none" w:sz="0" w:space="0" w:color="auto"/>
        <w:bottom w:val="none" w:sz="0" w:space="0" w:color="auto"/>
        <w:right w:val="none" w:sz="0" w:space="0" w:color="auto"/>
      </w:divBdr>
      <w:divsChild>
        <w:div w:id="1918319948">
          <w:marLeft w:val="0"/>
          <w:marRight w:val="0"/>
          <w:marTop w:val="0"/>
          <w:marBottom w:val="0"/>
          <w:divBdr>
            <w:top w:val="none" w:sz="0" w:space="0" w:color="auto"/>
            <w:left w:val="none" w:sz="0" w:space="0" w:color="auto"/>
            <w:bottom w:val="none" w:sz="0" w:space="0" w:color="auto"/>
            <w:right w:val="none" w:sz="0" w:space="0" w:color="auto"/>
          </w:divBdr>
          <w:divsChild>
            <w:div w:id="32577954">
              <w:marLeft w:val="0"/>
              <w:marRight w:val="0"/>
              <w:marTop w:val="0"/>
              <w:marBottom w:val="0"/>
              <w:divBdr>
                <w:top w:val="none" w:sz="0" w:space="0" w:color="auto"/>
                <w:left w:val="none" w:sz="0" w:space="0" w:color="auto"/>
                <w:bottom w:val="none" w:sz="0" w:space="0" w:color="auto"/>
                <w:right w:val="none" w:sz="0" w:space="0" w:color="auto"/>
              </w:divBdr>
              <w:divsChild>
                <w:div w:id="181235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306105">
      <w:bodyDiv w:val="1"/>
      <w:marLeft w:val="0"/>
      <w:marRight w:val="0"/>
      <w:marTop w:val="0"/>
      <w:marBottom w:val="0"/>
      <w:divBdr>
        <w:top w:val="none" w:sz="0" w:space="0" w:color="auto"/>
        <w:left w:val="none" w:sz="0" w:space="0" w:color="auto"/>
        <w:bottom w:val="none" w:sz="0" w:space="0" w:color="auto"/>
        <w:right w:val="none" w:sz="0" w:space="0" w:color="auto"/>
      </w:divBdr>
      <w:divsChild>
        <w:div w:id="1220435629">
          <w:marLeft w:val="0"/>
          <w:marRight w:val="0"/>
          <w:marTop w:val="0"/>
          <w:marBottom w:val="0"/>
          <w:divBdr>
            <w:top w:val="none" w:sz="0" w:space="0" w:color="auto"/>
            <w:left w:val="none" w:sz="0" w:space="0" w:color="auto"/>
            <w:bottom w:val="none" w:sz="0" w:space="0" w:color="auto"/>
            <w:right w:val="none" w:sz="0" w:space="0" w:color="auto"/>
          </w:divBdr>
          <w:divsChild>
            <w:div w:id="2111465247">
              <w:marLeft w:val="0"/>
              <w:marRight w:val="0"/>
              <w:marTop w:val="0"/>
              <w:marBottom w:val="0"/>
              <w:divBdr>
                <w:top w:val="none" w:sz="0" w:space="0" w:color="auto"/>
                <w:left w:val="none" w:sz="0" w:space="0" w:color="auto"/>
                <w:bottom w:val="none" w:sz="0" w:space="0" w:color="auto"/>
                <w:right w:val="none" w:sz="0" w:space="0" w:color="auto"/>
              </w:divBdr>
              <w:divsChild>
                <w:div w:id="68999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252310">
      <w:bodyDiv w:val="1"/>
      <w:marLeft w:val="0"/>
      <w:marRight w:val="0"/>
      <w:marTop w:val="0"/>
      <w:marBottom w:val="0"/>
      <w:divBdr>
        <w:top w:val="none" w:sz="0" w:space="0" w:color="auto"/>
        <w:left w:val="none" w:sz="0" w:space="0" w:color="auto"/>
        <w:bottom w:val="none" w:sz="0" w:space="0" w:color="auto"/>
        <w:right w:val="none" w:sz="0" w:space="0" w:color="auto"/>
      </w:divBdr>
    </w:div>
    <w:div w:id="927690834">
      <w:bodyDiv w:val="1"/>
      <w:marLeft w:val="0"/>
      <w:marRight w:val="0"/>
      <w:marTop w:val="0"/>
      <w:marBottom w:val="0"/>
      <w:divBdr>
        <w:top w:val="none" w:sz="0" w:space="0" w:color="auto"/>
        <w:left w:val="none" w:sz="0" w:space="0" w:color="auto"/>
        <w:bottom w:val="none" w:sz="0" w:space="0" w:color="auto"/>
        <w:right w:val="none" w:sz="0" w:space="0" w:color="auto"/>
      </w:divBdr>
      <w:divsChild>
        <w:div w:id="828907707">
          <w:marLeft w:val="0"/>
          <w:marRight w:val="0"/>
          <w:marTop w:val="0"/>
          <w:marBottom w:val="0"/>
          <w:divBdr>
            <w:top w:val="none" w:sz="0" w:space="0" w:color="auto"/>
            <w:left w:val="none" w:sz="0" w:space="0" w:color="auto"/>
            <w:bottom w:val="none" w:sz="0" w:space="0" w:color="auto"/>
            <w:right w:val="none" w:sz="0" w:space="0" w:color="auto"/>
          </w:divBdr>
          <w:divsChild>
            <w:div w:id="422918756">
              <w:marLeft w:val="0"/>
              <w:marRight w:val="0"/>
              <w:marTop w:val="0"/>
              <w:marBottom w:val="0"/>
              <w:divBdr>
                <w:top w:val="none" w:sz="0" w:space="0" w:color="auto"/>
                <w:left w:val="none" w:sz="0" w:space="0" w:color="auto"/>
                <w:bottom w:val="none" w:sz="0" w:space="0" w:color="auto"/>
                <w:right w:val="none" w:sz="0" w:space="0" w:color="auto"/>
              </w:divBdr>
              <w:divsChild>
                <w:div w:id="146689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252370">
      <w:bodyDiv w:val="1"/>
      <w:marLeft w:val="0"/>
      <w:marRight w:val="0"/>
      <w:marTop w:val="0"/>
      <w:marBottom w:val="0"/>
      <w:divBdr>
        <w:top w:val="none" w:sz="0" w:space="0" w:color="auto"/>
        <w:left w:val="none" w:sz="0" w:space="0" w:color="auto"/>
        <w:bottom w:val="none" w:sz="0" w:space="0" w:color="auto"/>
        <w:right w:val="none" w:sz="0" w:space="0" w:color="auto"/>
      </w:divBdr>
    </w:div>
    <w:div w:id="1716155028">
      <w:bodyDiv w:val="1"/>
      <w:marLeft w:val="0"/>
      <w:marRight w:val="0"/>
      <w:marTop w:val="0"/>
      <w:marBottom w:val="0"/>
      <w:divBdr>
        <w:top w:val="none" w:sz="0" w:space="0" w:color="auto"/>
        <w:left w:val="none" w:sz="0" w:space="0" w:color="auto"/>
        <w:bottom w:val="none" w:sz="0" w:space="0" w:color="auto"/>
        <w:right w:val="none" w:sz="0" w:space="0" w:color="auto"/>
      </w:divBdr>
    </w:div>
    <w:div w:id="1851413489">
      <w:bodyDiv w:val="1"/>
      <w:marLeft w:val="0"/>
      <w:marRight w:val="0"/>
      <w:marTop w:val="0"/>
      <w:marBottom w:val="0"/>
      <w:divBdr>
        <w:top w:val="none" w:sz="0" w:space="0" w:color="auto"/>
        <w:left w:val="none" w:sz="0" w:space="0" w:color="auto"/>
        <w:bottom w:val="none" w:sz="0" w:space="0" w:color="auto"/>
        <w:right w:val="none" w:sz="0" w:space="0" w:color="auto"/>
      </w:divBdr>
      <w:divsChild>
        <w:div w:id="469984132">
          <w:marLeft w:val="0"/>
          <w:marRight w:val="0"/>
          <w:marTop w:val="0"/>
          <w:marBottom w:val="0"/>
          <w:divBdr>
            <w:top w:val="none" w:sz="0" w:space="0" w:color="auto"/>
            <w:left w:val="none" w:sz="0" w:space="0" w:color="auto"/>
            <w:bottom w:val="none" w:sz="0" w:space="0" w:color="auto"/>
            <w:right w:val="none" w:sz="0" w:space="0" w:color="auto"/>
          </w:divBdr>
          <w:divsChild>
            <w:div w:id="456605047">
              <w:marLeft w:val="0"/>
              <w:marRight w:val="0"/>
              <w:marTop w:val="0"/>
              <w:marBottom w:val="0"/>
              <w:divBdr>
                <w:top w:val="none" w:sz="0" w:space="0" w:color="auto"/>
                <w:left w:val="none" w:sz="0" w:space="0" w:color="auto"/>
                <w:bottom w:val="none" w:sz="0" w:space="0" w:color="auto"/>
                <w:right w:val="none" w:sz="0" w:space="0" w:color="auto"/>
              </w:divBdr>
              <w:divsChild>
                <w:div w:id="77463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93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fdev.college.police.uk/professional-profile/neighbourhood-policing-constable/" TargetMode="External"/><Relationship Id="rId13" Type="http://schemas.openxmlformats.org/officeDocument/2006/relationships/hyperlink" Target="https://www.police-foundation.org.uk/publication/future-neighbourhood-policing/" TargetMode="External"/><Relationship Id="rId18" Type="http://schemas.openxmlformats.org/officeDocument/2006/relationships/hyperlink" Target="https://repository.wodc.nl/bitstream/handle/20.500.12832/2038/2318a-summary_tcm28-72966.pdf?sequence=3&amp;isAllowed=y" TargetMode="External"/><Relationship Id="rId26" Type="http://schemas.openxmlformats.org/officeDocument/2006/relationships/hyperlink" Target="https://www.westyorkshire.police.uk/neighbourhood-policing" TargetMode="External"/><Relationship Id="rId3" Type="http://schemas.openxmlformats.org/officeDocument/2006/relationships/settings" Target="settings.xml"/><Relationship Id="rId21" Type="http://schemas.openxmlformats.org/officeDocument/2006/relationships/hyperlink" Target="https://www.independent.co.uk/news/long_reads/fiona-pilkington-frankie-pilkington-suicide-learning-disabilities-bullying-hate-crime-a8004526.html" TargetMode="External"/><Relationship Id="rId7" Type="http://schemas.openxmlformats.org/officeDocument/2006/relationships/hyperlink" Target="https://www.cheshire.police.uk/police-forces/cheshire-constabulary/areas/cheshire/about-us/about-us/transparency-openness-and-legitimacy/dispersals/" TargetMode="External"/><Relationship Id="rId12" Type="http://schemas.openxmlformats.org/officeDocument/2006/relationships/hyperlink" Target="https://www.gov.uk/government/publications/impacts-of-anti-social-behaviour-on-individuals-and-communities/anti-social-behaviour-impacts-on-individuals-and-local-communities" TargetMode="External"/><Relationship Id="rId17" Type="http://schemas.openxmlformats.org/officeDocument/2006/relationships/hyperlink" Target="https://www.legislation.gov.uk/ukpga/1984/60/contents" TargetMode="External"/><Relationship Id="rId25" Type="http://schemas.openxmlformats.org/officeDocument/2006/relationships/hyperlink" Target="https://www.victimsupport.org.uk/crime-info/types-crime/antisocial-behaviour/" TargetMode="External"/><Relationship Id="rId2" Type="http://schemas.openxmlformats.org/officeDocument/2006/relationships/styles" Target="styles.xml"/><Relationship Id="rId16" Type="http://schemas.openxmlformats.org/officeDocument/2006/relationships/hyperlink" Target="https://www.sussex.ac.uk/webteam/gateway/file.php?name=sussex-hate-crime-project-report.pdf&amp;site=430" TargetMode="External"/><Relationship Id="rId20" Type="http://schemas.openxmlformats.org/officeDocument/2006/relationships/hyperlink" Target="https://www.south-wales.police.uk/news/south-wales/news/2023/mai-may/residents-urged-to-help-shape-policing-in-their-communities/" TargetMode="Externa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1146322/2023_Update_ASB_Statutory_Guidance_-_FINAL__1_.pdf" TargetMode="External"/><Relationship Id="rId11" Type="http://schemas.openxmlformats.org/officeDocument/2006/relationships/hyperlink" Target="https://www.crimevictimshelpline.ie/after-a-crime/the-effects-of-crime" TargetMode="External"/><Relationship Id="rId24" Type="http://schemas.openxmlformats.org/officeDocument/2006/relationships/hyperlink" Target="https://victimscommissioner.org.uk/news/anti-social-behaviour-living-a-nightmare/" TargetMode="External"/><Relationship Id="rId5" Type="http://schemas.openxmlformats.org/officeDocument/2006/relationships/hyperlink" Target="https://www.legislation.gov.uk/ukpga/2014/12/section/2/enacted" TargetMode="External"/><Relationship Id="rId15" Type="http://schemas.openxmlformats.org/officeDocument/2006/relationships/hyperlink" Target="https://nbcc.police.uk/crime-prevention/anti-social-behaviour/tackling-asb" TargetMode="External"/><Relationship Id="rId23" Type="http://schemas.openxmlformats.org/officeDocument/2006/relationships/hyperlink" Target="https://studentsafety.southwales.ac.uk/keeping-yourself-safe/police-and-community/#:~:text=The%20local%20police%20forces%20conduct,a%20difference%20to%20your%20community" TargetMode="External"/><Relationship Id="rId28" Type="http://schemas.openxmlformats.org/officeDocument/2006/relationships/theme" Target="theme/theme1.xml"/><Relationship Id="rId10" Type="http://schemas.openxmlformats.org/officeDocument/2006/relationships/hyperlink" Target="https://www.college.police.uk/research/crime-reduction-toolkit/problem-oriented-policing#:~:text=Problem%2Doriented%20policing%20(POP),development%20of%20a%20tailored%20response" TargetMode="External"/><Relationship Id="rId19" Type="http://schemas.openxmlformats.org/officeDocument/2006/relationships/hyperlink" Target="https://library.college.police.uk/docs/Problem-Oriented-Policing-in-England-and-Wales-2019.pdf" TargetMode="External"/><Relationship Id="rId4" Type="http://schemas.openxmlformats.org/officeDocument/2006/relationships/webSettings" Target="webSettings.xml"/><Relationship Id="rId9" Type="http://schemas.openxmlformats.org/officeDocument/2006/relationships/hyperlink" Target="https://www.college.police.uk/research/what-works-policing-reduce-crime/people-and-places" TargetMode="External"/><Relationship Id="rId14" Type="http://schemas.openxmlformats.org/officeDocument/2006/relationships/hyperlink" Target="https://www.report-it.org.uk/files/ipcc_report-fiona-pilkington-leicestershire.pdf" TargetMode="External"/><Relationship Id="rId22" Type="http://schemas.openxmlformats.org/officeDocument/2006/relationships/hyperlink" Target="https://www.institute.global/insights/geopolitics-and-security/rebuilding-communities-why-its-time-put-anti-social-behaviour-back-agenda"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3559</Words>
  <Characters>20287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Arianna Bennett 2200719</Company>
  <LinksUpToDate>false</LinksUpToDate>
  <CharactersWithSpaces>23799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examination of how crime and anti-social behaviour can affect local communities.’</dc:title>
  <dc:subject>Policing the Public – Assignment 1</dc:subject>
  <dc:creator>Arianna Bennett (2200719)</dc:creator>
  <cp:keywords/>
  <dc:description/>
  <cp:lastModifiedBy>Arianna Bennett (2200719)</cp:lastModifiedBy>
  <cp:revision>2</cp:revision>
  <dcterms:created xsi:type="dcterms:W3CDTF">2023-11-10T14:58:00Z</dcterms:created>
  <dcterms:modified xsi:type="dcterms:W3CDTF">2023-11-10T14:58:00Z</dcterms:modified>
  <cp:category>University of Wales Trinity St David</cp:category>
</cp:coreProperties>
</file>