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0C6B" w14:textId="77777777" w:rsidR="00147828" w:rsidRDefault="00147828" w:rsidP="00147828">
      <w:pPr>
        <w:rPr>
          <w:b/>
          <w:bCs/>
          <w:sz w:val="28"/>
          <w:szCs w:val="28"/>
          <w:u w:val="single"/>
        </w:rPr>
      </w:pPr>
      <w:r w:rsidRPr="3EF7C576">
        <w:rPr>
          <w:b/>
          <w:bCs/>
          <w:sz w:val="28"/>
          <w:szCs w:val="28"/>
          <w:u w:val="single"/>
        </w:rPr>
        <w:t>Introduction:</w:t>
      </w:r>
      <w:r>
        <w:br/>
      </w:r>
    </w:p>
    <w:p w14:paraId="30CD3E30" w14:textId="77777777" w:rsidR="00147828" w:rsidRPr="00F3036B" w:rsidRDefault="00147828" w:rsidP="00147828">
      <w:pPr>
        <w:rPr>
          <w:sz w:val="24"/>
          <w:szCs w:val="24"/>
        </w:rPr>
      </w:pPr>
      <w:r w:rsidRPr="3EF7C576">
        <w:rPr>
          <w:sz w:val="24"/>
          <w:szCs w:val="24"/>
        </w:rPr>
        <w:t xml:space="preserve">The aim of this report is to gather relevant </w:t>
      </w:r>
      <w:r>
        <w:rPr>
          <w:sz w:val="24"/>
          <w:szCs w:val="24"/>
        </w:rPr>
        <w:t>data and sources to support</w:t>
      </w:r>
      <w:r w:rsidRPr="3EF7C576">
        <w:rPr>
          <w:sz w:val="24"/>
          <w:szCs w:val="24"/>
        </w:rPr>
        <w:t xml:space="preserve"> an investigation into the impact of the Covid-19 pandemic on black and ethnic minorities here in the UK. A continually developing situation, the pandemic is considered a particular danger to those in the BAME community, with case and death rates reportedly being disproportionately higher than those of white citizens, and the long-term impacts likely to have a greater impact on th</w:t>
      </w:r>
      <w:r>
        <w:rPr>
          <w:sz w:val="24"/>
          <w:szCs w:val="24"/>
        </w:rPr>
        <w:t>ose of an ethnic minority background</w:t>
      </w:r>
      <w:r w:rsidRPr="3EF7C576">
        <w:rPr>
          <w:sz w:val="24"/>
          <w:szCs w:val="24"/>
        </w:rPr>
        <w:t>. It is therefore of extreme importance to explore the causative factors behind such inequalities in further detail, using the data provided by sources such as Imperial College London and The Independent Scientific Advisory Group for Emergencies (</w:t>
      </w:r>
      <w:r>
        <w:rPr>
          <w:sz w:val="24"/>
          <w:szCs w:val="24"/>
        </w:rPr>
        <w:t xml:space="preserve">Independent </w:t>
      </w:r>
      <w:r w:rsidRPr="3EF7C576">
        <w:rPr>
          <w:sz w:val="24"/>
          <w:szCs w:val="24"/>
        </w:rPr>
        <w:t>SAGE) to analyse the role played by social and economic factors, as well as determining whether institutional racism has negatively impacted the BAME community’s access to healthcare facilities, both prior to, and during, the pandemic.</w:t>
      </w:r>
      <w:r>
        <w:br/>
      </w:r>
    </w:p>
    <w:p w14:paraId="4CD77EB2" w14:textId="77777777" w:rsidR="00147828" w:rsidRDefault="00147828" w:rsidP="00147828">
      <w:pPr>
        <w:rPr>
          <w:b/>
          <w:bCs/>
          <w:sz w:val="28"/>
          <w:szCs w:val="28"/>
          <w:u w:val="single"/>
        </w:rPr>
      </w:pPr>
      <w:r w:rsidRPr="3B932916">
        <w:rPr>
          <w:b/>
          <w:bCs/>
          <w:sz w:val="28"/>
          <w:szCs w:val="28"/>
          <w:u w:val="single"/>
        </w:rPr>
        <w:t>Background History and Data Sources:</w:t>
      </w:r>
    </w:p>
    <w:p w14:paraId="0224428B" w14:textId="77777777" w:rsidR="00147828" w:rsidRDefault="00147828" w:rsidP="00147828">
      <w:pPr>
        <w:rPr>
          <w:rFonts w:ascii="Calibri" w:eastAsia="Calibri" w:hAnsi="Calibri" w:cs="Calibri"/>
          <w:sz w:val="24"/>
          <w:szCs w:val="24"/>
        </w:rPr>
      </w:pPr>
      <w:r w:rsidRPr="3EF7C576">
        <w:rPr>
          <w:rFonts w:ascii="Calibri" w:eastAsia="Calibri" w:hAnsi="Calibri" w:cs="Calibri"/>
          <w:sz w:val="24"/>
          <w:szCs w:val="24"/>
          <w:u w:val="single"/>
        </w:rPr>
        <w:t>Two Intersecting Pandemics – How Covid-19 is laying bare structural racism and what we can do about it (Ahuja, 2020)</w:t>
      </w:r>
    </w:p>
    <w:p w14:paraId="441973BC" w14:textId="77777777" w:rsidR="00147828" w:rsidRDefault="00147828" w:rsidP="00147828">
      <w:pPr>
        <w:rPr>
          <w:sz w:val="24"/>
          <w:szCs w:val="24"/>
        </w:rPr>
      </w:pPr>
      <w:r>
        <w:rPr>
          <w:rFonts w:ascii="Calibri" w:eastAsia="Calibri" w:hAnsi="Calibri" w:cs="Calibri"/>
          <w:sz w:val="24"/>
          <w:szCs w:val="24"/>
        </w:rPr>
        <w:br/>
      </w:r>
      <w:r w:rsidRPr="3EF7C576">
        <w:rPr>
          <w:sz w:val="24"/>
          <w:szCs w:val="24"/>
        </w:rPr>
        <w:t>This study discusses the unequal nature of the pandemic, analysing which key groups are being most affected in terms of number of cases and deaths. The report shows that members of the BAME community</w:t>
      </w:r>
      <w:r>
        <w:rPr>
          <w:sz w:val="24"/>
          <w:szCs w:val="24"/>
        </w:rPr>
        <w:t xml:space="preserve">, as well as the elderly and those living in urban areas, </w:t>
      </w:r>
      <w:r w:rsidRPr="3EF7C576">
        <w:rPr>
          <w:sz w:val="24"/>
          <w:szCs w:val="24"/>
        </w:rPr>
        <w:t>are more negatively impacted by the pandemic</w:t>
      </w:r>
      <w:r>
        <w:rPr>
          <w:sz w:val="24"/>
          <w:szCs w:val="24"/>
        </w:rPr>
        <w:t>.</w:t>
      </w:r>
      <w:r w:rsidRPr="3EF7C576">
        <w:rPr>
          <w:sz w:val="24"/>
          <w:szCs w:val="24"/>
        </w:rPr>
        <w:t xml:space="preserve"> Factors that increase the risk for ethnic minorities are discussed, and the systemic racism that hinders healthcare access for certain communities </w:t>
      </w:r>
      <w:r>
        <w:rPr>
          <w:sz w:val="24"/>
          <w:szCs w:val="24"/>
        </w:rPr>
        <w:t>is</w:t>
      </w:r>
      <w:r w:rsidRPr="3EF7C576">
        <w:rPr>
          <w:sz w:val="24"/>
          <w:szCs w:val="24"/>
        </w:rPr>
        <w:t xml:space="preserve"> also analysed. Some of the key points can be found below: </w:t>
      </w:r>
      <w:r>
        <w:br/>
      </w:r>
    </w:p>
    <w:p w14:paraId="1F79D7B5" w14:textId="77777777" w:rsidR="00147828" w:rsidRDefault="00147828" w:rsidP="00147828">
      <w:pPr>
        <w:pStyle w:val="ListParagraph"/>
        <w:numPr>
          <w:ilvl w:val="0"/>
          <w:numId w:val="3"/>
        </w:numPr>
        <w:rPr>
          <w:rFonts w:eastAsiaTheme="minorEastAsia"/>
          <w:sz w:val="24"/>
          <w:szCs w:val="24"/>
        </w:rPr>
      </w:pPr>
      <w:r w:rsidRPr="3EF7C576">
        <w:rPr>
          <w:sz w:val="24"/>
          <w:szCs w:val="24"/>
        </w:rPr>
        <w:t>Within the first few weeks of the pandemic gripping the UK, it became apparent that certain groups of people were affected disproportionately. “</w:t>
      </w:r>
      <w:r w:rsidRPr="3EF7C576">
        <w:rPr>
          <w:color w:val="151516"/>
          <w:sz w:val="24"/>
          <w:szCs w:val="24"/>
        </w:rPr>
        <w:t>The first ten doctors to die in the UK from the novel respiratory disease were all among ethnic minority communities”.</w:t>
      </w:r>
      <w:r>
        <w:br/>
      </w:r>
    </w:p>
    <w:p w14:paraId="2054EE28"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According to the 2011 census, 13% of the UK’s population were classified as being from minority ethnic groups. However, as of April 2020, ethnic minorities accounted 36% of all critical care patients due to Covid-19.</w:t>
      </w:r>
      <w:r>
        <w:br/>
      </w:r>
    </w:p>
    <w:p w14:paraId="75413F3B" w14:textId="77777777" w:rsidR="00147828" w:rsidRDefault="00147828" w:rsidP="00147828">
      <w:pPr>
        <w:pStyle w:val="ListParagraph"/>
        <w:numPr>
          <w:ilvl w:val="0"/>
          <w:numId w:val="3"/>
        </w:numPr>
        <w:rPr>
          <w:rFonts w:eastAsiaTheme="minorEastAsia"/>
          <w:color w:val="151516"/>
          <w:sz w:val="24"/>
          <w:szCs w:val="24"/>
        </w:rPr>
      </w:pPr>
      <w:r w:rsidRPr="3EF7C576">
        <w:rPr>
          <w:color w:val="0F1419"/>
          <w:sz w:val="24"/>
          <w:szCs w:val="24"/>
        </w:rPr>
        <w:t>“A massive 70% of front-line health and social care workers have who died from COVID-19 are from the BAME community” (Nursing Notes, 2020).</w:t>
      </w:r>
      <w:r>
        <w:br/>
      </w:r>
    </w:p>
    <w:p w14:paraId="6323BE4E" w14:textId="77777777" w:rsidR="00147828" w:rsidRDefault="00147828" w:rsidP="00147828">
      <w:pPr>
        <w:pStyle w:val="ListParagraph"/>
        <w:numPr>
          <w:ilvl w:val="0"/>
          <w:numId w:val="3"/>
        </w:numPr>
        <w:rPr>
          <w:color w:val="0F1419"/>
          <w:sz w:val="24"/>
          <w:szCs w:val="24"/>
        </w:rPr>
      </w:pPr>
      <w:r w:rsidRPr="3EF7C576">
        <w:rPr>
          <w:color w:val="151516"/>
          <w:sz w:val="24"/>
          <w:szCs w:val="24"/>
        </w:rPr>
        <w:t>Black males were almost 3 times more likely to be diagnosed with Covid than white males – 649 per 100,000 compared to 224 per 100,000. The comparable rates for black females were over double that for white females – 486 per 100,000 compared to 220 per 100,000.</w:t>
      </w:r>
      <w:r>
        <w:br/>
      </w:r>
    </w:p>
    <w:p w14:paraId="6D48AA8C"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lastRenderedPageBreak/>
        <w:t xml:space="preserve">“COVID-19 patients of Bangladeshi ethnicity are twice as likely to die of the disease than white patients”. </w:t>
      </w:r>
      <w:r>
        <w:br/>
      </w:r>
    </w:p>
    <w:p w14:paraId="17C3B280"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Urban areas such as London, the North West and North East had more cases of Covid than rural areas, with mortality rates being double in the most deprived areas compared to the least deprived areas. “The risk of death is a third higher in the poorest fifth of households than in the richest fifth”.</w:t>
      </w:r>
      <w:r>
        <w:br/>
      </w:r>
    </w:p>
    <w:p w14:paraId="49A392DE" w14:textId="77777777" w:rsidR="00147828" w:rsidRDefault="00147828" w:rsidP="00147828">
      <w:pPr>
        <w:pStyle w:val="ListParagraph"/>
        <w:numPr>
          <w:ilvl w:val="0"/>
          <w:numId w:val="3"/>
        </w:numPr>
        <w:rPr>
          <w:rFonts w:eastAsiaTheme="minorEastAsia"/>
          <w:color w:val="151516"/>
          <w:sz w:val="24"/>
          <w:szCs w:val="24"/>
        </w:rPr>
      </w:pPr>
      <w:r w:rsidRPr="3EF7C576">
        <w:rPr>
          <w:sz w:val="24"/>
          <w:szCs w:val="24"/>
        </w:rPr>
        <w:t>Ethnic minorities in the UK tend to live in more deprived, urban areas, and their socio-economic status places them at higher risk for contracting Covid. This is due to certain issues includ</w:t>
      </w:r>
      <w:r>
        <w:rPr>
          <w:sz w:val="24"/>
          <w:szCs w:val="24"/>
        </w:rPr>
        <w:t xml:space="preserve">ing </w:t>
      </w:r>
      <w:r w:rsidRPr="3EF7C576">
        <w:rPr>
          <w:sz w:val="24"/>
          <w:szCs w:val="24"/>
        </w:rPr>
        <w:t>overcrowding and multi-generational households which makes isolating and shielding more difficult to achieve, the reliance on public transport for the daily commute, and a possible reluctance to seek medical care due to poor experiences. “</w:t>
      </w:r>
      <w:r w:rsidRPr="3EF7C576">
        <w:rPr>
          <w:color w:val="151516"/>
          <w:sz w:val="24"/>
          <w:szCs w:val="24"/>
        </w:rPr>
        <w:t xml:space="preserve">Economic disadvantage is strongly associated with the prevalence of smoking, diabetes, high blood pressure and obesity, all of which in turn are risk factors for more severe COVID-19 illness”. </w:t>
      </w:r>
      <w:r>
        <w:br/>
      </w:r>
    </w:p>
    <w:p w14:paraId="23463B99" w14:textId="77777777" w:rsidR="00147828" w:rsidRDefault="00147828" w:rsidP="00147828">
      <w:pPr>
        <w:pStyle w:val="ListParagraph"/>
        <w:numPr>
          <w:ilvl w:val="0"/>
          <w:numId w:val="3"/>
        </w:numPr>
        <w:rPr>
          <w:rFonts w:eastAsiaTheme="minorEastAsia"/>
          <w:color w:val="151516"/>
          <w:sz w:val="24"/>
          <w:szCs w:val="24"/>
        </w:rPr>
      </w:pPr>
      <w:r w:rsidRPr="3EF7C576">
        <w:rPr>
          <w:sz w:val="24"/>
          <w:szCs w:val="24"/>
        </w:rPr>
        <w:t>The NHS offers universal medical coverage for all citizens; however, the poor experiences aforementioned can result in health disparities even within such an apparently equal health system. “</w:t>
      </w:r>
      <w:r w:rsidRPr="3EF7C576">
        <w:rPr>
          <w:color w:val="151516"/>
          <w:sz w:val="24"/>
          <w:szCs w:val="24"/>
        </w:rPr>
        <w:t>Black women are five times more likely than white women to die from complications in pregnancy and childbirth; and adults from south Asian and black African Caribbean minority groups have higher rates of chronic conditions such as cardiovascular disease and cancer” (Saxena, as quoted in Ahuja, 2020). “Children from black African Caribbean and south Asian households tend to have higher attendance rates for illness in GP surgeries, but get less preventive care meaning that chronic conditions such as asthma can worsen”.</w:t>
      </w:r>
      <w:r>
        <w:br/>
      </w:r>
    </w:p>
    <w:p w14:paraId="5869141A" w14:textId="77777777" w:rsidR="00147828" w:rsidRDefault="00147828" w:rsidP="00147828">
      <w:pPr>
        <w:pStyle w:val="ListParagraph"/>
        <w:numPr>
          <w:ilvl w:val="0"/>
          <w:numId w:val="3"/>
        </w:numPr>
        <w:rPr>
          <w:color w:val="151516"/>
          <w:sz w:val="24"/>
          <w:szCs w:val="24"/>
        </w:rPr>
      </w:pPr>
      <w:r w:rsidRPr="3EF7C576">
        <w:rPr>
          <w:sz w:val="24"/>
          <w:szCs w:val="24"/>
        </w:rPr>
        <w:t>There are issues with the use of the term BAME. This term disguises racism as it groups all ethnic minorities together and does not show consideration to the fact that countries, including the UK ha</w:t>
      </w:r>
      <w:r>
        <w:rPr>
          <w:sz w:val="24"/>
          <w:szCs w:val="24"/>
        </w:rPr>
        <w:t>ve</w:t>
      </w:r>
      <w:r w:rsidRPr="3EF7C576">
        <w:rPr>
          <w:sz w:val="24"/>
          <w:szCs w:val="24"/>
        </w:rPr>
        <w:t xml:space="preserve"> “</w:t>
      </w:r>
      <w:r w:rsidRPr="3EF7C576">
        <w:rPr>
          <w:color w:val="151516"/>
          <w:sz w:val="24"/>
          <w:szCs w:val="24"/>
        </w:rPr>
        <w:t>their own rich diverse mix of peoples that has grown up as a result of historical migration, settlement and acculturation”. Professor Sonia Saxena is quoted in this study as she provides an example of how problematic this can be; “One example from my own profession is that you will find south Asian minority groups well represented in decision making committees within medical professions but black British doctors in leadership roles are rare” (Saxena, as quoted in Ahuja, 2020).</w:t>
      </w:r>
      <w:r>
        <w:br/>
      </w:r>
    </w:p>
    <w:p w14:paraId="52351A23" w14:textId="77777777" w:rsidR="00147828" w:rsidRDefault="00147828" w:rsidP="00147828">
      <w:pPr>
        <w:pStyle w:val="ListParagraph"/>
        <w:numPr>
          <w:ilvl w:val="0"/>
          <w:numId w:val="3"/>
        </w:numPr>
        <w:rPr>
          <w:rFonts w:eastAsiaTheme="minorEastAsia"/>
          <w:color w:val="151516"/>
          <w:sz w:val="24"/>
          <w:szCs w:val="24"/>
        </w:rPr>
      </w:pPr>
      <w:r w:rsidRPr="3EF7C576">
        <w:rPr>
          <w:color w:val="151516"/>
          <w:sz w:val="24"/>
          <w:szCs w:val="24"/>
        </w:rPr>
        <w:t xml:space="preserve">Potential policy changes are also discussed, but the following statement is a powerful criticism of how the current UK Government have handled the situation </w:t>
      </w:r>
      <w:r>
        <w:rPr>
          <w:color w:val="151516"/>
          <w:sz w:val="24"/>
          <w:szCs w:val="24"/>
        </w:rPr>
        <w:t xml:space="preserve">– </w:t>
      </w:r>
      <w:r w:rsidRPr="3EF7C576">
        <w:rPr>
          <w:color w:val="151516"/>
          <w:sz w:val="24"/>
          <w:szCs w:val="24"/>
        </w:rPr>
        <w:t>“It’s wonderful to clap them, better if you can pay them, and better still if you can keep them safe and protect them. And it would be best of all if we could get rid of structural factors that prevent a fairer representation of all communities at all tiers of society”.</w:t>
      </w:r>
      <w:r>
        <w:br/>
      </w:r>
    </w:p>
    <w:p w14:paraId="5A3891BF" w14:textId="77777777" w:rsidR="00147828" w:rsidRDefault="00147828" w:rsidP="00147828">
      <w:pPr>
        <w:rPr>
          <w:rFonts w:eastAsiaTheme="minorEastAsia"/>
          <w:color w:val="151516"/>
          <w:sz w:val="24"/>
          <w:szCs w:val="24"/>
        </w:rPr>
      </w:pPr>
    </w:p>
    <w:p w14:paraId="473C2ED8" w14:textId="77777777" w:rsidR="00147828" w:rsidRDefault="00147828" w:rsidP="00147828">
      <w:pPr>
        <w:rPr>
          <w:rFonts w:eastAsiaTheme="minorEastAsia"/>
          <w:color w:val="151516"/>
          <w:sz w:val="24"/>
          <w:szCs w:val="24"/>
        </w:rPr>
      </w:pPr>
    </w:p>
    <w:p w14:paraId="6ADDE1DE" w14:textId="77777777" w:rsidR="00147828" w:rsidRDefault="00147828" w:rsidP="00147828">
      <w:pPr>
        <w:rPr>
          <w:sz w:val="24"/>
          <w:szCs w:val="24"/>
        </w:rPr>
      </w:pPr>
      <w:r>
        <w:rPr>
          <w:rFonts w:eastAsiaTheme="minorEastAsia"/>
          <w:color w:val="151516"/>
          <w:sz w:val="24"/>
          <w:szCs w:val="24"/>
        </w:rPr>
        <w:br/>
      </w:r>
      <w:r>
        <w:rPr>
          <w:rFonts w:eastAsiaTheme="minorEastAsia"/>
          <w:color w:val="151516"/>
          <w:sz w:val="24"/>
          <w:szCs w:val="24"/>
        </w:rPr>
        <w:br/>
      </w:r>
      <w:r w:rsidRPr="3EF7C576">
        <w:rPr>
          <w:color w:val="151516"/>
          <w:sz w:val="24"/>
          <w:szCs w:val="24"/>
          <w:u w:val="single"/>
        </w:rPr>
        <w:lastRenderedPageBreak/>
        <w:t xml:space="preserve">The Independent Sage Report 6. </w:t>
      </w:r>
      <w:r w:rsidRPr="3EF7C576">
        <w:rPr>
          <w:rFonts w:ascii="Calibri" w:eastAsia="Calibri" w:hAnsi="Calibri" w:cs="Calibri"/>
          <w:sz w:val="24"/>
          <w:szCs w:val="24"/>
          <w:u w:val="single"/>
        </w:rPr>
        <w:t>Disparities in the impact of COVID-19 in Black and Minority Ethnic populations: review of the evidence and recommendations for action</w:t>
      </w:r>
      <w:r w:rsidRPr="3EF7C576">
        <w:rPr>
          <w:rFonts w:ascii="Calibri" w:eastAsia="Calibri" w:hAnsi="Calibri" w:cs="Calibri"/>
          <w:sz w:val="24"/>
          <w:szCs w:val="24"/>
        </w:rPr>
        <w:t xml:space="preserve"> -</w:t>
      </w:r>
      <w:r>
        <w:rPr>
          <w:sz w:val="24"/>
          <w:szCs w:val="24"/>
        </w:rPr>
        <w:t xml:space="preserve"> </w:t>
      </w:r>
    </w:p>
    <w:p w14:paraId="5D2EF3D6" w14:textId="77777777" w:rsidR="00147828" w:rsidRDefault="00147828" w:rsidP="00147828">
      <w:pPr>
        <w:rPr>
          <w:rFonts w:ascii="Calibri" w:eastAsia="Calibri" w:hAnsi="Calibri" w:cs="Calibri"/>
          <w:sz w:val="24"/>
          <w:szCs w:val="24"/>
        </w:rPr>
      </w:pPr>
      <w:r>
        <w:br/>
      </w:r>
      <w:r w:rsidRPr="3EF7C576">
        <w:rPr>
          <w:rFonts w:ascii="Calibri" w:eastAsia="Calibri" w:hAnsi="Calibri" w:cs="Calibri"/>
          <w:sz w:val="24"/>
          <w:szCs w:val="24"/>
        </w:rPr>
        <w:t xml:space="preserve">This document is an official report submitted to the UK Government in July 2020, detailing the impact of the pandemic on black and ethnic minority groups within the UK. It discusses the various socio-economic factors that have caused such health inequalities thus supporting the points made in the previous data source, whilst it also discusses how the pandemic is not only a health crisis but a social and economic crisis as well, which will result in an even longer-term impact on health, especially for black and ethnic minorities. As many of the important points made are already mentioned under the previous source, only some of the additional key information </w:t>
      </w:r>
      <w:r>
        <w:rPr>
          <w:rFonts w:ascii="Calibri" w:eastAsia="Calibri" w:hAnsi="Calibri" w:cs="Calibri"/>
          <w:sz w:val="24"/>
          <w:szCs w:val="24"/>
        </w:rPr>
        <w:t>will be outlined here</w:t>
      </w:r>
      <w:r w:rsidRPr="3EF7C576">
        <w:rPr>
          <w:rFonts w:ascii="Calibri" w:eastAsia="Calibri" w:hAnsi="Calibri" w:cs="Calibri"/>
          <w:sz w:val="24"/>
          <w:szCs w:val="24"/>
        </w:rPr>
        <w:t>:</w:t>
      </w:r>
      <w:r>
        <w:br/>
      </w:r>
    </w:p>
    <w:p w14:paraId="6D4D520C" w14:textId="77777777" w:rsidR="00147828" w:rsidRDefault="00147828" w:rsidP="00147828">
      <w:pPr>
        <w:pStyle w:val="ListParagraph"/>
        <w:numPr>
          <w:ilvl w:val="0"/>
          <w:numId w:val="2"/>
        </w:numPr>
        <w:rPr>
          <w:rFonts w:eastAsiaTheme="minorEastAsia"/>
          <w:sz w:val="24"/>
          <w:szCs w:val="24"/>
        </w:rPr>
      </w:pPr>
      <w:r w:rsidRPr="3EF7C576">
        <w:rPr>
          <w:rFonts w:ascii="Calibri" w:eastAsia="Calibri" w:hAnsi="Calibri" w:cs="Calibri"/>
          <w:sz w:val="24"/>
          <w:szCs w:val="24"/>
        </w:rPr>
        <w:t>“</w:t>
      </w:r>
      <w:r w:rsidRPr="3EF7C576">
        <w:rPr>
          <w:sz w:val="24"/>
          <w:szCs w:val="24"/>
        </w:rPr>
        <w:t>We may all be weathering the same storm, but we are not in the same boat”.</w:t>
      </w:r>
      <w:r>
        <w:br/>
      </w:r>
    </w:p>
    <w:p w14:paraId="4A51997C" w14:textId="77777777" w:rsidR="00147828" w:rsidRDefault="00147828" w:rsidP="00147828">
      <w:pPr>
        <w:pStyle w:val="ListParagraph"/>
        <w:numPr>
          <w:ilvl w:val="0"/>
          <w:numId w:val="2"/>
        </w:numPr>
        <w:rPr>
          <w:rFonts w:eastAsiaTheme="minorEastAsia"/>
          <w:sz w:val="24"/>
          <w:szCs w:val="24"/>
        </w:rPr>
      </w:pPr>
      <w:r w:rsidRPr="3EF7C576">
        <w:rPr>
          <w:sz w:val="24"/>
          <w:szCs w:val="24"/>
        </w:rPr>
        <w:t>“Among all staff employed by the NHS, BME groups account for approximately 21%” (Cook et al, 2020). “While healthcare staff were shown to have lower mortality rates than the general population, 76% of deaths were in BME individuals” (</w:t>
      </w:r>
      <w:proofErr w:type="spellStart"/>
      <w:r w:rsidRPr="3EF7C576">
        <w:rPr>
          <w:sz w:val="24"/>
          <w:szCs w:val="24"/>
        </w:rPr>
        <w:t>Levene</w:t>
      </w:r>
      <w:proofErr w:type="spellEnd"/>
      <w:r w:rsidRPr="3EF7C576">
        <w:rPr>
          <w:sz w:val="24"/>
          <w:szCs w:val="24"/>
        </w:rPr>
        <w:t xml:space="preserve"> et al, 2020).</w:t>
      </w:r>
      <w:r>
        <w:br/>
      </w:r>
    </w:p>
    <w:p w14:paraId="3779FF17" w14:textId="77777777" w:rsidR="00147828" w:rsidRDefault="00147828" w:rsidP="00147828">
      <w:pPr>
        <w:pStyle w:val="ListParagraph"/>
        <w:numPr>
          <w:ilvl w:val="0"/>
          <w:numId w:val="2"/>
        </w:numPr>
        <w:rPr>
          <w:rFonts w:eastAsiaTheme="minorEastAsia"/>
          <w:sz w:val="24"/>
          <w:szCs w:val="24"/>
        </w:rPr>
      </w:pPr>
      <w:r w:rsidRPr="3EF7C576">
        <w:rPr>
          <w:sz w:val="24"/>
          <w:szCs w:val="24"/>
        </w:rPr>
        <w:t>“Despite being at greater occupational exposure to COVID-19 within health and social work roles in particular, survey evidence has shown that only 43% of BME nurses report receiving eye and face protection equipment, whereas 66% of white British nurses self-reported receiving appropriate personal protective equipment” (RCN, 2020).</w:t>
      </w:r>
      <w:r>
        <w:br/>
      </w:r>
    </w:p>
    <w:p w14:paraId="5E3BF569" w14:textId="77777777" w:rsidR="00147828" w:rsidRDefault="00147828" w:rsidP="00147828">
      <w:pPr>
        <w:pStyle w:val="ListParagraph"/>
        <w:numPr>
          <w:ilvl w:val="0"/>
          <w:numId w:val="2"/>
        </w:numPr>
        <w:rPr>
          <w:rFonts w:eastAsiaTheme="minorEastAsia"/>
          <w:sz w:val="24"/>
          <w:szCs w:val="24"/>
        </w:rPr>
      </w:pPr>
      <w:r w:rsidRPr="3EF7C576">
        <w:rPr>
          <w:sz w:val="24"/>
          <w:szCs w:val="24"/>
        </w:rPr>
        <w:t>“Despite a lack of data, undocumented or new BME migrants could be at particularly high risk as they may not speak English, could have low health literacy, and will have minimal rights to access healthcare” (Bhopal, 2020).</w:t>
      </w:r>
      <w:r>
        <w:br/>
      </w:r>
    </w:p>
    <w:p w14:paraId="3D42B81A" w14:textId="77777777" w:rsidR="00147828" w:rsidRDefault="00147828" w:rsidP="00147828">
      <w:pPr>
        <w:pStyle w:val="ListParagraph"/>
        <w:numPr>
          <w:ilvl w:val="0"/>
          <w:numId w:val="2"/>
        </w:numPr>
        <w:rPr>
          <w:sz w:val="24"/>
          <w:szCs w:val="24"/>
        </w:rPr>
      </w:pPr>
      <w:r w:rsidRPr="3EF7C576">
        <w:rPr>
          <w:sz w:val="24"/>
          <w:szCs w:val="24"/>
        </w:rPr>
        <w:t>Various recommendations, both short and long-term, are included to help advise the Government on how to tackle the inequalities. Short-term recommendations range from Risk Assessments for all public facing workers to improving social security and removing barriers for migrants trying to access essential benefits. Long-term recommendations include actively consulting BME communities at all stages of public information strategies and developing health strategies focussing solely on deprived populations and ethnic minorities (Marmot et al, 2020).</w:t>
      </w:r>
      <w:r>
        <w:br/>
      </w:r>
    </w:p>
    <w:p w14:paraId="439D9A0F" w14:textId="77777777" w:rsidR="00147828" w:rsidRDefault="00147828" w:rsidP="00147828">
      <w:pPr>
        <w:pStyle w:val="ListParagraph"/>
        <w:numPr>
          <w:ilvl w:val="0"/>
          <w:numId w:val="2"/>
        </w:numPr>
        <w:rPr>
          <w:sz w:val="24"/>
          <w:szCs w:val="24"/>
        </w:rPr>
      </w:pPr>
      <w:r w:rsidRPr="3EF7C576">
        <w:rPr>
          <w:sz w:val="24"/>
          <w:szCs w:val="24"/>
        </w:rPr>
        <w:t>The chart below is significant as it identifies the various paths to higher Covid case rate and mortality rate within BAME communities.</w:t>
      </w:r>
      <w:r>
        <w:br/>
      </w:r>
    </w:p>
    <w:p w14:paraId="102BF869" w14:textId="77777777" w:rsidR="00147828" w:rsidRDefault="00147828" w:rsidP="00147828">
      <w:r>
        <w:rPr>
          <w:noProof/>
        </w:rPr>
        <w:lastRenderedPageBreak/>
        <w:drawing>
          <wp:inline distT="0" distB="0" distL="0" distR="0" wp14:anchorId="228C5E43" wp14:editId="7E08ED54">
            <wp:extent cx="6710402" cy="3801600"/>
            <wp:effectExtent l="0" t="0" r="0" b="8890"/>
            <wp:docPr id="1" name="Picture 1"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710402" cy="3801600"/>
                    </a:xfrm>
                    <a:prstGeom prst="rect">
                      <a:avLst/>
                    </a:prstGeom>
                  </pic:spPr>
                </pic:pic>
              </a:graphicData>
            </a:graphic>
          </wp:inline>
        </w:drawing>
      </w:r>
    </w:p>
    <w:p w14:paraId="01E58826" w14:textId="77777777" w:rsidR="00147828" w:rsidRDefault="00147828" w:rsidP="00147828">
      <w:pPr>
        <w:rPr>
          <w:sz w:val="24"/>
          <w:szCs w:val="24"/>
          <w:u w:val="single"/>
        </w:rPr>
      </w:pPr>
    </w:p>
    <w:p w14:paraId="5DA4CF87" w14:textId="77777777" w:rsidR="00147828" w:rsidRDefault="00147828" w:rsidP="00147828">
      <w:pPr>
        <w:rPr>
          <w:sz w:val="24"/>
          <w:szCs w:val="24"/>
          <w:u w:val="single"/>
        </w:rPr>
      </w:pPr>
      <w:r w:rsidRPr="3EF7C576">
        <w:rPr>
          <w:sz w:val="24"/>
          <w:szCs w:val="24"/>
          <w:u w:val="single"/>
        </w:rPr>
        <w:t>Other Visual Data Sources of Particular Significance</w:t>
      </w:r>
      <w:r>
        <w:rPr>
          <w:sz w:val="24"/>
          <w:szCs w:val="24"/>
          <w:u w:val="single"/>
        </w:rPr>
        <w:br/>
      </w:r>
    </w:p>
    <w:tbl>
      <w:tblPr>
        <w:tblStyle w:val="TableGrid"/>
        <w:tblW w:w="0" w:type="auto"/>
        <w:jc w:val="center"/>
        <w:tblLayout w:type="fixed"/>
        <w:tblLook w:val="06A0" w:firstRow="1" w:lastRow="0" w:firstColumn="1" w:lastColumn="0" w:noHBand="1" w:noVBand="1"/>
      </w:tblPr>
      <w:tblGrid>
        <w:gridCol w:w="8970"/>
      </w:tblGrid>
      <w:tr w:rsidR="00147828" w14:paraId="551EE61A" w14:textId="77777777" w:rsidTr="00D4234E">
        <w:trPr>
          <w:jc w:val="center"/>
        </w:trPr>
        <w:tc>
          <w:tcPr>
            <w:tcW w:w="8970" w:type="dxa"/>
          </w:tcPr>
          <w:p w14:paraId="16BA50F4" w14:textId="77777777" w:rsidR="00147828" w:rsidRDefault="00147828" w:rsidP="00D4234E">
            <w:r>
              <w:rPr>
                <w:noProof/>
              </w:rPr>
              <w:drawing>
                <wp:inline distT="0" distB="0" distL="0" distR="0" wp14:anchorId="3785AA2D" wp14:editId="1DDE412A">
                  <wp:extent cx="4572000" cy="3343835"/>
                  <wp:effectExtent l="0" t="0" r="0" b="0"/>
                  <wp:docPr id="982054081" name="Picture 982054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2054081"/>
                          <pic:cNvPicPr/>
                        </pic:nvPicPr>
                        <pic:blipFill>
                          <a:blip r:embed="rId8">
                            <a:extLst>
                              <a:ext uri="{28A0092B-C50C-407E-A947-70E740481C1C}">
                                <a14:useLocalDpi xmlns:a14="http://schemas.microsoft.com/office/drawing/2010/main" val="0"/>
                              </a:ext>
                            </a:extLst>
                          </a:blip>
                          <a:stretch>
                            <a:fillRect/>
                          </a:stretch>
                        </pic:blipFill>
                        <pic:spPr>
                          <a:xfrm>
                            <a:off x="0" y="0"/>
                            <a:ext cx="4572000" cy="3343835"/>
                          </a:xfrm>
                          <a:prstGeom prst="rect">
                            <a:avLst/>
                          </a:prstGeom>
                        </pic:spPr>
                      </pic:pic>
                    </a:graphicData>
                  </a:graphic>
                </wp:inline>
              </w:drawing>
            </w:r>
          </w:p>
          <w:p w14:paraId="04C06222" w14:textId="77777777" w:rsidR="00147828" w:rsidRDefault="00147828" w:rsidP="00D4234E"/>
          <w:p w14:paraId="63815C62" w14:textId="77777777" w:rsidR="00147828" w:rsidRDefault="00147828" w:rsidP="00D4234E">
            <w:pPr>
              <w:spacing w:line="259" w:lineRule="auto"/>
              <w:jc w:val="center"/>
            </w:pPr>
            <w:r w:rsidRPr="3B932916">
              <w:rPr>
                <w:rFonts w:eastAsiaTheme="minorEastAsia"/>
                <w:sz w:val="24"/>
                <w:szCs w:val="24"/>
              </w:rPr>
              <w:t>(BBC, 2020)</w:t>
            </w:r>
          </w:p>
          <w:p w14:paraId="74C217FB" w14:textId="77777777" w:rsidR="00147828" w:rsidRDefault="00147828" w:rsidP="00D4234E"/>
        </w:tc>
      </w:tr>
      <w:tr w:rsidR="00147828" w14:paraId="64E3AEDA" w14:textId="77777777" w:rsidTr="00D4234E">
        <w:trPr>
          <w:trHeight w:val="4755"/>
          <w:jc w:val="center"/>
        </w:trPr>
        <w:tc>
          <w:tcPr>
            <w:tcW w:w="8970" w:type="dxa"/>
          </w:tcPr>
          <w:p w14:paraId="1D6E5F45" w14:textId="77777777" w:rsidR="00147828" w:rsidRDefault="00147828" w:rsidP="00D4234E"/>
          <w:p w14:paraId="2E499C28" w14:textId="77777777" w:rsidR="00147828" w:rsidRDefault="00147828" w:rsidP="00D4234E">
            <w:r>
              <w:rPr>
                <w:noProof/>
              </w:rPr>
              <w:drawing>
                <wp:inline distT="0" distB="0" distL="0" distR="0" wp14:anchorId="7276A04D" wp14:editId="4BF0A514">
                  <wp:extent cx="4572000" cy="3515382"/>
                  <wp:effectExtent l="0" t="0" r="0" b="0"/>
                  <wp:docPr id="1948156644" name="Picture 1948156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8156644"/>
                          <pic:cNvPicPr/>
                        </pic:nvPicPr>
                        <pic:blipFill>
                          <a:blip r:embed="rId9">
                            <a:extLst>
                              <a:ext uri="{28A0092B-C50C-407E-A947-70E740481C1C}">
                                <a14:useLocalDpi xmlns:a14="http://schemas.microsoft.com/office/drawing/2010/main" val="0"/>
                              </a:ext>
                            </a:extLst>
                          </a:blip>
                          <a:srcRect r="4703"/>
                          <a:stretch>
                            <a:fillRect/>
                          </a:stretch>
                        </pic:blipFill>
                        <pic:spPr>
                          <a:xfrm>
                            <a:off x="0" y="0"/>
                            <a:ext cx="4572000" cy="3515382"/>
                          </a:xfrm>
                          <a:prstGeom prst="rect">
                            <a:avLst/>
                          </a:prstGeom>
                        </pic:spPr>
                      </pic:pic>
                    </a:graphicData>
                  </a:graphic>
                </wp:inline>
              </w:drawing>
            </w:r>
          </w:p>
          <w:p w14:paraId="58F865F3" w14:textId="77777777" w:rsidR="00147828" w:rsidRDefault="00147828" w:rsidP="00D4234E">
            <w:pPr>
              <w:jc w:val="center"/>
              <w:rPr>
                <w:rFonts w:eastAsiaTheme="minorEastAsia"/>
                <w:sz w:val="24"/>
                <w:szCs w:val="24"/>
              </w:rPr>
            </w:pPr>
            <w:r w:rsidRPr="3B932916">
              <w:rPr>
                <w:rFonts w:eastAsiaTheme="minorEastAsia"/>
                <w:sz w:val="24"/>
                <w:szCs w:val="24"/>
              </w:rPr>
              <w:t xml:space="preserve">(White and </w:t>
            </w:r>
            <w:proofErr w:type="spellStart"/>
            <w:r w:rsidRPr="3B932916">
              <w:rPr>
                <w:rFonts w:eastAsiaTheme="minorEastAsia"/>
                <w:sz w:val="24"/>
                <w:szCs w:val="24"/>
              </w:rPr>
              <w:t>Nafilyan</w:t>
            </w:r>
            <w:proofErr w:type="spellEnd"/>
            <w:r w:rsidRPr="3B932916">
              <w:rPr>
                <w:rFonts w:eastAsiaTheme="minorEastAsia"/>
                <w:sz w:val="24"/>
                <w:szCs w:val="24"/>
              </w:rPr>
              <w:t>, 2020)</w:t>
            </w:r>
          </w:p>
          <w:p w14:paraId="4C6BF6B0" w14:textId="77777777" w:rsidR="00147828" w:rsidRDefault="00147828" w:rsidP="00D4234E"/>
        </w:tc>
      </w:tr>
      <w:tr w:rsidR="00147828" w14:paraId="32D01B6C" w14:textId="77777777" w:rsidTr="00D4234E">
        <w:trPr>
          <w:jc w:val="center"/>
        </w:trPr>
        <w:tc>
          <w:tcPr>
            <w:tcW w:w="8970" w:type="dxa"/>
          </w:tcPr>
          <w:p w14:paraId="0DB7D723" w14:textId="77777777" w:rsidR="00147828" w:rsidRDefault="00147828" w:rsidP="00D4234E">
            <w:r>
              <w:rPr>
                <w:noProof/>
              </w:rPr>
              <w:drawing>
                <wp:inline distT="0" distB="0" distL="0" distR="0" wp14:anchorId="69F9DAE3" wp14:editId="314F2283">
                  <wp:extent cx="4572000" cy="2971800"/>
                  <wp:effectExtent l="0" t="0" r="0" b="0"/>
                  <wp:docPr id="1427033317" name="Picture 1427033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7033317"/>
                          <pic:cNvPicPr/>
                        </pic:nvPicPr>
                        <pic:blipFill>
                          <a:blip r:embed="rId10">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60C50971" w14:textId="77777777" w:rsidR="00147828" w:rsidRDefault="00147828" w:rsidP="00D4234E"/>
          <w:p w14:paraId="020828F1" w14:textId="77777777" w:rsidR="00147828" w:rsidRDefault="00147828" w:rsidP="00D4234E">
            <w:pPr>
              <w:jc w:val="center"/>
              <w:rPr>
                <w:rFonts w:eastAsiaTheme="minorEastAsia"/>
                <w:sz w:val="28"/>
                <w:szCs w:val="28"/>
              </w:rPr>
            </w:pPr>
            <w:r w:rsidRPr="3B932916">
              <w:rPr>
                <w:rFonts w:eastAsiaTheme="minorEastAsia"/>
                <w:sz w:val="24"/>
                <w:szCs w:val="24"/>
              </w:rPr>
              <w:t>(Hu, 2020)</w:t>
            </w:r>
          </w:p>
          <w:p w14:paraId="0E1766D1" w14:textId="77777777" w:rsidR="00147828" w:rsidRDefault="00147828" w:rsidP="00D4234E">
            <w:pPr>
              <w:jc w:val="center"/>
              <w:rPr>
                <w:rFonts w:eastAsiaTheme="minorEastAsia"/>
                <w:sz w:val="24"/>
                <w:szCs w:val="24"/>
              </w:rPr>
            </w:pPr>
          </w:p>
        </w:tc>
      </w:tr>
    </w:tbl>
    <w:p w14:paraId="74B8D141" w14:textId="77777777" w:rsidR="00147828" w:rsidRDefault="00147828" w:rsidP="00147828">
      <w:pPr>
        <w:rPr>
          <w:sz w:val="24"/>
          <w:szCs w:val="24"/>
        </w:rPr>
      </w:pPr>
    </w:p>
    <w:p w14:paraId="71408E57" w14:textId="77777777" w:rsidR="00147828" w:rsidRDefault="00147828" w:rsidP="00147828">
      <w:pPr>
        <w:rPr>
          <w:b/>
          <w:bCs/>
          <w:sz w:val="28"/>
          <w:szCs w:val="28"/>
          <w:u w:val="single"/>
        </w:rPr>
      </w:pPr>
      <w:r>
        <w:rPr>
          <w:b/>
          <w:bCs/>
          <w:sz w:val="28"/>
          <w:szCs w:val="28"/>
          <w:u w:val="single"/>
        </w:rPr>
        <w:br/>
      </w:r>
      <w:r>
        <w:rPr>
          <w:b/>
          <w:bCs/>
          <w:sz w:val="28"/>
          <w:szCs w:val="28"/>
          <w:u w:val="single"/>
        </w:rPr>
        <w:br/>
      </w:r>
      <w:r>
        <w:rPr>
          <w:b/>
          <w:bCs/>
          <w:sz w:val="28"/>
          <w:szCs w:val="28"/>
          <w:u w:val="single"/>
        </w:rPr>
        <w:br/>
      </w:r>
      <w:r>
        <w:rPr>
          <w:b/>
          <w:bCs/>
          <w:sz w:val="28"/>
          <w:szCs w:val="28"/>
          <w:u w:val="single"/>
        </w:rPr>
        <w:br/>
      </w:r>
    </w:p>
    <w:p w14:paraId="54A196D1" w14:textId="77777777" w:rsidR="00147828" w:rsidRDefault="00147828" w:rsidP="00147828">
      <w:pPr>
        <w:rPr>
          <w:b/>
          <w:bCs/>
          <w:sz w:val="28"/>
          <w:szCs w:val="28"/>
          <w:u w:val="single"/>
        </w:rPr>
      </w:pPr>
      <w:r>
        <w:rPr>
          <w:b/>
          <w:bCs/>
          <w:sz w:val="28"/>
          <w:szCs w:val="28"/>
          <w:u w:val="single"/>
        </w:rPr>
        <w:lastRenderedPageBreak/>
        <w:t>Conclusion</w:t>
      </w:r>
    </w:p>
    <w:p w14:paraId="5623A977" w14:textId="77777777" w:rsidR="00147828" w:rsidRPr="00F3036B" w:rsidRDefault="00147828" w:rsidP="00147828">
      <w:pPr>
        <w:rPr>
          <w:rFonts w:eastAsiaTheme="minorEastAsia"/>
          <w:color w:val="000000" w:themeColor="text1"/>
          <w:sz w:val="24"/>
          <w:szCs w:val="24"/>
        </w:rPr>
      </w:pPr>
      <w:r w:rsidRPr="3EF7C576">
        <w:rPr>
          <w:rFonts w:eastAsiaTheme="minorEastAsia"/>
          <w:color w:val="000000" w:themeColor="text1"/>
          <w:sz w:val="24"/>
          <w:szCs w:val="24"/>
        </w:rPr>
        <w:t>In conclusion, it is undeniable that black and ethnic minority communities face severe health inequalities here in the UK. It is important to note that the pandemic is not the cause of these inequalities; instead, it has simply brought these inequalities into the public eye and highlighted the systemic racism that continues to exist within the UK. The data collected from the sources above will form the basis for the essay, with the relationship between socio-economic factors and health inequalities being explored in further detail. Discussion of various strategies that could address these injustices will also be included, exploring the numerous proposed recommendations and analysing how likely they are to be successful and effective.</w:t>
      </w:r>
      <w:r>
        <w:br/>
      </w:r>
      <w:r>
        <w:br/>
      </w:r>
    </w:p>
    <w:p w14:paraId="31291665" w14:textId="77777777" w:rsidR="00147828" w:rsidRDefault="00147828" w:rsidP="00147828">
      <w:pPr>
        <w:rPr>
          <w:b/>
          <w:bCs/>
          <w:sz w:val="28"/>
          <w:szCs w:val="28"/>
          <w:u w:val="single"/>
        </w:rPr>
      </w:pPr>
      <w:r w:rsidRPr="3EF7C576">
        <w:rPr>
          <w:b/>
          <w:bCs/>
          <w:sz w:val="28"/>
          <w:szCs w:val="28"/>
          <w:u w:val="single"/>
        </w:rPr>
        <w:t>References</w:t>
      </w:r>
      <w:r>
        <w:br/>
      </w:r>
    </w:p>
    <w:p w14:paraId="104CE434" w14:textId="77777777" w:rsidR="00147828" w:rsidRDefault="00147828" w:rsidP="00147828">
      <w:pPr>
        <w:pStyle w:val="ListParagraph"/>
        <w:numPr>
          <w:ilvl w:val="0"/>
          <w:numId w:val="1"/>
        </w:numPr>
        <w:rPr>
          <w:rFonts w:eastAsiaTheme="minorEastAsia"/>
          <w:sz w:val="24"/>
          <w:szCs w:val="24"/>
        </w:rPr>
      </w:pPr>
      <w:r w:rsidRPr="3EF7C576">
        <w:rPr>
          <w:sz w:val="24"/>
          <w:szCs w:val="24"/>
        </w:rPr>
        <w:t xml:space="preserve">Ahuja, A. 2020. </w:t>
      </w:r>
      <w:r w:rsidRPr="3EF7C576">
        <w:rPr>
          <w:rFonts w:ascii="Calibri" w:eastAsia="Calibri" w:hAnsi="Calibri" w:cs="Calibri"/>
          <w:i/>
          <w:iCs/>
          <w:sz w:val="24"/>
          <w:szCs w:val="24"/>
        </w:rPr>
        <w:t xml:space="preserve">Two Intersecting Pandemics – How Covid-19 is laying bare structural racism and what we can do about it. </w:t>
      </w:r>
      <w:r w:rsidRPr="3EF7C576">
        <w:rPr>
          <w:rFonts w:ascii="Calibri" w:eastAsia="Calibri" w:hAnsi="Calibri" w:cs="Calibri"/>
          <w:sz w:val="24"/>
          <w:szCs w:val="24"/>
        </w:rPr>
        <w:t xml:space="preserve">Available at: </w:t>
      </w:r>
      <w:hyperlink r:id="rId11">
        <w:r w:rsidRPr="3EF7C576">
          <w:rPr>
            <w:rStyle w:val="Hyperlink"/>
            <w:rFonts w:ascii="Calibri" w:eastAsia="Calibri" w:hAnsi="Calibri" w:cs="Calibri"/>
            <w:sz w:val="24"/>
            <w:szCs w:val="24"/>
          </w:rPr>
          <w:t>https://www.imperial.ac.uk/stories/intersecting-pandemics/?fbclid-IwAR3gcPeal6mvD12Dz-I8otDFM-GZxiExzXgkA8ct-r</w:t>
        </w:r>
      </w:hyperlink>
      <w:r w:rsidRPr="3EF7C576">
        <w:rPr>
          <w:rFonts w:ascii="Calibri" w:eastAsia="Calibri" w:hAnsi="Calibri" w:cs="Calibri"/>
          <w:sz w:val="24"/>
          <w:szCs w:val="24"/>
        </w:rPr>
        <w:t xml:space="preserve"> [Accessed: 17 April 2021].</w:t>
      </w:r>
      <w:r>
        <w:br/>
      </w:r>
    </w:p>
    <w:p w14:paraId="70DB6B9D"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BBC. 2020. </w:t>
      </w:r>
      <w:r w:rsidRPr="3EF7C576">
        <w:rPr>
          <w:i/>
          <w:iCs/>
          <w:color w:val="3F3F42"/>
          <w:sz w:val="24"/>
          <w:szCs w:val="24"/>
        </w:rPr>
        <w:t>Coronavirus: Call for public inquiry into BAME death risk</w:t>
      </w:r>
      <w:r w:rsidRPr="3EF7C576">
        <w:rPr>
          <w:color w:val="3F3F42"/>
          <w:sz w:val="24"/>
          <w:szCs w:val="24"/>
        </w:rPr>
        <w:t xml:space="preserve">. Available at: </w:t>
      </w:r>
      <w:hyperlink r:id="rId12">
        <w:r w:rsidRPr="3EF7C576">
          <w:rPr>
            <w:rStyle w:val="Hyperlink"/>
            <w:sz w:val="24"/>
            <w:szCs w:val="24"/>
          </w:rPr>
          <w:t>https://www.bbc.co.uk/news/health-52602467</w:t>
        </w:r>
      </w:hyperlink>
      <w:r w:rsidRPr="3EF7C576">
        <w:rPr>
          <w:color w:val="3F3F42"/>
          <w:sz w:val="24"/>
          <w:szCs w:val="24"/>
        </w:rPr>
        <w:t xml:space="preserve"> [Accessed: 20 April 2021].</w:t>
      </w:r>
      <w:r w:rsidRPr="3EF7C576">
        <w:rPr>
          <w:rFonts w:ascii="Calibri" w:eastAsia="Calibri" w:hAnsi="Calibri" w:cs="Calibri"/>
          <w:sz w:val="24"/>
          <w:szCs w:val="24"/>
        </w:rPr>
        <w:t xml:space="preserve"> </w:t>
      </w:r>
      <w:r>
        <w:br/>
      </w:r>
    </w:p>
    <w:p w14:paraId="2CBC663D"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Bhopal, R. 2020. </w:t>
      </w:r>
      <w:r w:rsidRPr="3EF7C576">
        <w:rPr>
          <w:i/>
          <w:iCs/>
          <w:sz w:val="24"/>
          <w:szCs w:val="24"/>
        </w:rPr>
        <w:t>Covid-19: undocumented migrants are probably at greatest risk</w:t>
      </w:r>
      <w:r w:rsidRPr="3EF7C576">
        <w:rPr>
          <w:sz w:val="24"/>
          <w:szCs w:val="24"/>
        </w:rPr>
        <w:t xml:space="preserve">. Available at: </w:t>
      </w:r>
      <w:hyperlink r:id="rId13">
        <w:r w:rsidRPr="3EF7C576">
          <w:rPr>
            <w:rStyle w:val="Hyperlink"/>
            <w:sz w:val="24"/>
            <w:szCs w:val="24"/>
          </w:rPr>
          <w:t>https://www.bmj.com/content/bmj/369/bmj.m1673.full.pdf</w:t>
        </w:r>
      </w:hyperlink>
      <w:r w:rsidRPr="3EF7C576">
        <w:rPr>
          <w:sz w:val="24"/>
          <w:szCs w:val="24"/>
        </w:rPr>
        <w:t xml:space="preserve"> [Accessed: 21 April 2021].</w:t>
      </w:r>
      <w:r>
        <w:br/>
      </w:r>
    </w:p>
    <w:p w14:paraId="52AB03E8"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Cook, T., </w:t>
      </w:r>
      <w:proofErr w:type="spellStart"/>
      <w:r w:rsidRPr="3EF7C576">
        <w:rPr>
          <w:sz w:val="24"/>
          <w:szCs w:val="24"/>
        </w:rPr>
        <w:t>Kursumovic</w:t>
      </w:r>
      <w:proofErr w:type="spellEnd"/>
      <w:r w:rsidRPr="3EF7C576">
        <w:rPr>
          <w:sz w:val="24"/>
          <w:szCs w:val="24"/>
        </w:rPr>
        <w:t xml:space="preserve">, E., &amp; </w:t>
      </w:r>
      <w:proofErr w:type="spellStart"/>
      <w:r w:rsidRPr="3EF7C576">
        <w:rPr>
          <w:sz w:val="24"/>
          <w:szCs w:val="24"/>
        </w:rPr>
        <w:t>Lennane</w:t>
      </w:r>
      <w:proofErr w:type="spellEnd"/>
      <w:r w:rsidRPr="3EF7C576">
        <w:rPr>
          <w:sz w:val="24"/>
          <w:szCs w:val="24"/>
        </w:rPr>
        <w:t xml:space="preserve">, S. 2020. </w:t>
      </w:r>
      <w:r w:rsidRPr="3EF7C576">
        <w:rPr>
          <w:rFonts w:eastAsiaTheme="minorEastAsia"/>
          <w:i/>
          <w:iCs/>
          <w:color w:val="444444"/>
          <w:sz w:val="24"/>
          <w:szCs w:val="24"/>
        </w:rPr>
        <w:t xml:space="preserve">Exclusive: deaths of NHS staff from covid-19 analysed. </w:t>
      </w:r>
      <w:r w:rsidRPr="3EF7C576">
        <w:rPr>
          <w:rFonts w:eastAsiaTheme="minorEastAsia"/>
          <w:color w:val="444444"/>
          <w:sz w:val="24"/>
          <w:szCs w:val="24"/>
        </w:rPr>
        <w:t xml:space="preserve">Available at: </w:t>
      </w:r>
      <w:hyperlink r:id="rId14">
        <w:r w:rsidRPr="3EF7C576">
          <w:rPr>
            <w:rStyle w:val="Hyperlink"/>
            <w:rFonts w:eastAsiaTheme="minorEastAsia"/>
            <w:sz w:val="24"/>
            <w:szCs w:val="24"/>
          </w:rPr>
          <w:t>https://www.hsj.co.uk/exclusive-deaths-of-nhs-staff-from-covid-19-analysed/7027471.article</w:t>
        </w:r>
      </w:hyperlink>
      <w:r w:rsidRPr="3EF7C576">
        <w:rPr>
          <w:rFonts w:eastAsiaTheme="minorEastAsia"/>
          <w:color w:val="444444"/>
          <w:sz w:val="24"/>
          <w:szCs w:val="24"/>
        </w:rPr>
        <w:t xml:space="preserve"> [Accessed: 19 April 2021].</w:t>
      </w:r>
      <w:r>
        <w:br/>
      </w:r>
    </w:p>
    <w:p w14:paraId="05C1BBA5" w14:textId="77777777" w:rsidR="00147828" w:rsidRPr="00BC30F1" w:rsidRDefault="00147828" w:rsidP="00147828">
      <w:pPr>
        <w:pStyle w:val="ListParagraph"/>
        <w:numPr>
          <w:ilvl w:val="0"/>
          <w:numId w:val="1"/>
        </w:numPr>
        <w:rPr>
          <w:rFonts w:eastAsiaTheme="minorEastAsia"/>
          <w:color w:val="323132"/>
          <w:sz w:val="24"/>
          <w:szCs w:val="24"/>
        </w:rPr>
      </w:pPr>
      <w:r w:rsidRPr="3EF7C576">
        <w:rPr>
          <w:color w:val="323132"/>
          <w:sz w:val="24"/>
          <w:szCs w:val="24"/>
        </w:rPr>
        <w:t xml:space="preserve">Hu, Y. 2020. </w:t>
      </w:r>
      <w:r w:rsidRPr="3EF7C576">
        <w:rPr>
          <w:i/>
          <w:iCs/>
          <w:color w:val="141414"/>
          <w:sz w:val="24"/>
          <w:szCs w:val="24"/>
        </w:rPr>
        <w:t>The UK’s BAME groups are more likely to have lost their jobs in lockdown.</w:t>
      </w:r>
      <w:r w:rsidRPr="3EF7C576">
        <w:rPr>
          <w:color w:val="141414"/>
          <w:sz w:val="24"/>
          <w:szCs w:val="24"/>
        </w:rPr>
        <w:t xml:space="preserve"> Available at: </w:t>
      </w:r>
      <w:hyperlink r:id="rId15">
        <w:r w:rsidRPr="3EF7C576">
          <w:rPr>
            <w:rStyle w:val="Hyperlink"/>
            <w:sz w:val="24"/>
            <w:szCs w:val="24"/>
          </w:rPr>
          <w:t>https://www.weforum.org/agenda/2020/07/black-asian-minority-groups-lockdown-covid19-coronavirus/</w:t>
        </w:r>
      </w:hyperlink>
      <w:r w:rsidRPr="3EF7C576">
        <w:rPr>
          <w:color w:val="141414"/>
          <w:sz w:val="24"/>
          <w:szCs w:val="24"/>
        </w:rPr>
        <w:t xml:space="preserve"> [Accessed: 21 April 2021].</w:t>
      </w:r>
      <w:r>
        <w:rPr>
          <w:color w:val="141414"/>
          <w:sz w:val="24"/>
          <w:szCs w:val="24"/>
        </w:rPr>
        <w:br/>
      </w:r>
    </w:p>
    <w:p w14:paraId="74484CAE" w14:textId="77777777" w:rsidR="00147828" w:rsidRDefault="00147828" w:rsidP="00147828">
      <w:pPr>
        <w:pStyle w:val="ListParagraph"/>
        <w:numPr>
          <w:ilvl w:val="0"/>
          <w:numId w:val="1"/>
        </w:numPr>
        <w:rPr>
          <w:rFonts w:eastAsiaTheme="minorEastAsia"/>
          <w:color w:val="323132"/>
          <w:sz w:val="24"/>
          <w:szCs w:val="24"/>
        </w:rPr>
      </w:pPr>
      <w:r>
        <w:rPr>
          <w:sz w:val="24"/>
          <w:szCs w:val="24"/>
        </w:rPr>
        <w:t>Independent SAGE</w:t>
      </w:r>
      <w:r w:rsidRPr="3EF7C576">
        <w:rPr>
          <w:sz w:val="24"/>
          <w:szCs w:val="24"/>
        </w:rPr>
        <w:t xml:space="preserve">. 2020. </w:t>
      </w:r>
      <w:r w:rsidRPr="3EF7C576">
        <w:rPr>
          <w:i/>
          <w:iCs/>
          <w:sz w:val="24"/>
          <w:szCs w:val="24"/>
        </w:rPr>
        <w:t>Disparities in the impact of COVID-19 in Black and Minority Ethnic populations.</w:t>
      </w:r>
      <w:r w:rsidRPr="3EF7C576">
        <w:rPr>
          <w:sz w:val="24"/>
          <w:szCs w:val="24"/>
        </w:rPr>
        <w:t xml:space="preserve"> Available at: </w:t>
      </w:r>
      <w:hyperlink r:id="rId16">
        <w:r w:rsidRPr="3EF7C576">
          <w:rPr>
            <w:rStyle w:val="Hyperlink"/>
            <w:sz w:val="24"/>
            <w:szCs w:val="24"/>
          </w:rPr>
          <w:t>https://www.independentsage.org/wp-content/uploads/2020/07/Independent-SAGE-BME-Report_02July_FINAL.pdf</w:t>
        </w:r>
      </w:hyperlink>
      <w:r w:rsidRPr="3EF7C576">
        <w:rPr>
          <w:sz w:val="24"/>
          <w:szCs w:val="24"/>
        </w:rPr>
        <w:t xml:space="preserve"> [Accessed: 16 April 2021].</w:t>
      </w:r>
      <w:r>
        <w:br/>
      </w:r>
    </w:p>
    <w:p w14:paraId="14B2A1B4" w14:textId="77777777" w:rsidR="00147828" w:rsidRDefault="00147828" w:rsidP="00147828">
      <w:pPr>
        <w:pStyle w:val="ListParagraph"/>
        <w:numPr>
          <w:ilvl w:val="0"/>
          <w:numId w:val="1"/>
        </w:numPr>
        <w:rPr>
          <w:rFonts w:eastAsiaTheme="minorEastAsia"/>
          <w:color w:val="0F1419"/>
          <w:sz w:val="24"/>
          <w:szCs w:val="24"/>
        </w:rPr>
      </w:pPr>
      <w:proofErr w:type="spellStart"/>
      <w:r w:rsidRPr="3EF7C576">
        <w:rPr>
          <w:sz w:val="24"/>
          <w:szCs w:val="24"/>
        </w:rPr>
        <w:t>Levene</w:t>
      </w:r>
      <w:proofErr w:type="spellEnd"/>
      <w:r w:rsidRPr="3EF7C576">
        <w:rPr>
          <w:sz w:val="24"/>
          <w:szCs w:val="24"/>
        </w:rPr>
        <w:t xml:space="preserve"> et al. 2020. </w:t>
      </w:r>
      <w:r w:rsidRPr="3EF7C576">
        <w:rPr>
          <w:color w:val="131313"/>
          <w:sz w:val="24"/>
          <w:szCs w:val="24"/>
        </w:rPr>
        <w:t xml:space="preserve">COVID-19 cumulative mortality rates for frontline healthcare staff in England. </w:t>
      </w:r>
      <w:r w:rsidRPr="3EF7C576">
        <w:rPr>
          <w:i/>
          <w:iCs/>
          <w:color w:val="131313"/>
          <w:sz w:val="24"/>
          <w:szCs w:val="24"/>
        </w:rPr>
        <w:t xml:space="preserve">British Journal of General Practice </w:t>
      </w:r>
      <w:r w:rsidRPr="3EF7C576">
        <w:rPr>
          <w:color w:val="131313"/>
          <w:sz w:val="24"/>
          <w:szCs w:val="24"/>
        </w:rPr>
        <w:t xml:space="preserve">70, pp. 327. Doi: </w:t>
      </w:r>
      <w:hyperlink r:id="rId17">
        <w:r w:rsidRPr="3EF7C576">
          <w:rPr>
            <w:rStyle w:val="Hyperlink"/>
            <w:sz w:val="24"/>
            <w:szCs w:val="24"/>
          </w:rPr>
          <w:t>https://doi.org/10.3399/bjgp20X710837</w:t>
        </w:r>
        <w:r>
          <w:br/>
        </w:r>
      </w:hyperlink>
    </w:p>
    <w:p w14:paraId="23F23ED9" w14:textId="77777777" w:rsidR="00147828" w:rsidRDefault="00147828" w:rsidP="00147828">
      <w:pPr>
        <w:pStyle w:val="ListParagraph"/>
        <w:numPr>
          <w:ilvl w:val="0"/>
          <w:numId w:val="1"/>
        </w:numPr>
        <w:rPr>
          <w:rFonts w:eastAsiaTheme="minorEastAsia"/>
          <w:color w:val="0F1419"/>
          <w:sz w:val="24"/>
          <w:szCs w:val="24"/>
        </w:rPr>
      </w:pPr>
      <w:r w:rsidRPr="3EF7C576">
        <w:rPr>
          <w:sz w:val="24"/>
          <w:szCs w:val="24"/>
        </w:rPr>
        <w:t xml:space="preserve">Marmot, M et al. 2020. </w:t>
      </w:r>
      <w:r w:rsidRPr="3EF7C576">
        <w:rPr>
          <w:i/>
          <w:iCs/>
          <w:sz w:val="24"/>
          <w:szCs w:val="24"/>
        </w:rPr>
        <w:t xml:space="preserve">Health Equity in England: The Marmot Review 10 Years On. </w:t>
      </w:r>
      <w:r w:rsidRPr="3EF7C576">
        <w:rPr>
          <w:sz w:val="24"/>
          <w:szCs w:val="24"/>
        </w:rPr>
        <w:t xml:space="preserve">Available at: </w:t>
      </w:r>
      <w:hyperlink r:id="rId18">
        <w:r w:rsidRPr="3EF7C576">
          <w:rPr>
            <w:rStyle w:val="Hyperlink"/>
            <w:sz w:val="24"/>
            <w:szCs w:val="24"/>
          </w:rPr>
          <w:t>https://www.health.org.uk/publications/reports/the-marmot-review-10-years-on</w:t>
        </w:r>
      </w:hyperlink>
      <w:r w:rsidRPr="3EF7C576">
        <w:rPr>
          <w:sz w:val="24"/>
          <w:szCs w:val="24"/>
        </w:rPr>
        <w:t xml:space="preserve"> [Accessed: 20 April 2021].</w:t>
      </w:r>
      <w:r>
        <w:br/>
      </w:r>
    </w:p>
    <w:p w14:paraId="1F61D71D" w14:textId="77777777" w:rsidR="00147828" w:rsidRDefault="00147828" w:rsidP="00147828">
      <w:pPr>
        <w:pStyle w:val="ListParagraph"/>
        <w:numPr>
          <w:ilvl w:val="0"/>
          <w:numId w:val="1"/>
        </w:numPr>
        <w:rPr>
          <w:color w:val="0F1419"/>
          <w:sz w:val="24"/>
          <w:szCs w:val="24"/>
        </w:rPr>
      </w:pPr>
      <w:r w:rsidRPr="3EF7C576">
        <w:rPr>
          <w:rFonts w:ascii="Calibri" w:eastAsia="Calibri" w:hAnsi="Calibri" w:cs="Calibri"/>
          <w:sz w:val="24"/>
          <w:szCs w:val="24"/>
        </w:rPr>
        <w:lastRenderedPageBreak/>
        <w:t xml:space="preserve">Nursing Notes. 2020. </w:t>
      </w:r>
      <w:r w:rsidRPr="3EF7C576">
        <w:rPr>
          <w:i/>
          <w:iCs/>
          <w:color w:val="0F1419"/>
          <w:sz w:val="24"/>
          <w:szCs w:val="24"/>
        </w:rPr>
        <w:t xml:space="preserve">A massive 70% of front-line health and social care workers have who died from COVID-19 are from the BAME community </w:t>
      </w:r>
      <w:r w:rsidRPr="3EF7C576">
        <w:rPr>
          <w:color w:val="0F1419"/>
          <w:sz w:val="24"/>
          <w:szCs w:val="24"/>
        </w:rPr>
        <w:t xml:space="preserve">[Twitter]. 15 April. Available at: </w:t>
      </w:r>
      <w:hyperlink r:id="rId19">
        <w:r w:rsidRPr="3EF7C576">
          <w:rPr>
            <w:rStyle w:val="Hyperlink"/>
            <w:sz w:val="24"/>
            <w:szCs w:val="24"/>
          </w:rPr>
          <w:t>https://twitter.com/nursingnotesuk/status/1250365046082998272?lang=en</w:t>
        </w:r>
      </w:hyperlink>
      <w:r w:rsidRPr="3EF7C576">
        <w:rPr>
          <w:color w:val="0F1419"/>
          <w:sz w:val="24"/>
          <w:szCs w:val="24"/>
        </w:rPr>
        <w:t xml:space="preserve"> [Accessed: 17 April 2021].</w:t>
      </w:r>
      <w:r>
        <w:br/>
      </w:r>
    </w:p>
    <w:p w14:paraId="07862391" w14:textId="77777777" w:rsidR="00147828" w:rsidRDefault="00147828" w:rsidP="00147828">
      <w:pPr>
        <w:pStyle w:val="ListParagraph"/>
        <w:numPr>
          <w:ilvl w:val="0"/>
          <w:numId w:val="1"/>
        </w:numPr>
        <w:rPr>
          <w:rFonts w:eastAsiaTheme="minorEastAsia"/>
          <w:color w:val="0F1419"/>
          <w:sz w:val="24"/>
          <w:szCs w:val="24"/>
        </w:rPr>
      </w:pPr>
      <w:r w:rsidRPr="3EF7C576">
        <w:rPr>
          <w:color w:val="333333"/>
          <w:sz w:val="24"/>
          <w:szCs w:val="24"/>
        </w:rPr>
        <w:t xml:space="preserve">Royal College of Nursing. 2020. </w:t>
      </w:r>
      <w:r w:rsidRPr="3EF7C576">
        <w:rPr>
          <w:i/>
          <w:iCs/>
          <w:sz w:val="24"/>
          <w:szCs w:val="24"/>
        </w:rPr>
        <w:t>Second Personal Protective Equipment Survey of UK Nursing Staff Report.</w:t>
      </w:r>
      <w:r w:rsidRPr="3EF7C576">
        <w:rPr>
          <w:sz w:val="24"/>
          <w:szCs w:val="24"/>
        </w:rPr>
        <w:t xml:space="preserve"> Available at: </w:t>
      </w:r>
      <w:hyperlink r:id="rId20">
        <w:r w:rsidRPr="3EF7C576">
          <w:rPr>
            <w:rStyle w:val="Hyperlink"/>
            <w:sz w:val="24"/>
            <w:szCs w:val="24"/>
          </w:rPr>
          <w:t>https://www.rcn.org.uk/-/media/royal-college-of-nursing/documents/publications/2020/may/009-269.pdf?la=en</w:t>
        </w:r>
      </w:hyperlink>
      <w:r w:rsidRPr="3EF7C576">
        <w:rPr>
          <w:sz w:val="24"/>
          <w:szCs w:val="24"/>
        </w:rPr>
        <w:t xml:space="preserve"> [Accessed: 20 April 2021].</w:t>
      </w:r>
      <w:r>
        <w:br/>
      </w:r>
    </w:p>
    <w:p w14:paraId="400F35B6" w14:textId="77777777" w:rsidR="00147828" w:rsidRPr="00BC30F1" w:rsidRDefault="00147828" w:rsidP="00147828">
      <w:pPr>
        <w:pStyle w:val="ListParagraph"/>
        <w:numPr>
          <w:ilvl w:val="0"/>
          <w:numId w:val="1"/>
        </w:numPr>
        <w:rPr>
          <w:rFonts w:eastAsiaTheme="minorEastAsia"/>
          <w:color w:val="0F1419"/>
          <w:sz w:val="24"/>
          <w:szCs w:val="24"/>
        </w:rPr>
      </w:pPr>
      <w:r w:rsidRPr="00BC30F1">
        <w:rPr>
          <w:sz w:val="24"/>
          <w:szCs w:val="24"/>
        </w:rPr>
        <w:t xml:space="preserve">White, C and </w:t>
      </w:r>
      <w:proofErr w:type="spellStart"/>
      <w:r w:rsidRPr="00BC30F1">
        <w:rPr>
          <w:sz w:val="24"/>
          <w:szCs w:val="24"/>
        </w:rPr>
        <w:t>Nafilyan</w:t>
      </w:r>
      <w:proofErr w:type="spellEnd"/>
      <w:r w:rsidRPr="00BC30F1">
        <w:rPr>
          <w:sz w:val="24"/>
          <w:szCs w:val="24"/>
        </w:rPr>
        <w:t xml:space="preserve">, V. 2020. </w:t>
      </w:r>
      <w:r w:rsidRPr="00BC30F1">
        <w:rPr>
          <w:i/>
          <w:iCs/>
          <w:color w:val="323132"/>
          <w:sz w:val="24"/>
          <w:szCs w:val="24"/>
        </w:rPr>
        <w:t>Coronavirus (COVID-19) related deaths by ethnic group, England and Wales: 2 March 2020 to 15 May 2020</w:t>
      </w:r>
      <w:r w:rsidRPr="00BC30F1">
        <w:rPr>
          <w:color w:val="323132"/>
          <w:sz w:val="24"/>
          <w:szCs w:val="24"/>
        </w:rPr>
        <w:t xml:space="preserve">. Available at: </w:t>
      </w:r>
      <w:hyperlink r:id="rId21">
        <w:r w:rsidRPr="00BC30F1">
          <w:rPr>
            <w:rStyle w:val="Hyperlink"/>
            <w:sz w:val="24"/>
            <w:szCs w:val="24"/>
          </w:rPr>
          <w:t>https://www.ons.gov.uk/peoplepopulationandcommunity/birthsdeathsandmarriages/deaths/articles/coronaviruscovid19relateddeathsbyethnicgroupenglandandwales/2march2020to15may2020</w:t>
        </w:r>
      </w:hyperlink>
      <w:r w:rsidRPr="00BC30F1">
        <w:rPr>
          <w:color w:val="323132"/>
          <w:sz w:val="24"/>
          <w:szCs w:val="24"/>
        </w:rPr>
        <w:t xml:space="preserve"> [Accessed: 20 April 2021].</w:t>
      </w:r>
      <w:r>
        <w:br/>
      </w:r>
    </w:p>
    <w:p w14:paraId="4F642210" w14:textId="77777777" w:rsidR="00147828" w:rsidRDefault="00147828"/>
    <w:sectPr w:rsidR="00147828" w:rsidSect="004E1293">
      <w:headerReference w:type="default" r:id="rId22"/>
      <w:footerReference w:type="default" r:id="rId23"/>
      <w:headerReference w:type="first" r:id="rId24"/>
      <w:footerReference w:type="first" r:id="rId2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02837" w14:textId="77777777" w:rsidR="00147828" w:rsidRDefault="00147828" w:rsidP="00147828">
      <w:pPr>
        <w:spacing w:after="0" w:line="240" w:lineRule="auto"/>
      </w:pPr>
      <w:r>
        <w:separator/>
      </w:r>
    </w:p>
  </w:endnote>
  <w:endnote w:type="continuationSeparator" w:id="0">
    <w:p w14:paraId="05410587" w14:textId="77777777" w:rsidR="00147828" w:rsidRDefault="00147828" w:rsidP="00147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4F3958B1" w14:textId="77777777" w:rsidTr="3EF7C576">
      <w:tc>
        <w:tcPr>
          <w:tcW w:w="3485" w:type="dxa"/>
        </w:tcPr>
        <w:p w14:paraId="305899FE" w14:textId="77777777" w:rsidR="3EF7C576" w:rsidRDefault="00147828" w:rsidP="3EF7C576">
          <w:pPr>
            <w:pStyle w:val="Header"/>
            <w:ind w:left="-115"/>
          </w:pPr>
        </w:p>
      </w:tc>
      <w:tc>
        <w:tcPr>
          <w:tcW w:w="3485" w:type="dxa"/>
        </w:tcPr>
        <w:p w14:paraId="5218603E" w14:textId="77777777" w:rsidR="3EF7C576" w:rsidRDefault="00147828" w:rsidP="3EF7C576">
          <w:pPr>
            <w:pStyle w:val="Header"/>
            <w:jc w:val="center"/>
          </w:pPr>
        </w:p>
      </w:tc>
      <w:tc>
        <w:tcPr>
          <w:tcW w:w="3485" w:type="dxa"/>
        </w:tcPr>
        <w:p w14:paraId="0C31027E" w14:textId="77777777" w:rsidR="3EF7C576" w:rsidRDefault="00147828" w:rsidP="3EF7C576">
          <w:pPr>
            <w:pStyle w:val="Header"/>
            <w:ind w:right="-115"/>
            <w:jc w:val="right"/>
          </w:pPr>
        </w:p>
      </w:tc>
    </w:tr>
  </w:tbl>
  <w:p w14:paraId="660C4BA0" w14:textId="77777777" w:rsidR="00EE67E8" w:rsidRDefault="001478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1B865E09" w14:textId="77777777" w:rsidTr="3EF7C576">
      <w:tc>
        <w:tcPr>
          <w:tcW w:w="3485" w:type="dxa"/>
        </w:tcPr>
        <w:p w14:paraId="3AFF951B" w14:textId="77777777" w:rsidR="3EF7C576" w:rsidRDefault="00147828" w:rsidP="3EF7C576">
          <w:pPr>
            <w:pStyle w:val="Header"/>
            <w:ind w:left="-115"/>
          </w:pPr>
        </w:p>
      </w:tc>
      <w:tc>
        <w:tcPr>
          <w:tcW w:w="3485" w:type="dxa"/>
        </w:tcPr>
        <w:p w14:paraId="7A08082E" w14:textId="77777777" w:rsidR="3EF7C576" w:rsidRDefault="00147828" w:rsidP="3EF7C576">
          <w:pPr>
            <w:pStyle w:val="Header"/>
            <w:jc w:val="center"/>
          </w:pPr>
        </w:p>
      </w:tc>
      <w:tc>
        <w:tcPr>
          <w:tcW w:w="3485" w:type="dxa"/>
        </w:tcPr>
        <w:p w14:paraId="212ECD4A" w14:textId="77777777" w:rsidR="3EF7C576" w:rsidRDefault="00147828" w:rsidP="3EF7C576">
          <w:pPr>
            <w:pStyle w:val="Header"/>
            <w:ind w:right="-115"/>
            <w:jc w:val="right"/>
          </w:pPr>
        </w:p>
      </w:tc>
    </w:tr>
  </w:tbl>
  <w:p w14:paraId="0CD2440F" w14:textId="77777777" w:rsidR="00EE67E8" w:rsidRDefault="0014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0EA3F" w14:textId="77777777" w:rsidR="00147828" w:rsidRDefault="00147828" w:rsidP="00147828">
      <w:pPr>
        <w:spacing w:after="0" w:line="240" w:lineRule="auto"/>
      </w:pPr>
      <w:r>
        <w:separator/>
      </w:r>
    </w:p>
  </w:footnote>
  <w:footnote w:type="continuationSeparator" w:id="0">
    <w:p w14:paraId="581BFD1E" w14:textId="77777777" w:rsidR="00147828" w:rsidRDefault="00147828" w:rsidP="00147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EF7C576" w14:paraId="7CDC6F0A" w14:textId="77777777" w:rsidTr="3EF7C576">
      <w:tc>
        <w:tcPr>
          <w:tcW w:w="3485" w:type="dxa"/>
        </w:tcPr>
        <w:p w14:paraId="43EBD295" w14:textId="77777777" w:rsidR="3EF7C576" w:rsidRDefault="00147828" w:rsidP="3EF7C576">
          <w:pPr>
            <w:pStyle w:val="Header"/>
            <w:ind w:left="-115"/>
          </w:pPr>
        </w:p>
      </w:tc>
      <w:tc>
        <w:tcPr>
          <w:tcW w:w="3485" w:type="dxa"/>
        </w:tcPr>
        <w:p w14:paraId="48FA738C" w14:textId="77777777" w:rsidR="3EF7C576" w:rsidRDefault="00147828" w:rsidP="3EF7C576">
          <w:pPr>
            <w:pStyle w:val="Header"/>
            <w:jc w:val="center"/>
          </w:pPr>
        </w:p>
      </w:tc>
      <w:tc>
        <w:tcPr>
          <w:tcW w:w="3485" w:type="dxa"/>
        </w:tcPr>
        <w:p w14:paraId="4B2F9E65" w14:textId="77777777" w:rsidR="3EF7C576" w:rsidRDefault="00147828" w:rsidP="3EF7C576">
          <w:pPr>
            <w:pStyle w:val="Header"/>
            <w:ind w:right="-115"/>
            <w:jc w:val="right"/>
          </w:pPr>
        </w:p>
      </w:tc>
    </w:tr>
  </w:tbl>
  <w:p w14:paraId="2F9CD77B" w14:textId="77777777" w:rsidR="00EE67E8" w:rsidRDefault="001478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54167" w14:textId="77777777" w:rsidR="005800E5" w:rsidRDefault="00147828" w:rsidP="005800E5">
    <w:pPr>
      <w:pStyle w:val="Header"/>
      <w:jc w:val="center"/>
    </w:pPr>
    <w:r w:rsidRPr="3EF7C576">
      <w:rPr>
        <w:b/>
        <w:bCs/>
        <w:sz w:val="28"/>
        <w:szCs w:val="28"/>
        <w:u w:val="single"/>
      </w:rPr>
      <w:t xml:space="preserve">“The Inequality Virus”: An analysis of the discriminatory nature of </w:t>
    </w:r>
    <w:r w:rsidRPr="3EF7C576">
      <w:rPr>
        <w:b/>
        <w:bCs/>
        <w:sz w:val="28"/>
        <w:szCs w:val="28"/>
        <w:u w:val="single"/>
      </w:rPr>
      <w:t>Covid-19 and how the BAME community have been disproportionately affected in the UK</w:t>
    </w:r>
  </w:p>
  <w:p w14:paraId="282AC272" w14:textId="77777777" w:rsidR="00EE67E8" w:rsidRDefault="00147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E6D52"/>
    <w:multiLevelType w:val="hybridMultilevel"/>
    <w:tmpl w:val="4BB48E1C"/>
    <w:lvl w:ilvl="0" w:tplc="570A9E70">
      <w:start w:val="1"/>
      <w:numFmt w:val="bullet"/>
      <w:lvlText w:val=""/>
      <w:lvlJc w:val="left"/>
      <w:pPr>
        <w:ind w:left="360" w:hanging="360"/>
      </w:pPr>
      <w:rPr>
        <w:rFonts w:ascii="Symbol" w:hAnsi="Symbol" w:hint="default"/>
      </w:rPr>
    </w:lvl>
    <w:lvl w:ilvl="1" w:tplc="C33A0A0A">
      <w:start w:val="1"/>
      <w:numFmt w:val="bullet"/>
      <w:lvlText w:val="o"/>
      <w:lvlJc w:val="left"/>
      <w:pPr>
        <w:ind w:left="1080" w:hanging="360"/>
      </w:pPr>
      <w:rPr>
        <w:rFonts w:ascii="Courier New" w:hAnsi="Courier New" w:hint="default"/>
      </w:rPr>
    </w:lvl>
    <w:lvl w:ilvl="2" w:tplc="A0985D3E">
      <w:start w:val="1"/>
      <w:numFmt w:val="bullet"/>
      <w:lvlText w:val=""/>
      <w:lvlJc w:val="left"/>
      <w:pPr>
        <w:ind w:left="1800" w:hanging="360"/>
      </w:pPr>
      <w:rPr>
        <w:rFonts w:ascii="Wingdings" w:hAnsi="Wingdings" w:hint="default"/>
      </w:rPr>
    </w:lvl>
    <w:lvl w:ilvl="3" w:tplc="A330FEC4">
      <w:start w:val="1"/>
      <w:numFmt w:val="bullet"/>
      <w:lvlText w:val=""/>
      <w:lvlJc w:val="left"/>
      <w:pPr>
        <w:ind w:left="2520" w:hanging="360"/>
      </w:pPr>
      <w:rPr>
        <w:rFonts w:ascii="Symbol" w:hAnsi="Symbol" w:hint="default"/>
      </w:rPr>
    </w:lvl>
    <w:lvl w:ilvl="4" w:tplc="29027D5A">
      <w:start w:val="1"/>
      <w:numFmt w:val="bullet"/>
      <w:lvlText w:val="o"/>
      <w:lvlJc w:val="left"/>
      <w:pPr>
        <w:ind w:left="3240" w:hanging="360"/>
      </w:pPr>
      <w:rPr>
        <w:rFonts w:ascii="Courier New" w:hAnsi="Courier New" w:hint="default"/>
      </w:rPr>
    </w:lvl>
    <w:lvl w:ilvl="5" w:tplc="428674B0">
      <w:start w:val="1"/>
      <w:numFmt w:val="bullet"/>
      <w:lvlText w:val=""/>
      <w:lvlJc w:val="left"/>
      <w:pPr>
        <w:ind w:left="3960" w:hanging="360"/>
      </w:pPr>
      <w:rPr>
        <w:rFonts w:ascii="Wingdings" w:hAnsi="Wingdings" w:hint="default"/>
      </w:rPr>
    </w:lvl>
    <w:lvl w:ilvl="6" w:tplc="258AACC8">
      <w:start w:val="1"/>
      <w:numFmt w:val="bullet"/>
      <w:lvlText w:val=""/>
      <w:lvlJc w:val="left"/>
      <w:pPr>
        <w:ind w:left="4680" w:hanging="360"/>
      </w:pPr>
      <w:rPr>
        <w:rFonts w:ascii="Symbol" w:hAnsi="Symbol" w:hint="default"/>
      </w:rPr>
    </w:lvl>
    <w:lvl w:ilvl="7" w:tplc="103E69AA">
      <w:start w:val="1"/>
      <w:numFmt w:val="bullet"/>
      <w:lvlText w:val="o"/>
      <w:lvlJc w:val="left"/>
      <w:pPr>
        <w:ind w:left="5400" w:hanging="360"/>
      </w:pPr>
      <w:rPr>
        <w:rFonts w:ascii="Courier New" w:hAnsi="Courier New" w:hint="default"/>
      </w:rPr>
    </w:lvl>
    <w:lvl w:ilvl="8" w:tplc="FADC5B8A">
      <w:start w:val="1"/>
      <w:numFmt w:val="bullet"/>
      <w:lvlText w:val=""/>
      <w:lvlJc w:val="left"/>
      <w:pPr>
        <w:ind w:left="6120" w:hanging="360"/>
      </w:pPr>
      <w:rPr>
        <w:rFonts w:ascii="Wingdings" w:hAnsi="Wingdings" w:hint="default"/>
      </w:rPr>
    </w:lvl>
  </w:abstractNum>
  <w:abstractNum w:abstractNumId="1" w15:restartNumberingAfterBreak="0">
    <w:nsid w:val="272E5ADD"/>
    <w:multiLevelType w:val="hybridMultilevel"/>
    <w:tmpl w:val="1EBC588A"/>
    <w:lvl w:ilvl="0" w:tplc="22BABC0E">
      <w:start w:val="1"/>
      <w:numFmt w:val="bullet"/>
      <w:lvlText w:val=""/>
      <w:lvlJc w:val="left"/>
      <w:pPr>
        <w:ind w:left="720" w:hanging="360"/>
      </w:pPr>
      <w:rPr>
        <w:rFonts w:ascii="Symbol" w:hAnsi="Symbol" w:hint="default"/>
      </w:rPr>
    </w:lvl>
    <w:lvl w:ilvl="1" w:tplc="FA38BC84">
      <w:start w:val="1"/>
      <w:numFmt w:val="bullet"/>
      <w:lvlText w:val="o"/>
      <w:lvlJc w:val="left"/>
      <w:pPr>
        <w:ind w:left="1440" w:hanging="360"/>
      </w:pPr>
      <w:rPr>
        <w:rFonts w:ascii="Courier New" w:hAnsi="Courier New" w:hint="default"/>
      </w:rPr>
    </w:lvl>
    <w:lvl w:ilvl="2" w:tplc="C14E7C96">
      <w:start w:val="1"/>
      <w:numFmt w:val="bullet"/>
      <w:lvlText w:val=""/>
      <w:lvlJc w:val="left"/>
      <w:pPr>
        <w:ind w:left="2160" w:hanging="360"/>
      </w:pPr>
      <w:rPr>
        <w:rFonts w:ascii="Wingdings" w:hAnsi="Wingdings" w:hint="default"/>
      </w:rPr>
    </w:lvl>
    <w:lvl w:ilvl="3" w:tplc="F99440F0">
      <w:start w:val="1"/>
      <w:numFmt w:val="bullet"/>
      <w:lvlText w:val=""/>
      <w:lvlJc w:val="left"/>
      <w:pPr>
        <w:ind w:left="2880" w:hanging="360"/>
      </w:pPr>
      <w:rPr>
        <w:rFonts w:ascii="Symbol" w:hAnsi="Symbol" w:hint="default"/>
      </w:rPr>
    </w:lvl>
    <w:lvl w:ilvl="4" w:tplc="8C26020C">
      <w:start w:val="1"/>
      <w:numFmt w:val="bullet"/>
      <w:lvlText w:val="o"/>
      <w:lvlJc w:val="left"/>
      <w:pPr>
        <w:ind w:left="3600" w:hanging="360"/>
      </w:pPr>
      <w:rPr>
        <w:rFonts w:ascii="Courier New" w:hAnsi="Courier New" w:hint="default"/>
      </w:rPr>
    </w:lvl>
    <w:lvl w:ilvl="5" w:tplc="E5605046">
      <w:start w:val="1"/>
      <w:numFmt w:val="bullet"/>
      <w:lvlText w:val=""/>
      <w:lvlJc w:val="left"/>
      <w:pPr>
        <w:ind w:left="4320" w:hanging="360"/>
      </w:pPr>
      <w:rPr>
        <w:rFonts w:ascii="Wingdings" w:hAnsi="Wingdings" w:hint="default"/>
      </w:rPr>
    </w:lvl>
    <w:lvl w:ilvl="6" w:tplc="27962260">
      <w:start w:val="1"/>
      <w:numFmt w:val="bullet"/>
      <w:lvlText w:val=""/>
      <w:lvlJc w:val="left"/>
      <w:pPr>
        <w:ind w:left="5040" w:hanging="360"/>
      </w:pPr>
      <w:rPr>
        <w:rFonts w:ascii="Symbol" w:hAnsi="Symbol" w:hint="default"/>
      </w:rPr>
    </w:lvl>
    <w:lvl w:ilvl="7" w:tplc="1564E278">
      <w:start w:val="1"/>
      <w:numFmt w:val="bullet"/>
      <w:lvlText w:val="o"/>
      <w:lvlJc w:val="left"/>
      <w:pPr>
        <w:ind w:left="5760" w:hanging="360"/>
      </w:pPr>
      <w:rPr>
        <w:rFonts w:ascii="Courier New" w:hAnsi="Courier New" w:hint="default"/>
      </w:rPr>
    </w:lvl>
    <w:lvl w:ilvl="8" w:tplc="ACBE9F3E">
      <w:start w:val="1"/>
      <w:numFmt w:val="bullet"/>
      <w:lvlText w:val=""/>
      <w:lvlJc w:val="left"/>
      <w:pPr>
        <w:ind w:left="6480" w:hanging="360"/>
      </w:pPr>
      <w:rPr>
        <w:rFonts w:ascii="Wingdings" w:hAnsi="Wingdings" w:hint="default"/>
      </w:rPr>
    </w:lvl>
  </w:abstractNum>
  <w:abstractNum w:abstractNumId="2" w15:restartNumberingAfterBreak="0">
    <w:nsid w:val="58F02D4F"/>
    <w:multiLevelType w:val="hybridMultilevel"/>
    <w:tmpl w:val="C8701868"/>
    <w:lvl w:ilvl="0" w:tplc="92A663F8">
      <w:start w:val="1"/>
      <w:numFmt w:val="bullet"/>
      <w:lvlText w:val=""/>
      <w:lvlJc w:val="left"/>
      <w:pPr>
        <w:ind w:left="720" w:hanging="360"/>
      </w:pPr>
      <w:rPr>
        <w:rFonts w:ascii="Symbol" w:hAnsi="Symbol" w:hint="default"/>
      </w:rPr>
    </w:lvl>
    <w:lvl w:ilvl="1" w:tplc="BDBEC368">
      <w:start w:val="1"/>
      <w:numFmt w:val="bullet"/>
      <w:lvlText w:val="o"/>
      <w:lvlJc w:val="left"/>
      <w:pPr>
        <w:ind w:left="1440" w:hanging="360"/>
      </w:pPr>
      <w:rPr>
        <w:rFonts w:ascii="Courier New" w:hAnsi="Courier New" w:hint="default"/>
      </w:rPr>
    </w:lvl>
    <w:lvl w:ilvl="2" w:tplc="E8B024FC">
      <w:start w:val="1"/>
      <w:numFmt w:val="bullet"/>
      <w:lvlText w:val=""/>
      <w:lvlJc w:val="left"/>
      <w:pPr>
        <w:ind w:left="2160" w:hanging="360"/>
      </w:pPr>
      <w:rPr>
        <w:rFonts w:ascii="Wingdings" w:hAnsi="Wingdings" w:hint="default"/>
      </w:rPr>
    </w:lvl>
    <w:lvl w:ilvl="3" w:tplc="63DA1E24">
      <w:start w:val="1"/>
      <w:numFmt w:val="bullet"/>
      <w:lvlText w:val=""/>
      <w:lvlJc w:val="left"/>
      <w:pPr>
        <w:ind w:left="2880" w:hanging="360"/>
      </w:pPr>
      <w:rPr>
        <w:rFonts w:ascii="Symbol" w:hAnsi="Symbol" w:hint="default"/>
      </w:rPr>
    </w:lvl>
    <w:lvl w:ilvl="4" w:tplc="C6EE5664">
      <w:start w:val="1"/>
      <w:numFmt w:val="bullet"/>
      <w:lvlText w:val="o"/>
      <w:lvlJc w:val="left"/>
      <w:pPr>
        <w:ind w:left="3600" w:hanging="360"/>
      </w:pPr>
      <w:rPr>
        <w:rFonts w:ascii="Courier New" w:hAnsi="Courier New" w:hint="default"/>
      </w:rPr>
    </w:lvl>
    <w:lvl w:ilvl="5" w:tplc="C66E0B5C">
      <w:start w:val="1"/>
      <w:numFmt w:val="bullet"/>
      <w:lvlText w:val=""/>
      <w:lvlJc w:val="left"/>
      <w:pPr>
        <w:ind w:left="4320" w:hanging="360"/>
      </w:pPr>
      <w:rPr>
        <w:rFonts w:ascii="Wingdings" w:hAnsi="Wingdings" w:hint="default"/>
      </w:rPr>
    </w:lvl>
    <w:lvl w:ilvl="6" w:tplc="207C9D54">
      <w:start w:val="1"/>
      <w:numFmt w:val="bullet"/>
      <w:lvlText w:val=""/>
      <w:lvlJc w:val="left"/>
      <w:pPr>
        <w:ind w:left="5040" w:hanging="360"/>
      </w:pPr>
      <w:rPr>
        <w:rFonts w:ascii="Symbol" w:hAnsi="Symbol" w:hint="default"/>
      </w:rPr>
    </w:lvl>
    <w:lvl w:ilvl="7" w:tplc="3BD499BA">
      <w:start w:val="1"/>
      <w:numFmt w:val="bullet"/>
      <w:lvlText w:val="o"/>
      <w:lvlJc w:val="left"/>
      <w:pPr>
        <w:ind w:left="5760" w:hanging="360"/>
      </w:pPr>
      <w:rPr>
        <w:rFonts w:ascii="Courier New" w:hAnsi="Courier New" w:hint="default"/>
      </w:rPr>
    </w:lvl>
    <w:lvl w:ilvl="8" w:tplc="EB80153A">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828"/>
    <w:rsid w:val="00147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8E8F"/>
  <w15:chartTrackingRefBased/>
  <w15:docId w15:val="{7F89EA6A-38BE-4860-894D-2F55BDA1A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8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828"/>
  </w:style>
  <w:style w:type="paragraph" w:styleId="Footer">
    <w:name w:val="footer"/>
    <w:basedOn w:val="Normal"/>
    <w:link w:val="FooterChar"/>
    <w:uiPriority w:val="99"/>
    <w:unhideWhenUsed/>
    <w:rsid w:val="00147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828"/>
  </w:style>
  <w:style w:type="paragraph" w:styleId="ListParagraph">
    <w:name w:val="List Paragraph"/>
    <w:basedOn w:val="Normal"/>
    <w:uiPriority w:val="34"/>
    <w:qFormat/>
    <w:rsid w:val="00147828"/>
    <w:pPr>
      <w:ind w:left="720"/>
      <w:contextualSpacing/>
    </w:pPr>
  </w:style>
  <w:style w:type="character" w:styleId="Hyperlink">
    <w:name w:val="Hyperlink"/>
    <w:basedOn w:val="DefaultParagraphFont"/>
    <w:uiPriority w:val="99"/>
    <w:unhideWhenUsed/>
    <w:rsid w:val="00147828"/>
    <w:rPr>
      <w:color w:val="0563C1" w:themeColor="hyperlink"/>
      <w:u w:val="single"/>
    </w:rPr>
  </w:style>
  <w:style w:type="table" w:styleId="TableGrid">
    <w:name w:val="Table Grid"/>
    <w:basedOn w:val="TableNormal"/>
    <w:uiPriority w:val="59"/>
    <w:rsid w:val="001478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mj.com/content/bmj/369/bmj.m1673.full.pdf" TargetMode="External"/><Relationship Id="rId18" Type="http://schemas.openxmlformats.org/officeDocument/2006/relationships/hyperlink" Target="https://www.health.org.uk/publications/reports/the-marmot-review-10-years-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ns.gov.uk/peoplepopulationandcommunity/birthsdeathsandmarriages/deaths/articles/coronaviruscovid19relateddeathsbyethnicgroupenglandandwales/2march2020to15may2020" TargetMode="External"/><Relationship Id="rId7" Type="http://schemas.openxmlformats.org/officeDocument/2006/relationships/image" Target="media/image1.png"/><Relationship Id="rId12" Type="http://schemas.openxmlformats.org/officeDocument/2006/relationships/hyperlink" Target="https://www.bbc.co.uk/news/health-52602467" TargetMode="External"/><Relationship Id="rId17" Type="http://schemas.openxmlformats.org/officeDocument/2006/relationships/hyperlink" Target="https://doi.org/10.3399/bjgp20X710837"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independentsage.org/wp-content/uploads/2020/07/Independent-SAGE-BME-Report_02July_FINAL.pdf" TargetMode="External"/><Relationship Id="rId20" Type="http://schemas.openxmlformats.org/officeDocument/2006/relationships/hyperlink" Target="https://www.rcn.org.uk/-/media/royal-college-of-nursing/documents/publications/2020/may/009-269.pdf?la=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perial.ac.uk/stories/intersecting-pandemics/?fbclid-IwAR3gcPeal6mvD12Dz-I8otDFM-GZxiExzXgkA8ct-r"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weforum.org/agenda/2020/07/black-asian-minority-groups-lockdown-covid19-coronavirus/"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twitter.com/nursingnotesuk/status/1250365046082998272?lang=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sj.co.uk/exclusive-deaths-of-nhs-staff-from-covid-19-analysed/7027471.article"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1868</Words>
  <Characters>10651</Characters>
  <Application>Microsoft Office Word</Application>
  <DocSecurity>0</DocSecurity>
  <Lines>88</Lines>
  <Paragraphs>24</Paragraphs>
  <ScaleCrop>false</ScaleCrop>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Derwyn Cranfield (1707673)</dc:creator>
  <cp:keywords/>
  <dc:description/>
  <cp:lastModifiedBy>Ceri Derwyn Cranfield (1707673)</cp:lastModifiedBy>
  <cp:revision>1</cp:revision>
  <dcterms:created xsi:type="dcterms:W3CDTF">2021-04-22T16:40:00Z</dcterms:created>
  <dcterms:modified xsi:type="dcterms:W3CDTF">2021-04-22T16:41:00Z</dcterms:modified>
</cp:coreProperties>
</file>