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styles+xml" PartName="/word/styles.xml"/>
  <Override ContentType="application/vnd.openxmlformats-officedocument.wordprocessingml.footer+xml" PartName="/word/foot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‘Is Britain a Nation of Lazy Scroungers?’ (Randeep Ramesh, Wednesday 24</w:t>
      </w:r>
      <w:r w:rsidDel="00000000" w:rsidR="00000000" w:rsidRPr="00000000">
        <w:rPr>
          <w:rFonts w:ascii="Times New Roman" w:cs="Times New Roman" w:eastAsia="Times New Roman" w:hAnsi="Times New Roman"/>
          <w:b w:val="1"/>
          <w:vertAlign w:val="superscript"/>
          <w:rtl w:val="0"/>
        </w:rPr>
        <w:t xml:space="preserve">th</w:t>
      </w:r>
      <w:r w:rsidDel="00000000" w:rsidR="00000000" w:rsidRPr="00000000">
        <w:rPr>
          <w:rFonts w:ascii="Times New Roman" w:cs="Times New Roman" w:eastAsia="Times New Roman" w:hAnsi="Times New Roman"/>
          <w:b w:val="1"/>
          <w:rtl w:val="0"/>
        </w:rPr>
        <w:t xml:space="preserve"> April 2013 – The Guardian online). Critically discuss this statement and explore this in light of current statistics, policy and theory.</w:t>
      </w:r>
    </w:p>
    <w:p w:rsidR="00000000" w:rsidDel="00000000" w:rsidP="00000000" w:rsidRDefault="00000000" w:rsidRPr="00000000" w14:paraId="00000001">
      <w:pPr>
        <w:contextualSpacing w:val="0"/>
        <w:rPr>
          <w:b w:val="1"/>
        </w:rPr>
      </w:pPr>
      <w:r w:rsidDel="00000000" w:rsidR="00000000" w:rsidRPr="00000000">
        <w:rPr>
          <w:rtl w:val="0"/>
        </w:rPr>
      </w:r>
    </w:p>
    <w:p w:rsidR="00000000" w:rsidDel="00000000" w:rsidP="00000000" w:rsidRDefault="00000000" w:rsidRPr="00000000" w14:paraId="0000000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Gans (1971, 1996), poverty plays a necessary role which serves all classes in society. Gans argues that poverty provides a pool of low wage workers willing to do less desirable jobs because they have little or no choice which at the same time enforces the legitimacy of values such as hardwork and honesty which the poor are seen to have violated otherwise they wouldn't be in their position (Newman 2010, pg. 322). </w:t>
      </w:r>
    </w:p>
    <w:p w:rsidR="00000000" w:rsidDel="00000000" w:rsidP="00000000" w:rsidRDefault="00000000" w:rsidRPr="00000000" w14:paraId="0000000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Gans maintains that poverty provides scapegoats for social problems with policy makers ‘denying structural reasons in favour of emphasising people’s behaviours in explanations for the causes of poverty, unemployment, and social marginalisation’ (McNeill, 2017).</w:t>
      </w:r>
    </w:p>
    <w:p w:rsidR="00000000" w:rsidDel="00000000" w:rsidP="00000000" w:rsidRDefault="00000000" w:rsidRPr="00000000" w14:paraId="0000000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 is a significant feature of social identity and undoubtedly has a bearing on an individuals’ experiences and opportunities throughout life. </w:t>
      </w:r>
    </w:p>
    <w:p w:rsidR="00000000" w:rsidDel="00000000" w:rsidP="00000000" w:rsidRDefault="00000000" w:rsidRPr="00000000" w14:paraId="0000000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classes consist of individuals who occupy similar positions of power and privilege and links economic role, social identity and political affiliation (Maguire, no date).</w:t>
      </w:r>
    </w:p>
    <w:p w:rsidR="00000000" w:rsidDel="00000000" w:rsidP="00000000" w:rsidRDefault="00000000" w:rsidRPr="00000000" w14:paraId="0000000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 is composed of ideas, behaviour, attitude, values and language… we experience class at every level of our lives… class is socially constructed and all encompassing’ (Langston 1992 </w:t>
      </w:r>
      <w:r w:rsidDel="00000000" w:rsidR="00000000" w:rsidRPr="00000000">
        <w:rPr>
          <w:rFonts w:ascii="Times New Roman" w:cs="Times New Roman" w:eastAsia="Times New Roman" w:hAnsi="Times New Roman"/>
          <w:i w:val="1"/>
          <w:sz w:val="24"/>
          <w:szCs w:val="24"/>
          <w:rtl w:val="0"/>
        </w:rPr>
        <w:t xml:space="preserve">cited in</w:t>
      </w:r>
      <w:r w:rsidDel="00000000" w:rsidR="00000000" w:rsidRPr="00000000">
        <w:rPr>
          <w:rFonts w:ascii="Times New Roman" w:cs="Times New Roman" w:eastAsia="Times New Roman" w:hAnsi="Times New Roman"/>
          <w:sz w:val="24"/>
          <w:szCs w:val="24"/>
          <w:rtl w:val="0"/>
        </w:rPr>
        <w:t xml:space="preserve"> Newman, pg. 308).</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classes have different cultures, economic circumstances, education status, dietary preference, housing, property ownership, power (Maguire, no date) and even life expectancy (Newman 2010). Class boundaries are maintained through perceptions of moral, cultural and lifestyle distinctions (Lamont 1992 </w:t>
      </w:r>
      <w:r w:rsidDel="00000000" w:rsidR="00000000" w:rsidRPr="00000000">
        <w:rPr>
          <w:rFonts w:ascii="Times New Roman" w:cs="Times New Roman" w:eastAsia="Times New Roman" w:hAnsi="Times New Roman"/>
          <w:i w:val="1"/>
          <w:sz w:val="24"/>
          <w:szCs w:val="24"/>
          <w:rtl w:val="0"/>
        </w:rPr>
        <w:t xml:space="preserve">cited in</w:t>
      </w:r>
      <w:r w:rsidDel="00000000" w:rsidR="00000000" w:rsidRPr="00000000">
        <w:rPr>
          <w:rFonts w:ascii="Times New Roman" w:cs="Times New Roman" w:eastAsia="Times New Roman" w:hAnsi="Times New Roman"/>
          <w:sz w:val="24"/>
          <w:szCs w:val="24"/>
          <w:rtl w:val="0"/>
        </w:rPr>
        <w:t xml:space="preserve"> Newman, pg. 308).</w:t>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Inequality is woven into the fabric of society through this structured system of stratification as one’s place in the strata can determine access to education, jobs, health, safety and quality of life (Newman 2010). </w:t>
      </w:r>
    </w:p>
    <w:p w:rsidR="00000000" w:rsidDel="00000000" w:rsidP="00000000" w:rsidRDefault="00000000" w:rsidRPr="00000000" w14:paraId="0000000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class distinctions are subjective and considered out of date, people still identify with class. Structural Functionalists argue that stratification is necessary as it ensures those who are the most qualified are the most important and these conditions exist because they are ‘functional’ to society (</w:t>
      </w:r>
      <w:r w:rsidDel="00000000" w:rsidR="00000000" w:rsidRPr="00000000">
        <w:rPr>
          <w:rFonts w:ascii="Times New Roman" w:cs="Times New Roman" w:eastAsia="Times New Roman" w:hAnsi="Times New Roman"/>
          <w:i w:val="1"/>
          <w:sz w:val="24"/>
          <w:szCs w:val="24"/>
          <w:rtl w:val="0"/>
        </w:rPr>
        <w:t xml:space="preserve">cited in </w:t>
      </w:r>
      <w:r w:rsidDel="00000000" w:rsidR="00000000" w:rsidRPr="00000000">
        <w:rPr>
          <w:rFonts w:ascii="Times New Roman" w:cs="Times New Roman" w:eastAsia="Times New Roman" w:hAnsi="Times New Roman"/>
          <w:sz w:val="24"/>
          <w:szCs w:val="24"/>
          <w:rtl w:val="0"/>
        </w:rPr>
        <w:t xml:space="preserve">Newman, pg. 322). However, in any interaction someone always has more power (Wrong 1988 </w:t>
      </w:r>
      <w:r w:rsidDel="00000000" w:rsidR="00000000" w:rsidRPr="00000000">
        <w:rPr>
          <w:rFonts w:ascii="Times New Roman" w:cs="Times New Roman" w:eastAsia="Times New Roman" w:hAnsi="Times New Roman"/>
          <w:i w:val="1"/>
          <w:sz w:val="24"/>
          <w:szCs w:val="24"/>
          <w:rtl w:val="0"/>
        </w:rPr>
        <w:t xml:space="preserve">cited in</w:t>
      </w:r>
      <w:r w:rsidDel="00000000" w:rsidR="00000000" w:rsidRPr="00000000">
        <w:rPr>
          <w:rFonts w:ascii="Times New Roman" w:cs="Times New Roman" w:eastAsia="Times New Roman" w:hAnsi="Times New Roman"/>
          <w:sz w:val="24"/>
          <w:szCs w:val="24"/>
          <w:rtl w:val="0"/>
        </w:rPr>
        <w:t xml:space="preserve"> Newman, pg. 175) and just as society needs talented people to fill important occupations, it needs poor people to fill less important positions (Newman 2010, pg. 323).</w:t>
      </w:r>
    </w:p>
    <w:p w:rsidR="00000000" w:rsidDel="00000000" w:rsidP="00000000" w:rsidRDefault="00000000" w:rsidRPr="00000000" w14:paraId="0000001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far back as 1300s, poverty was seen as a crime and not the outcome of unfortunate circumstances and the poor were often in damnation straight away (Hancock, 2018). This criminalisation of groups creates a moral panic which diverts away from the humiliation and powerlessness felt by those who are labelled and excluded to the bottom of society. The concept of moral panic was first developed by Stan Cohen in the 1960s, initially for the purpose of analysing the definition of and social reaction to youth subcultures as a social problem (Critcher, 2017). Today, it is conceived to represent  </w:t>
      </w:r>
    </w:p>
    <w:p w:rsidR="00000000" w:rsidDel="00000000" w:rsidP="00000000" w:rsidRDefault="00000000" w:rsidRPr="00000000" w14:paraId="0000001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widespread fear, most often an irrational one, that someone or something is a threat to the values, safety, and interests of a community or society at large. Typically, a moral panic is perpetuated by news media, fuelled by politicians, and often results in the passage of new laws or policies that target the source of the panic’ (Crossman, 2018). </w:t>
      </w:r>
    </w:p>
    <w:p w:rsidR="00000000" w:rsidDel="00000000" w:rsidP="00000000" w:rsidRDefault="00000000" w:rsidRPr="00000000" w14:paraId="0000001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of the government and media’s fixation on the extensiveness of people cheating the benefits system for welfare they are not entitled to, or those who do not properly take steps to end their dependency on benefits, there has been a heightened sense of panic over welfare abuse called ‘scroungerphobia,’ (Mc Neill, 2017). </w:t>
      </w:r>
    </w:p>
    <w:p w:rsidR="00000000" w:rsidDel="00000000" w:rsidP="00000000" w:rsidRDefault="00000000" w:rsidRPr="00000000" w14:paraId="0000001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Lippman (1922) proposes that these stereotypes are an oversimplified representation of the world that enables us to see the environment as more understandable and manageable than what it is (Newman 2010, pg. 353). While the media contributes to these stereotypes by providing real but often fabricated or elaborated images of the real picture, stereotypes remain common in society and perpetuate opinions about those ‘who are stigmatised, sanctioned and struggling to get by’ (McNeill, 2017).</w:t>
      </w:r>
    </w:p>
    <w:p w:rsidR="00000000" w:rsidDel="00000000" w:rsidP="00000000" w:rsidRDefault="00000000" w:rsidRPr="00000000" w14:paraId="0000001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UK's unemployment rate is at a four-decade low of 4.3% (BBC, 2018), 64% of families are thought to be in receipt of some kind of benefit, with about 8.7 million of these being pensioners. For 30% of all families, benefits make up more than half of their income with around 5.3 million of these being pensioners (Guardian, 2013). Interestingly, despite the proportion of pensioner claimants, most media portrayals of ‘scroungers’ tend to focus on single parents or large families with very little recognition of the amount of financial support pensioners receive from the welfare system. Notwithstanding these figures, findings from a study by Garthwaite (2014) illustrates that the stigma associated with claiming benefits can actually deter people from accessing the support they need, leading to under-claiming and the risk of amplified financial strain and hardship. One’s socioeconomic status might also preclude people from claiming sick role status (Newman 2010, pg. 109) and, as a result, the DWP estimate that the total amount unclaimed is likely to be between £11.6bn and £13.23bn a year (Wynne Jones, 2015). </w:t>
      </w:r>
    </w:p>
    <w:p w:rsidR="00000000" w:rsidDel="00000000" w:rsidP="00000000" w:rsidRDefault="00000000" w:rsidRPr="00000000" w14:paraId="0000001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common misconceptions about the number of people in receipt of out of work benefits, DWP figures show that there were 2.3 million working age people on benefits for the four years up to 2012. Less than half of these spent three to four years on benefits. However, 600,000 of these claimants are people not able to work – by the government's own definition. They were either in the Work Related Activity Group, lone parents with at least one young child or those being assessed in the Employment and Support Allowance (Ramesh, 2013).</w:t>
      </w:r>
    </w:p>
    <w:p w:rsidR="00000000" w:rsidDel="00000000" w:rsidP="00000000" w:rsidRDefault="00000000" w:rsidRPr="00000000" w14:paraId="0000001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these, 30% are lone parents with children below school age claiming Income Support (Ramesh, 2013). Many of these will be women who have left employment to have a family and return later with 53% of mothers with under 5s being economically active compared to just 27% in the late 1970s (Newman 2010, pg. 198). </w:t>
      </w:r>
    </w:p>
    <w:p w:rsidR="00000000" w:rsidDel="00000000" w:rsidP="00000000" w:rsidRDefault="00000000" w:rsidRPr="00000000" w14:paraId="0000001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Ramesh (2013) also highlights in his article that the remaining 30% who are either claiming ESA or are in the process of being assessed, are unable to work. Cultural values determine what it is to be sick and how this is experienced with Parsons (1951) identifying a ‘sick role’ which classifies a set of rules for how people should behave when they are sick (Newman 2010, pg. 109). Those either claiming or waiting to be assessed will have been excused from duties including work by a culturally appropriate health professional. While individuals who are sick are entitled to sympathy and care, there appears to be a lack of sympathy for those who appear to enjoy or benefit from long term sickness and/or unemployment, particularly those who are getting an income for it.</w:t>
      </w:r>
    </w:p>
    <w:p w:rsidR="00000000" w:rsidDel="00000000" w:rsidP="00000000" w:rsidRDefault="00000000" w:rsidRPr="00000000" w14:paraId="0000002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these interpretations are often based on a lack of understanding, they can have a very negative impact on not only the perception of those who receive welfare support, but also on the claimant themselves. Garthwaite (2014, pg. 793) used the narratives of long-term sickness benefits recipients to highlight that portrayals in the media and within government rhetoric also serve to create divisions between sick and disabled people themselves, fostering resentment and developing increased shame and stigma for those identified as ‘undeserving’. This often manifests itself in suicidal thoughts and claimants increasing their medication in an attempt to self-medicate against their fears and anxieties (pg. 792). </w:t>
      </w:r>
    </w:p>
    <w:p w:rsidR="00000000" w:rsidDel="00000000" w:rsidP="00000000" w:rsidRDefault="00000000" w:rsidRPr="00000000" w14:paraId="0000002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this, Garthwaite’s findings also implied the impact that language has on an individual’s capacity to shake off the negative label attached. ‘An increasingly unavoidable occurrence in the media and within government rhetoric is the negative labelling of sick and disabled people who are receiving welfare benefits.’ (Garthwaite 2014, pg. 794).  Garthwaite highlights that there is often little or no mention of the causes, symptoms, lack of diagnosis, treatment or support. Defining or labelling an inferior group and denying them access to opportunities is a self-fulfilling prophecy. Merton (1948) and Watzlawick (1984) define this as an assumption or prediction that causes the expected event to occur and confirms the prophecies own accuracy (Newman 2010, pg. 59). Garthwaite argues that not only does language like scroungers and benefit cheats have distinct implications for sick and disabled people, but it is not conducive to encouraging potential employers to employ someone.</w:t>
      </w:r>
    </w:p>
    <w:p w:rsidR="00000000" w:rsidDel="00000000" w:rsidP="00000000" w:rsidRDefault="00000000" w:rsidRPr="00000000" w14:paraId="0000002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Contrary to popular belief, other research by Garthwaite in 2012, highlighted that for many, unemployment was not a ‘lifestyle choice’. Findings showed that despite participants’ moving in and out of unemployment and low-paid jobs stretching over years, most expressed an enduring commitment to work. However, despite their endeavour, the repeated engagement in jobs failed to provide routes away from poverty, with Garthwaite emphasising a lack of decent job opportunities in the local job market as the reason for this. Noble (No date) argues that those people who have experienced unemployment are often trapped in a low level employment with limited opportunities to progression or mobility. This highlights that area based influences often combine localised environmental problems with socioeconomic disadvantage to work against opportunities for upward mobility with not only limited job opportunities prohibiting this but poor and low income families having to pay more for basic necessities due to access to amenities (Brookings Institution cited in Newman 2010, pg. 315).  Research also found that higher loan rates, the cost of renting white goods instead of buying outright, steeper insurance premiums, cheque cashing costs and less favourable energy bills contributes to poorer families paying up to £1,700 more (The Express, 2017).</w:t>
      </w:r>
    </w:p>
    <w:p w:rsidR="00000000" w:rsidDel="00000000" w:rsidP="00000000" w:rsidRDefault="00000000" w:rsidRPr="00000000" w14:paraId="0000002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educational attainment and family income at the heart of the UK low mobility culture, it’s not surprising that individual circumstances in childhood can and does reflect success in later life, with family income in childhood years significantly affecting educational outcomes. </w:t>
      </w:r>
    </w:p>
    <w:p w:rsidR="00000000" w:rsidDel="00000000" w:rsidP="00000000" w:rsidRDefault="00000000" w:rsidRPr="00000000" w14:paraId="0000002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Tuner (1972 </w:t>
      </w:r>
      <w:r w:rsidDel="00000000" w:rsidR="00000000" w:rsidRPr="00000000">
        <w:rPr>
          <w:rFonts w:ascii="Times New Roman" w:cs="Times New Roman" w:eastAsia="Times New Roman" w:hAnsi="Times New Roman"/>
          <w:i w:val="1"/>
          <w:sz w:val="24"/>
          <w:szCs w:val="24"/>
          <w:rtl w:val="0"/>
        </w:rPr>
        <w:t xml:space="preserve">cited in </w:t>
      </w:r>
      <w:r w:rsidDel="00000000" w:rsidR="00000000" w:rsidRPr="00000000">
        <w:rPr>
          <w:rFonts w:ascii="Times New Roman" w:cs="Times New Roman" w:eastAsia="Times New Roman" w:hAnsi="Times New Roman"/>
          <w:sz w:val="24"/>
          <w:szCs w:val="24"/>
          <w:rtl w:val="0"/>
        </w:rPr>
        <w:t xml:space="preserve">Newman, pg. 28) argues that while the family remains the hub of social life in virtually all societies, education is the most powerful agent of socialisation after this (Newman 2010, pg. 143) and is the biggest factor on mobility. Functionalists argue that education exists to socialise young people but generally speaking, the role of education is to equip students with knowledge to fulfil roles in society and teach values.</w:t>
      </w:r>
    </w:p>
    <w:p w:rsidR="00000000" w:rsidDel="00000000" w:rsidP="00000000" w:rsidRDefault="00000000" w:rsidRPr="00000000" w14:paraId="0000002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contextualSpacing w:val="0"/>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link between social class and socialisation highlights the influence that early socialisation including home environment, family structure, pre-school care and relationships with adults can have on children; which is often irreversible (Noble no date, pg. 4). Mather and Adams (2006 </w:t>
      </w:r>
      <w:r w:rsidDel="00000000" w:rsidR="00000000" w:rsidRPr="00000000">
        <w:rPr>
          <w:rFonts w:ascii="Times New Roman" w:cs="Times New Roman" w:eastAsia="Times New Roman" w:hAnsi="Times New Roman"/>
          <w:i w:val="1"/>
          <w:sz w:val="24"/>
          <w:szCs w:val="24"/>
          <w:rtl w:val="0"/>
        </w:rPr>
        <w:t xml:space="preserve">cited in </w:t>
      </w:r>
      <w:r w:rsidDel="00000000" w:rsidR="00000000" w:rsidRPr="00000000">
        <w:rPr>
          <w:rFonts w:ascii="Times New Roman" w:cs="Times New Roman" w:eastAsia="Times New Roman" w:hAnsi="Times New Roman"/>
          <w:sz w:val="24"/>
          <w:szCs w:val="24"/>
          <w:rtl w:val="0"/>
        </w:rPr>
        <w:t xml:space="preserve">Newman, pg. 137) suggest that the lower the income of the family, the higher the risk of it being a single parent family, having unemployed parents, one or more disabilities and school drop out. Children’s identity, who they are, the individuals they will become, what they think of themselves and the outward image they project all comes from contact with others and has a social influence over them (Newman 2010, pg. 21). They learn very early on what they can expect for themselves and that their success is based on who they are and not what they achieve or as Marx (1869/1993) writes </w:t>
      </w:r>
    </w:p>
    <w:p w:rsidR="00000000" w:rsidDel="00000000" w:rsidP="00000000" w:rsidRDefault="00000000" w:rsidRPr="00000000" w14:paraId="0000002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make their own history, but they do not make it just as they please; they do not make it under circumstances, chosen by themselves, but under circumstances directly encountered, given and transmitted from the past’ (</w:t>
      </w:r>
      <w:r w:rsidDel="00000000" w:rsidR="00000000" w:rsidRPr="00000000">
        <w:rPr>
          <w:rFonts w:ascii="Times New Roman" w:cs="Times New Roman" w:eastAsia="Times New Roman" w:hAnsi="Times New Roman"/>
          <w:i w:val="1"/>
          <w:sz w:val="24"/>
          <w:szCs w:val="24"/>
          <w:rtl w:val="0"/>
        </w:rPr>
        <w:t xml:space="preserve">cited in </w:t>
      </w:r>
      <w:r w:rsidDel="00000000" w:rsidR="00000000" w:rsidRPr="00000000">
        <w:rPr>
          <w:rFonts w:ascii="Times New Roman" w:cs="Times New Roman" w:eastAsia="Times New Roman" w:hAnsi="Times New Roman"/>
          <w:sz w:val="24"/>
          <w:szCs w:val="24"/>
          <w:rtl w:val="0"/>
        </w:rPr>
        <w:t xml:space="preserve">Newman 2010, pg. 61). </w:t>
      </w:r>
    </w:p>
    <w:p w:rsidR="00000000" w:rsidDel="00000000" w:rsidP="00000000" w:rsidRDefault="00000000" w:rsidRPr="00000000" w14:paraId="0000002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inequality was further highlighted in a study by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Breen and Goldthorpe (1999). Saunders (1990, 1996) used data from the National Child Development Study to show that bright and hardworking children can and do succeed regardless of social advantage/disadvantage however Breen and Goldthorpe (1999) used the same data and determined that while hardwork is a contributor in determining one’s class position, ‘class of origin’ is a more powerful determinant with disadvantaged children having to work harder than advantaged children to achieve the same goal (Giddens 2006, pg. 328).</w:t>
      </w:r>
    </w:p>
    <w:p w:rsidR="00000000" w:rsidDel="00000000" w:rsidP="00000000" w:rsidRDefault="00000000" w:rsidRPr="00000000" w14:paraId="0000003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Lower income families and those from working class backgrounds do not have access to the same level of enrichment and are therefore at a disadvantage. A study by Hill (1997) found that middle class parents have higher expectations of their children and are more involved in their education. This, together with the fact that affluent families have access to more enriching opportunities means middle class children learn and identify with these values from an early age and so increasing their likelihood of succeeding throughout later life (Newman 2010, pg. 137 -138).</w:t>
      </w:r>
    </w:p>
    <w:p w:rsidR="00000000" w:rsidDel="00000000" w:rsidP="00000000" w:rsidRDefault="00000000" w:rsidRPr="00000000" w14:paraId="0000003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Gans argues that it is because of this educational poverty and the long term impact of this that we have a military service which offers opportunities to those with limited education and occupation prospects (cited in Newman 2010, pg. 323). Work by MacManus et al (2011, pg. 7) found that UK regiments associated with increased aggressiveness and deployed on more dangerous missions are more likely to recruit from areas of social disadvantage where recruits are likely to have lower educational attainment. With higher rates of mental health conditions reported in these recruits in the UK Armed Forces compared to Officers who are recruited as graduates from the higher education system, the MOD highlights that both higher educational attainment and higher socio-economic background are associated with lower levels of mental ill health disorder (MOD, 2017). </w:t>
      </w:r>
    </w:p>
    <w:p w:rsidR="00000000" w:rsidDel="00000000" w:rsidP="00000000" w:rsidRDefault="00000000" w:rsidRPr="00000000" w14:paraId="0000003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also appear that the same inequality is reflected in the prison system, where factors including poor education, limited employment opportunities and mental ill health are all predisposed characteristics of the UK’s prison population. </w:t>
      </w:r>
    </w:p>
    <w:p w:rsidR="00000000" w:rsidDel="00000000" w:rsidP="00000000" w:rsidRDefault="00000000" w:rsidRPr="00000000" w14:paraId="0000003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largely men from poor or working class backgrounds. They will tend to be in their late teens or early 20s. A notable proportion will have drug and alcohol problems. Many will be living with significant mental health problems. Poor literacy abilities and intermittent employment histories will be common” (Garside 2007).</w:t>
      </w:r>
    </w:p>
    <w:p w:rsidR="00000000" w:rsidDel="00000000" w:rsidP="00000000" w:rsidRDefault="00000000" w:rsidRPr="00000000" w14:paraId="0000003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all these figures and findings in mind, it would appear that the system is loaded against the poor and is setting them up to fail particularly as following release from prison, these individuals will often encounter worklessness, drug abuse and ASB, all of which are examples of barriers to mobility for the working class (Noble no date, pg. 4). </w:t>
      </w:r>
    </w:p>
    <w:p w:rsidR="00000000" w:rsidDel="00000000" w:rsidP="00000000" w:rsidRDefault="00000000" w:rsidRPr="00000000" w14:paraId="0000003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policymakers acknowledge the fundamental impact that disadvantage and poverty have on socialisation and attempt to reduce the impact of this as well as acknowledging their own prejudices that may ultimately stem from a position of feeling threatened either culturally or economically, poverty will continue to be used as a scapegoat for social problems (Gans 1971, 1996).</w:t>
      </w:r>
    </w:p>
    <w:p w:rsidR="00000000" w:rsidDel="00000000" w:rsidP="00000000" w:rsidRDefault="00000000" w:rsidRPr="00000000" w14:paraId="0000003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poor and vulnerable in society are stereotyped as ‘scroungers’ and a drain on a system that should be there to support them, ‘such myths distract attention, cover up realities and justify actions’ (Garthwaite 2012). As the poor continue to face criticism and backlash, the higher social classes continue to take advantage of opportunities created by policy interventions as well as other social advantages to maintain their position in the strata (Noble no date, pg. 12), a strata that perpetuates unequal reward, opportunity and disadvantage (Newman 2010, pg. 298). </w:t>
      </w:r>
    </w:p>
    <w:p w:rsidR="00000000" w:rsidDel="00000000" w:rsidP="00000000" w:rsidRDefault="00000000" w:rsidRPr="00000000" w14:paraId="0000003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1">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w:t>
      </w:r>
    </w:p>
    <w:p w:rsidR="00000000" w:rsidDel="00000000" w:rsidP="00000000" w:rsidRDefault="00000000" w:rsidRPr="00000000" w14:paraId="0000004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 (2018) </w:t>
      </w:r>
      <w:r w:rsidDel="00000000" w:rsidR="00000000" w:rsidRPr="00000000">
        <w:rPr>
          <w:rFonts w:ascii="Times New Roman" w:cs="Times New Roman" w:eastAsia="Times New Roman" w:hAnsi="Times New Roman"/>
          <w:i w:val="1"/>
          <w:sz w:val="24"/>
          <w:szCs w:val="24"/>
          <w:rtl w:val="0"/>
        </w:rPr>
        <w:t xml:space="preserve">UK unemployment falls to 1.44 million. </w:t>
      </w:r>
      <w:hyperlink r:id="rId6">
        <w:r w:rsidDel="00000000" w:rsidR="00000000" w:rsidRPr="00000000">
          <w:rPr>
            <w:rFonts w:ascii="Times New Roman" w:cs="Times New Roman" w:eastAsia="Times New Roman" w:hAnsi="Times New Roman"/>
            <w:color w:val="0563c1"/>
            <w:sz w:val="24"/>
            <w:szCs w:val="24"/>
            <w:u w:val="single"/>
            <w:rtl w:val="0"/>
          </w:rPr>
          <w:t xml:space="preserve">http://www.bbc.co.uk/news/business-42802526</w:t>
        </w:r>
      </w:hyperlink>
      <w:r w:rsidDel="00000000" w:rsidR="00000000" w:rsidRPr="00000000">
        <w:rPr>
          <w:rFonts w:ascii="Times New Roman" w:cs="Times New Roman" w:eastAsia="Times New Roman" w:hAnsi="Times New Roman"/>
          <w:sz w:val="24"/>
          <w:szCs w:val="24"/>
          <w:rtl w:val="0"/>
        </w:rPr>
        <w:t xml:space="preserve"> (Accessed 30/4/2018).</w:t>
      </w:r>
    </w:p>
    <w:p w:rsidR="00000000" w:rsidDel="00000000" w:rsidP="00000000" w:rsidRDefault="00000000" w:rsidRPr="00000000" w14:paraId="0000004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Critcher, C. (2017) </w:t>
      </w:r>
      <w:r w:rsidDel="00000000" w:rsidR="00000000" w:rsidRPr="00000000">
        <w:rPr>
          <w:rFonts w:ascii="Times New Roman" w:cs="Times New Roman" w:eastAsia="Times New Roman" w:hAnsi="Times New Roman"/>
          <w:i w:val="1"/>
          <w:sz w:val="24"/>
          <w:szCs w:val="24"/>
          <w:rtl w:val="0"/>
        </w:rPr>
        <w:t xml:space="preserve">Moral Panics. </w:t>
      </w:r>
      <w:hyperlink r:id="rId7">
        <w:r w:rsidDel="00000000" w:rsidR="00000000" w:rsidRPr="00000000">
          <w:rPr>
            <w:rFonts w:ascii="Times New Roman" w:cs="Times New Roman" w:eastAsia="Times New Roman" w:hAnsi="Times New Roman"/>
            <w:color w:val="0563c1"/>
            <w:sz w:val="24"/>
            <w:szCs w:val="24"/>
            <w:u w:val="single"/>
            <w:rtl w:val="0"/>
          </w:rPr>
          <w:t xml:space="preserve">http://criminology.oxfordre.com/view/10.1093/acrefore/9780190264079.001.0001/acrefore-9780190264079-e-155</w:t>
        </w:r>
      </w:hyperlink>
      <w:r w:rsidDel="00000000" w:rsidR="00000000" w:rsidRPr="00000000">
        <w:rPr>
          <w:rFonts w:ascii="Times New Roman" w:cs="Times New Roman" w:eastAsia="Times New Roman" w:hAnsi="Times New Roman"/>
          <w:sz w:val="24"/>
          <w:szCs w:val="24"/>
          <w:rtl w:val="0"/>
        </w:rPr>
        <w:t xml:space="preserve"> (Accessed 30/4/2018).</w:t>
      </w:r>
    </w:p>
    <w:p w:rsidR="00000000" w:rsidDel="00000000" w:rsidP="00000000" w:rsidRDefault="00000000" w:rsidRPr="00000000" w14:paraId="0000004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Crossman, A. (2018) </w:t>
      </w:r>
      <w:r w:rsidDel="00000000" w:rsidR="00000000" w:rsidRPr="00000000">
        <w:rPr>
          <w:rFonts w:ascii="Times New Roman" w:cs="Times New Roman" w:eastAsia="Times New Roman" w:hAnsi="Times New Roman"/>
          <w:i w:val="1"/>
          <w:sz w:val="24"/>
          <w:szCs w:val="24"/>
          <w:rtl w:val="0"/>
        </w:rPr>
        <w:t xml:space="preserve">Definition of Moral Panic Overview of the Theory and Notable Examples. </w:t>
      </w:r>
      <w:hyperlink r:id="rId8">
        <w:r w:rsidDel="00000000" w:rsidR="00000000" w:rsidRPr="00000000">
          <w:rPr>
            <w:rFonts w:ascii="Times New Roman" w:cs="Times New Roman" w:eastAsia="Times New Roman" w:hAnsi="Times New Roman"/>
            <w:color w:val="0563c1"/>
            <w:sz w:val="24"/>
            <w:szCs w:val="24"/>
            <w:u w:val="single"/>
            <w:rtl w:val="0"/>
          </w:rPr>
          <w:t xml:space="preserve">https://www.thoughtco.com/moral-panic-3026420</w:t>
        </w:r>
      </w:hyperlink>
      <w:r w:rsidDel="00000000" w:rsidR="00000000" w:rsidRPr="00000000">
        <w:rPr>
          <w:rFonts w:ascii="Times New Roman" w:cs="Times New Roman" w:eastAsia="Times New Roman" w:hAnsi="Times New Roman"/>
          <w:sz w:val="24"/>
          <w:szCs w:val="24"/>
          <w:rtl w:val="0"/>
        </w:rPr>
        <w:t xml:space="preserve"> (Accessed 30/4/2018).</w:t>
      </w:r>
    </w:p>
    <w:p w:rsidR="00000000" w:rsidDel="00000000" w:rsidP="00000000" w:rsidRDefault="00000000" w:rsidRPr="00000000" w14:paraId="0000004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Express (2017) </w:t>
      </w:r>
      <w:r w:rsidDel="00000000" w:rsidR="00000000" w:rsidRPr="00000000">
        <w:rPr>
          <w:rFonts w:ascii="Times New Roman" w:cs="Times New Roman" w:eastAsia="Times New Roman" w:hAnsi="Times New Roman"/>
          <w:i w:val="1"/>
          <w:sz w:val="24"/>
          <w:szCs w:val="24"/>
          <w:rtl w:val="0"/>
        </w:rPr>
        <w:t xml:space="preserve">Poorer families worse off by 2020 as prices outstrip welfare rises, report warns. </w:t>
      </w:r>
      <w:hyperlink r:id="rId9">
        <w:r w:rsidDel="00000000" w:rsidR="00000000" w:rsidRPr="00000000">
          <w:rPr>
            <w:rFonts w:ascii="Times New Roman" w:cs="Times New Roman" w:eastAsia="Times New Roman" w:hAnsi="Times New Roman"/>
            <w:color w:val="0563c1"/>
            <w:sz w:val="24"/>
            <w:szCs w:val="24"/>
            <w:u w:val="single"/>
            <w:rtl w:val="0"/>
          </w:rPr>
          <w:t xml:space="preserve">https://www.express.co.uk/news/uk/755749/politics-poverty-poor-families-poorer-goods-inflation-inadequate-welfare-rise</w:t>
        </w:r>
      </w:hyperlink>
      <w:r w:rsidDel="00000000" w:rsidR="00000000" w:rsidRPr="00000000">
        <w:rPr>
          <w:rFonts w:ascii="Times New Roman" w:cs="Times New Roman" w:eastAsia="Times New Roman" w:hAnsi="Times New Roman"/>
          <w:sz w:val="24"/>
          <w:szCs w:val="24"/>
          <w:rtl w:val="0"/>
        </w:rPr>
        <w:t xml:space="preserve"> (Accessed 7/5/2018).</w:t>
      </w:r>
    </w:p>
    <w:p w:rsidR="00000000" w:rsidDel="00000000" w:rsidP="00000000" w:rsidRDefault="00000000" w:rsidRPr="00000000" w14:paraId="0000004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Garside, R. (2007)</w:t>
      </w:r>
      <w:r w:rsidDel="00000000" w:rsidR="00000000" w:rsidRPr="00000000">
        <w:rPr>
          <w:rFonts w:ascii="Times New Roman" w:cs="Times New Roman" w:eastAsia="Times New Roman" w:hAnsi="Times New Roman"/>
          <w:i w:val="1"/>
          <w:sz w:val="24"/>
          <w:szCs w:val="24"/>
          <w:rtl w:val="0"/>
        </w:rPr>
        <w:t xml:space="preserve"> Prison isn’t working. </w:t>
      </w:r>
      <w:hyperlink r:id="rId10">
        <w:r w:rsidDel="00000000" w:rsidR="00000000" w:rsidRPr="00000000">
          <w:rPr>
            <w:rFonts w:ascii="Times New Roman" w:cs="Times New Roman" w:eastAsia="Times New Roman" w:hAnsi="Times New Roman"/>
            <w:color w:val="0563c1"/>
            <w:sz w:val="24"/>
            <w:szCs w:val="24"/>
            <w:u w:val="single"/>
            <w:rtl w:val="0"/>
          </w:rPr>
          <w:t xml:space="preserve">https://www.theguardian.com/commentisfree/2007/may/31/prisonisntworking</w:t>
        </w:r>
      </w:hyperlink>
      <w:r w:rsidDel="00000000" w:rsidR="00000000" w:rsidRPr="00000000">
        <w:rPr>
          <w:rFonts w:ascii="Times New Roman" w:cs="Times New Roman" w:eastAsia="Times New Roman" w:hAnsi="Times New Roman"/>
          <w:sz w:val="24"/>
          <w:szCs w:val="24"/>
          <w:rtl w:val="0"/>
        </w:rPr>
        <w:t xml:space="preserve"> (Accessed: 26 March 2018).</w:t>
      </w:r>
    </w:p>
    <w:p w:rsidR="00000000" w:rsidDel="00000000" w:rsidP="00000000" w:rsidRDefault="00000000" w:rsidRPr="00000000" w14:paraId="0000004C">
      <w:pPr>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4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Garthwaite, K. (2012) </w:t>
      </w:r>
      <w:r w:rsidDel="00000000" w:rsidR="00000000" w:rsidRPr="00000000">
        <w:rPr>
          <w:rFonts w:ascii="Times New Roman" w:cs="Times New Roman" w:eastAsia="Times New Roman" w:hAnsi="Times New Roman"/>
          <w:i w:val="1"/>
          <w:sz w:val="24"/>
          <w:szCs w:val="24"/>
          <w:rtl w:val="0"/>
        </w:rPr>
        <w:t xml:space="preserve">The‘scrounger’ myth is causing real suffering to many in society. </w:t>
      </w:r>
      <w:hyperlink r:id="rId11">
        <w:r w:rsidDel="00000000" w:rsidR="00000000" w:rsidRPr="00000000">
          <w:rPr>
            <w:rFonts w:ascii="Times New Roman" w:cs="Times New Roman" w:eastAsia="Times New Roman" w:hAnsi="Times New Roman"/>
            <w:color w:val="0563c1"/>
            <w:sz w:val="24"/>
            <w:szCs w:val="24"/>
            <w:u w:val="single"/>
            <w:rtl w:val="0"/>
          </w:rPr>
          <w:t xml:space="preserve">http://blogs.lse.ac.uk/politicsandpolicy/the-scrounger-myth-is-causing-real-suffering-to-many-in-society/</w:t>
        </w:r>
      </w:hyperlink>
      <w:r w:rsidDel="00000000" w:rsidR="00000000" w:rsidRPr="00000000">
        <w:rPr>
          <w:rFonts w:ascii="Times New Roman" w:cs="Times New Roman" w:eastAsia="Times New Roman" w:hAnsi="Times New Roman"/>
          <w:sz w:val="24"/>
          <w:szCs w:val="24"/>
          <w:rtl w:val="0"/>
        </w:rPr>
        <w:t xml:space="preserve"> (Accessed 30/4/2018). </w:t>
      </w:r>
    </w:p>
    <w:p w:rsidR="00000000" w:rsidDel="00000000" w:rsidP="00000000" w:rsidRDefault="00000000" w:rsidRPr="00000000" w14:paraId="0000004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Garthwaite, K. (2014) ‘Fear of the Brown Envelope: Exploring Welfare Reform with Long-Term Sickness Benefits Recipients’, </w:t>
      </w:r>
      <w:r w:rsidDel="00000000" w:rsidR="00000000" w:rsidRPr="00000000">
        <w:rPr>
          <w:rFonts w:ascii="Times New Roman" w:cs="Times New Roman" w:eastAsia="Times New Roman" w:hAnsi="Times New Roman"/>
          <w:i w:val="1"/>
          <w:sz w:val="24"/>
          <w:szCs w:val="24"/>
          <w:rtl w:val="0"/>
        </w:rPr>
        <w:t xml:space="preserve">SOCIAL POLICY &amp; ADMINISTRATION, </w:t>
      </w:r>
      <w:r w:rsidDel="00000000" w:rsidR="00000000" w:rsidRPr="00000000">
        <w:rPr>
          <w:rFonts w:ascii="Times New Roman" w:cs="Times New Roman" w:eastAsia="Times New Roman" w:hAnsi="Times New Roman"/>
          <w:sz w:val="24"/>
          <w:szCs w:val="24"/>
          <w:rtl w:val="0"/>
        </w:rPr>
        <w:t xml:space="preserve">VOL. 48, NO. 7, DECEMBER 2014, PP. 782–798. [Online]. Available at: </w:t>
      </w:r>
      <w:hyperlink r:id="rId12">
        <w:r w:rsidDel="00000000" w:rsidR="00000000" w:rsidRPr="00000000">
          <w:rPr>
            <w:rFonts w:ascii="Times New Roman" w:cs="Times New Roman" w:eastAsia="Times New Roman" w:hAnsi="Times New Roman"/>
            <w:color w:val="0563c1"/>
            <w:sz w:val="24"/>
            <w:szCs w:val="24"/>
            <w:u w:val="single"/>
            <w:rtl w:val="0"/>
          </w:rPr>
          <w:t xml:space="preserve">https://onlinelibrary.wiley.com/doi/abs/10.1111/spol.12049</w:t>
        </w:r>
      </w:hyperlink>
      <w:r w:rsidDel="00000000" w:rsidR="00000000" w:rsidRPr="00000000">
        <w:rPr>
          <w:rFonts w:ascii="Times New Roman" w:cs="Times New Roman" w:eastAsia="Times New Roman" w:hAnsi="Times New Roman"/>
          <w:sz w:val="24"/>
          <w:szCs w:val="24"/>
          <w:rtl w:val="0"/>
        </w:rPr>
        <w:t xml:space="preserve"> (Accessed on 30/4/2018)</w:t>
      </w:r>
    </w:p>
    <w:p w:rsidR="00000000" w:rsidDel="00000000" w:rsidP="00000000" w:rsidRDefault="00000000" w:rsidRPr="00000000" w14:paraId="0000005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Giddens, A. (2006) Sociology. 5th edn. Cambridge: Polity Press.</w:t>
      </w:r>
    </w:p>
    <w:p w:rsidR="00000000" w:rsidDel="00000000" w:rsidP="00000000" w:rsidRDefault="00000000" w:rsidRPr="00000000" w14:paraId="0000005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Guardian (2013) </w:t>
      </w:r>
      <w:r w:rsidDel="00000000" w:rsidR="00000000" w:rsidRPr="00000000">
        <w:rPr>
          <w:rFonts w:ascii="Times New Roman" w:cs="Times New Roman" w:eastAsia="Times New Roman" w:hAnsi="Times New Roman"/>
          <w:i w:val="1"/>
          <w:sz w:val="24"/>
          <w:szCs w:val="24"/>
          <w:rtl w:val="0"/>
        </w:rPr>
        <w:t xml:space="preserve">Benefits in Britain: separating the facts from the fiction. </w:t>
      </w:r>
      <w:hyperlink r:id="rId13">
        <w:r w:rsidDel="00000000" w:rsidR="00000000" w:rsidRPr="00000000">
          <w:rPr>
            <w:rFonts w:ascii="Times New Roman" w:cs="Times New Roman" w:eastAsia="Times New Roman" w:hAnsi="Times New Roman"/>
            <w:color w:val="0563c1"/>
            <w:sz w:val="24"/>
            <w:szCs w:val="24"/>
            <w:u w:val="single"/>
            <w:rtl w:val="0"/>
          </w:rPr>
          <w:t xml:space="preserve">https://www.theguardian.com/politics/2013/apr/06/welfare-britain-facts-myths</w:t>
        </w:r>
      </w:hyperlink>
      <w:r w:rsidDel="00000000" w:rsidR="00000000" w:rsidRPr="00000000">
        <w:rPr>
          <w:rFonts w:ascii="Times New Roman" w:cs="Times New Roman" w:eastAsia="Times New Roman" w:hAnsi="Times New Roman"/>
          <w:sz w:val="24"/>
          <w:szCs w:val="24"/>
          <w:rtl w:val="0"/>
        </w:rPr>
        <w:t xml:space="preserve"> (Accessed 30/4/2018).</w:t>
      </w:r>
    </w:p>
    <w:p w:rsidR="00000000" w:rsidDel="00000000" w:rsidP="00000000" w:rsidRDefault="00000000" w:rsidRPr="00000000" w14:paraId="0000005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Hancock, C. (2018) Equality and Diversity: Power and Social (Re)production of Inequality; Session 5; Legal Control. 3 March.</w:t>
      </w:r>
    </w:p>
    <w:p w:rsidR="00000000" w:rsidDel="00000000" w:rsidP="00000000" w:rsidRDefault="00000000" w:rsidRPr="00000000" w14:paraId="0000005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MacManus et al (2011) ‘Violent behaviour in UK military personnel returning home after deployment’, Psychological Medicine, pp. 1-11. [Online]. Available at: https://www.kcl.ac.uk/kcmhr/publications/assetfiles/iraqafghan/MacManus2011-violentbehaviour.pdf (Accessed 23 April 2018).</w:t>
      </w:r>
    </w:p>
    <w:p w:rsidR="00000000" w:rsidDel="00000000" w:rsidP="00000000" w:rsidRDefault="00000000" w:rsidRPr="00000000" w14:paraId="0000005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Macguire, K. (no date) Social Class. http://www.medgraphics.cam.ac.uk/shield/ (Accessed 26 March 2018).</w:t>
      </w:r>
    </w:p>
    <w:p w:rsidR="00000000" w:rsidDel="00000000" w:rsidP="00000000" w:rsidRDefault="00000000" w:rsidRPr="00000000" w14:paraId="0000005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McNeill, J. (2017) </w:t>
      </w:r>
      <w:r w:rsidDel="00000000" w:rsidR="00000000" w:rsidRPr="00000000">
        <w:rPr>
          <w:rFonts w:ascii="Times New Roman" w:cs="Times New Roman" w:eastAsia="Times New Roman" w:hAnsi="Times New Roman"/>
          <w:i w:val="1"/>
          <w:sz w:val="24"/>
          <w:szCs w:val="24"/>
          <w:rtl w:val="0"/>
        </w:rPr>
        <w:t xml:space="preserve">Gamers or victims: how can you ‘play the game’ on benefits if you don’t know the rules?</w:t>
      </w:r>
      <w:r w:rsidDel="00000000" w:rsidR="00000000" w:rsidRPr="00000000">
        <w:rPr>
          <w:rFonts w:ascii="Times New Roman" w:cs="Times New Roman" w:eastAsia="Times New Roman" w:hAnsi="Times New Roman"/>
          <w:sz w:val="24"/>
          <w:szCs w:val="24"/>
          <w:rtl w:val="0"/>
        </w:rPr>
        <w:t xml:space="preserve"> </w:t>
      </w:r>
      <w:hyperlink r:id="rId14">
        <w:r w:rsidDel="00000000" w:rsidR="00000000" w:rsidRPr="00000000">
          <w:rPr>
            <w:rFonts w:ascii="Times New Roman" w:cs="Times New Roman" w:eastAsia="Times New Roman" w:hAnsi="Times New Roman"/>
            <w:color w:val="0563c1"/>
            <w:sz w:val="24"/>
            <w:szCs w:val="24"/>
            <w:u w:val="single"/>
            <w:rtl w:val="0"/>
          </w:rPr>
          <w:t xml:space="preserve">http://blogs.lse.ac.uk/politicsandpolicy/how-can-you-play-the-game-on-benefits-if-you-dont-know-the-rules/</w:t>
        </w:r>
      </w:hyperlink>
      <w:r w:rsidDel="00000000" w:rsidR="00000000" w:rsidRPr="00000000">
        <w:rPr>
          <w:rFonts w:ascii="Times New Roman" w:cs="Times New Roman" w:eastAsia="Times New Roman" w:hAnsi="Times New Roman"/>
          <w:sz w:val="24"/>
          <w:szCs w:val="24"/>
          <w:rtl w:val="0"/>
        </w:rPr>
        <w:t xml:space="preserve"> (Accessed 30/4/2018).</w:t>
      </w:r>
    </w:p>
    <w:p w:rsidR="00000000" w:rsidDel="00000000" w:rsidP="00000000" w:rsidRDefault="00000000" w:rsidRPr="00000000" w14:paraId="0000005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Newman, D M. (2010) Sociology: Exploring the architecture of everyday life. 8th edn. London: SAGE Publications Ltd.</w:t>
      </w:r>
    </w:p>
    <w:p w:rsidR="00000000" w:rsidDel="00000000" w:rsidP="00000000" w:rsidRDefault="00000000" w:rsidRPr="00000000" w14:paraId="0000005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Noble, T. (no date) Unexamined Assumptions and Neglected Questions in Social Mobility Research.</w:t>
      </w:r>
    </w:p>
    <w:p w:rsidR="00000000" w:rsidDel="00000000" w:rsidP="00000000" w:rsidRDefault="00000000" w:rsidRPr="00000000" w14:paraId="0000006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Ramesh, R. (2013) </w:t>
      </w:r>
      <w:r w:rsidDel="00000000" w:rsidR="00000000" w:rsidRPr="00000000">
        <w:rPr>
          <w:rFonts w:ascii="Times New Roman" w:cs="Times New Roman" w:eastAsia="Times New Roman" w:hAnsi="Times New Roman"/>
          <w:i w:val="1"/>
          <w:sz w:val="24"/>
          <w:szCs w:val="24"/>
          <w:rtl w:val="0"/>
        </w:rPr>
        <w:t xml:space="preserve">Is Britain a Nation of Lazy Scroungers? </w:t>
      </w:r>
      <w:hyperlink r:id="rId15">
        <w:r w:rsidDel="00000000" w:rsidR="00000000" w:rsidRPr="00000000">
          <w:rPr>
            <w:rFonts w:ascii="Times New Roman" w:cs="Times New Roman" w:eastAsia="Times New Roman" w:hAnsi="Times New Roman"/>
            <w:color w:val="0563c1"/>
            <w:sz w:val="24"/>
            <w:szCs w:val="24"/>
            <w:u w:val="single"/>
            <w:rtl w:val="0"/>
          </w:rPr>
          <w:t xml:space="preserve">https://www.theguardian.com/politics/reality-check/2013/apr/24/benefits</w:t>
        </w:r>
      </w:hyperlink>
      <w:r w:rsidDel="00000000" w:rsidR="00000000" w:rsidRPr="00000000">
        <w:rPr>
          <w:rFonts w:ascii="Times New Roman" w:cs="Times New Roman" w:eastAsia="Times New Roman" w:hAnsi="Times New Roman"/>
          <w:sz w:val="24"/>
          <w:szCs w:val="24"/>
          <w:rtl w:val="0"/>
        </w:rPr>
        <w:t xml:space="preserve"> (Accessed 30/4/2018).</w:t>
      </w:r>
    </w:p>
    <w:p w:rsidR="00000000" w:rsidDel="00000000" w:rsidP="00000000" w:rsidRDefault="00000000" w:rsidRPr="00000000" w14:paraId="0000006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Wynne Jones, R. (2015) </w:t>
      </w:r>
      <w:r w:rsidDel="00000000" w:rsidR="00000000" w:rsidRPr="00000000">
        <w:rPr>
          <w:rFonts w:ascii="Times New Roman" w:cs="Times New Roman" w:eastAsia="Times New Roman" w:hAnsi="Times New Roman"/>
          <w:i w:val="1"/>
          <w:sz w:val="24"/>
          <w:szCs w:val="24"/>
          <w:rtl w:val="0"/>
        </w:rPr>
        <w:t xml:space="preserve">Up to £20bn of benefits are UNCLAIMED every year - so why are the Tories declaring war on so called benefits cheats? </w:t>
      </w:r>
      <w:hyperlink r:id="rId16">
        <w:r w:rsidDel="00000000" w:rsidR="00000000" w:rsidRPr="00000000">
          <w:rPr>
            <w:rFonts w:ascii="Times New Roman" w:cs="Times New Roman" w:eastAsia="Times New Roman" w:hAnsi="Times New Roman"/>
            <w:color w:val="0563c1"/>
            <w:sz w:val="24"/>
            <w:szCs w:val="24"/>
            <w:u w:val="single"/>
            <w:rtl w:val="0"/>
          </w:rPr>
          <w:t xml:space="preserve">https://www.mirror.co.uk/news/uk-news/exposing-figures-government-sweep-under-6067450</w:t>
        </w:r>
      </w:hyperlink>
      <w:r w:rsidDel="00000000" w:rsidR="00000000" w:rsidRPr="00000000">
        <w:rPr>
          <w:rFonts w:ascii="Times New Roman" w:cs="Times New Roman" w:eastAsia="Times New Roman" w:hAnsi="Times New Roman"/>
          <w:sz w:val="24"/>
          <w:szCs w:val="24"/>
          <w:rtl w:val="0"/>
        </w:rPr>
        <w:t xml:space="preserve"> (Accessed 7/5/2018).</w:t>
      </w:r>
      <w:r w:rsidDel="00000000" w:rsidR="00000000" w:rsidRPr="00000000">
        <w:rPr>
          <w:rtl w:val="0"/>
        </w:rPr>
      </w:r>
    </w:p>
    <w:p w:rsidR="00000000" w:rsidDel="00000000" w:rsidP="00000000" w:rsidRDefault="00000000" w:rsidRPr="00000000" w14:paraId="00000064">
      <w:pPr>
        <w:contextualSpacing w:val="0"/>
        <w:rPr>
          <w:rFonts w:ascii="Times New Roman" w:cs="Times New Roman" w:eastAsia="Times New Roman" w:hAnsi="Times New Roman"/>
          <w:sz w:val="24"/>
          <w:szCs w:val="24"/>
        </w:rPr>
      </w:pPr>
      <w:r w:rsidDel="00000000" w:rsidR="00000000" w:rsidRPr="00000000">
        <w:rPr>
          <w:rtl w:val="0"/>
        </w:rPr>
      </w:r>
    </w:p>
    <w:sectPr>
      <w:headerReference r:id="rId17" w:type="default"/>
      <w:footerReference r:id="rId18"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Caroline Cox</w:t>
      <w:tab/>
      <w:tab/>
      <w:t xml:space="preserve">Assignment 3</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C534CA"/>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6113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113E5"/>
  </w:style>
  <w:style w:type="paragraph" w:styleId="Footer">
    <w:name w:val="footer"/>
    <w:basedOn w:val="Normal"/>
    <w:link w:val="FooterChar"/>
    <w:uiPriority w:val="99"/>
    <w:unhideWhenUsed w:val="1"/>
    <w:rsid w:val="006113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113E5"/>
  </w:style>
  <w:style w:type="character" w:styleId="Hyperlink">
    <w:name w:val="Hyperlink"/>
    <w:basedOn w:val="DefaultParagraphFont"/>
    <w:uiPriority w:val="99"/>
    <w:unhideWhenUsed w:val="1"/>
    <w:rsid w:val="00B55225"/>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8" Type="http://schemas.openxmlformats.org/officeDocument/2006/relationships/footer" Target="footer1.xml"/><Relationship Id="rId5" Type="http://schemas.openxmlformats.org/officeDocument/2006/relationships/styles" Target="styles.xml"/><Relationship Id="rId12" Type="http://schemas.openxmlformats.org/officeDocument/2006/relationships/hyperlink" Target="https://onlinelibrary.wiley.com/doi/abs/10.1111/spol.12049" TargetMode="External"/><Relationship Id="rId16" Type="http://schemas.openxmlformats.org/officeDocument/2006/relationships/hyperlink" Target="https://www.mirror.co.uk/news/uk-news/exposing-figures-government-sweep-under-6067450" TargetMode="External"/><Relationship Id="rId15" Type="http://schemas.openxmlformats.org/officeDocument/2006/relationships/hyperlink" Target="https://www.theguardian.com/politics/reality-check/2013/apr/24/benefits" TargetMode="External"/><Relationship Id="rId11" Type="http://schemas.openxmlformats.org/officeDocument/2006/relationships/hyperlink" Target="http://blogs.lse.ac.uk/politicsandpolicy/the-scrounger-myth-is-causing-real-suffering-to-many-in-society/" TargetMode="External"/><Relationship Id="rId14" Type="http://schemas.openxmlformats.org/officeDocument/2006/relationships/hyperlink" Target="http://blogs.lse.ac.uk/politicsandpolicy/how-can-you-play-the-game-on-benefits-if-you-dont-know-the-rules/" TargetMode="External"/><Relationship Id="rId7" Type="http://schemas.openxmlformats.org/officeDocument/2006/relationships/hyperlink" Target="http://criminology.oxfordre.com/view/10.1093/acrefore/9780190264079.001.0001/acrefore-9780190264079-e-155" TargetMode="External"/><Relationship Id="rId2" Type="http://schemas.openxmlformats.org/officeDocument/2006/relationships/settings" Target="settings.xml"/><Relationship Id="rId10" Type="http://schemas.openxmlformats.org/officeDocument/2006/relationships/hyperlink" Target="https://www.theguardian.com/commentisfree/2007/may/31/prisonisntworking" TargetMode="External"/><Relationship Id="rId13" Type="http://schemas.openxmlformats.org/officeDocument/2006/relationships/hyperlink" Target="https://www.theguardian.com/politics/2013/apr/06/welfare-britain-facts-myths" TargetMode="External"/><Relationship Id="rId8" Type="http://schemas.openxmlformats.org/officeDocument/2006/relationships/hyperlink" Target="https://www.thoughtco.com/moral-panic-3026420" TargetMode="External"/><Relationship Id="rId17" Type="http://schemas.openxmlformats.org/officeDocument/2006/relationships/header" Target="header1.xml"/><Relationship Id="rId4" Type="http://schemas.openxmlformats.org/officeDocument/2006/relationships/numbering" Target="numbering.xml"/><Relationship Id="rId3" Type="http://schemas.openxmlformats.org/officeDocument/2006/relationships/fontTable" Target="fontTable.xml"/><Relationship Id="rId9" Type="http://schemas.openxmlformats.org/officeDocument/2006/relationships/hyperlink" Target="https://www.express.co.uk/news/uk/755749/politics-poverty-poor-families-poorer-goods-inflation-inadequate-welfare-rise" TargetMode="External"/><Relationship Id="rId6" Type="http://schemas.openxmlformats.org/officeDocument/2006/relationships/hyperlink" Target="http://www.bbc.co.uk/news/business-42802526" TargetMode="External"/><Relationship Id="rId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