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CAA" w:rsidRDefault="00820502" w:rsidP="00820502">
      <w:pPr>
        <w:pStyle w:val="Title"/>
      </w:pPr>
      <w:r w:rsidRPr="00820502">
        <w:t>Why has the First World War cast such a long shadow over the history of the British Isles, even eclipsing the legacy of World War Two? This exercise can address the political, social, cultural, and psychological impact of the conflict.</w:t>
      </w:r>
    </w:p>
    <w:p w:rsidR="004F0A55" w:rsidRDefault="004F0A55" w:rsidP="004F0A55"/>
    <w:p w:rsidR="004F0A55" w:rsidRDefault="008F1918" w:rsidP="004F0A55">
      <w:r>
        <w:t xml:space="preserve">The First World War without a shadow of a doubt has had a large impact on the history of the British </w:t>
      </w:r>
      <w:r w:rsidR="00034D54">
        <w:t>Isles. Even when compared to the monumental legacy of the Second World War, the First World War still eclipses that. There are several reasons for this, which largely relate to one major point, that are nature of the two wars and the way Britain was shifting politically and socially throughout the 20</w:t>
      </w:r>
      <w:r w:rsidR="00034D54" w:rsidRPr="00034D54">
        <w:rPr>
          <w:vertAlign w:val="superscript"/>
        </w:rPr>
        <w:t>th</w:t>
      </w:r>
      <w:r w:rsidR="00034D54">
        <w:t xml:space="preserve"> century and how these changes affected our memory of the war, as David Reynolds Puts it o</w:t>
      </w:r>
      <w:r w:rsidR="00034D54" w:rsidRPr="00034D54">
        <w:t>ur view of 1914-18 has become a caricature which is stuck in the trenches</w:t>
      </w:r>
      <w:r w:rsidR="00034D54">
        <w:t>.</w:t>
      </w:r>
      <w:r w:rsidR="005E103C">
        <w:rPr>
          <w:rStyle w:val="FootnoteReference"/>
        </w:rPr>
        <w:footnoteReference w:id="1"/>
      </w:r>
      <w:r w:rsidR="00034D54">
        <w:t xml:space="preserve"> Both of these made the ‘Great War Poets’ popular, through crea</w:t>
      </w:r>
      <w:r w:rsidR="005E103C">
        <w:t>ting the environments for them to create their works and popularisation of said works</w:t>
      </w:r>
      <w:r w:rsidR="00034D54">
        <w:t xml:space="preserve"> 50 years after the event </w:t>
      </w:r>
      <w:r w:rsidR="005E103C">
        <w:t>in the 1960’s. One could argue that it is these developments post 1960 with the benefit of being able to compare the two World Wars against each other gives us the narrative memory we have of the First World War which casts this ‘long shadow’ over the British Isles. However it could be argued that our Experience of the war coloured our view of history from the moment it had ended as it most definitely affected how Britain was governed during the 20</w:t>
      </w:r>
      <w:r w:rsidR="005E103C" w:rsidRPr="005E103C">
        <w:rPr>
          <w:vertAlign w:val="superscript"/>
        </w:rPr>
        <w:t>th</w:t>
      </w:r>
      <w:r w:rsidR="005E103C">
        <w:t xml:space="preserve"> century. </w:t>
      </w:r>
    </w:p>
    <w:p w:rsidR="005E103C" w:rsidRDefault="005E103C" w:rsidP="004F0A55">
      <w:r>
        <w:t>An important thing to note when comparing the two wars is that they were both firsts in one way or another</w:t>
      </w:r>
      <w:r w:rsidR="00E96EEC">
        <w:t>. The First World War was the first fully industrialised war of its scale, meaning it was the first time anyone had deployed modern, quick firing, artillery and fully automatic guns like heavy machineguns en-mass, the last major conflict against another national field army rather than a colonial uprising, like in the Boer war, was the Crimean War against Russia</w:t>
      </w:r>
      <w:r w:rsidR="00CB3A84">
        <w:t xml:space="preserve"> in 1854</w:t>
      </w:r>
      <w:r w:rsidR="00E96EEC">
        <w:t>, which had about 40,000 casualties.</w:t>
      </w:r>
      <w:r w:rsidR="00E96EEC">
        <w:rPr>
          <w:rStyle w:val="FootnoteReference"/>
        </w:rPr>
        <w:footnoteReference w:id="2"/>
      </w:r>
      <w:r w:rsidR="00E96EEC">
        <w:t xml:space="preserve"> By comparison the Boer War had around 22,000, of which roughly 14,000 were reported to have died of diseases.</w:t>
      </w:r>
      <w:r w:rsidR="00E96EEC">
        <w:rPr>
          <w:rStyle w:val="FootnoteReference"/>
        </w:rPr>
        <w:footnoteReference w:id="3"/>
      </w:r>
      <w:r w:rsidR="00CB3A84">
        <w:t xml:space="preserve"> So Britain hadn’t been brought into an international conflict for the best part of 60 years, now given that the Boer War was relatively more recent to the First world War, ending in 1902, the nation was somewhat mentally prepared for the loss of life in a war. However the Scale of loss in the First World War is what shook people, the combined dead of the 2 wars mentioned doesn’t even meet the loss of life at the Somme</w:t>
      </w:r>
      <w:r w:rsidR="003F3663">
        <w:t xml:space="preserve"> in 1916</w:t>
      </w:r>
      <w:r w:rsidR="00CB3A84">
        <w:t>, totalling around 420,000 for one battle of the war.</w:t>
      </w:r>
      <w:r w:rsidR="00CB3A84">
        <w:rPr>
          <w:rStyle w:val="FootnoteReference"/>
        </w:rPr>
        <w:footnoteReference w:id="4"/>
      </w:r>
      <w:r w:rsidR="00CB3A84">
        <w:t xml:space="preserve"> </w:t>
      </w:r>
      <w:r w:rsidR="003F3663">
        <w:t xml:space="preserve">Due to this shift in technology and its application catching many off guard it created a stagnant battlefield in Western Europe, which is where all </w:t>
      </w:r>
      <w:r w:rsidR="00AD22C8">
        <w:t>of the war poetry</w:t>
      </w:r>
      <w:r w:rsidR="003F3663">
        <w:t xml:space="preserve"> come</w:t>
      </w:r>
      <w:r w:rsidR="00AD22C8">
        <w:t>s</w:t>
      </w:r>
      <w:r w:rsidR="003F3663">
        <w:t xml:space="preserve"> </w:t>
      </w:r>
      <w:r w:rsidR="003F3663">
        <w:lastRenderedPageBreak/>
        <w:t>from</w:t>
      </w:r>
      <w:r w:rsidR="00AD22C8">
        <w:t>.</w:t>
      </w:r>
      <w:r w:rsidR="00AD22C8">
        <w:rPr>
          <w:rStyle w:val="FootnoteReference"/>
        </w:rPr>
        <w:footnoteReference w:id="5"/>
      </w:r>
      <w:r w:rsidR="00AD22C8">
        <w:t xml:space="preserve"> Now World War Two on the other hand as the first major mechanised war of its scale, Meaning that the conflict was the largest mass deployment of vehicles in war to date as nations took lessons of the success of the modern tank in the Spanish Civil war of the 1930’s and started to produce enormous numbers of them.</w:t>
      </w:r>
      <w:r w:rsidR="00AD22C8">
        <w:rPr>
          <w:rStyle w:val="FootnoteReference"/>
        </w:rPr>
        <w:footnoteReference w:id="6"/>
      </w:r>
      <w:r w:rsidR="00AD22C8">
        <w:t xml:space="preserve"> Due to </w:t>
      </w:r>
      <w:r w:rsidR="001C363D">
        <w:t xml:space="preserve">the mass production of these Vehicles for front line use the war became more fluid and dynamic, the front line was ever shifting rarely becoming stagnant like the first world war, in fact a good comparison can be drawn here as a lot of our written accounts from the war come from Dunkirk, where there was sporadic fighting but the because the main German forces weren’t committed to attack there was a enough time for soldiers to write about their experience, much like the western front of World War 1, when by comparison the Torbruk Strongpoint in North Africa has very little first hand writing </w:t>
      </w:r>
      <w:r w:rsidR="00AD22C8">
        <w:t xml:space="preserve"> </w:t>
      </w:r>
      <w:r w:rsidR="001C363D">
        <w:t xml:space="preserve">due to the frequency of the assaults of the Africa </w:t>
      </w:r>
      <w:proofErr w:type="spellStart"/>
      <w:r w:rsidR="001C363D">
        <w:t>Korps</w:t>
      </w:r>
      <w:proofErr w:type="spellEnd"/>
      <w:r w:rsidR="001C363D">
        <w:t>.</w:t>
      </w:r>
      <w:r w:rsidR="001C363D">
        <w:rPr>
          <w:rStyle w:val="FootnoteReference"/>
        </w:rPr>
        <w:footnoteReference w:id="7"/>
      </w:r>
      <w:r w:rsidR="00C668C1">
        <w:t xml:space="preserve"> </w:t>
      </w:r>
      <w:r w:rsidR="00AD22C8">
        <w:t>This war also saw a much larger loss of civilian life with at least 55% of all casualties being non-combatants.</w:t>
      </w:r>
      <w:r w:rsidR="00AD22C8">
        <w:rPr>
          <w:rStyle w:val="FootnoteReference"/>
        </w:rPr>
        <w:footnoteReference w:id="8"/>
      </w:r>
      <w:r w:rsidR="00AD22C8">
        <w:t xml:space="preserve"> Which brought the war home to the civilian population when compared to the First World War where people could just about hear explosions in France and small naval bombardments meant that for many there was little to know way for them to experience the war unlike the returning soldiers.</w:t>
      </w:r>
      <w:r w:rsidR="00C668C1">
        <w:rPr>
          <w:rStyle w:val="FootnoteReference"/>
        </w:rPr>
        <w:footnoteReference w:id="9"/>
      </w:r>
    </w:p>
    <w:p w:rsidR="00C668C1" w:rsidRPr="004F0A55" w:rsidRDefault="00C668C1" w:rsidP="004F0A55">
      <w:r>
        <w:t>Another important comparison to make is that the second world war appeared to be more clear cut in its good and bad as we fought it to ‘stop the Nazis’ as with after the discovery of concentration camps made it easy and almost impossible to portray World War 2 Germany as anything but evil, as can be attested by the cinematic history.</w:t>
      </w:r>
      <w:r>
        <w:rPr>
          <w:rStyle w:val="FootnoteReference"/>
        </w:rPr>
        <w:footnoteReference w:id="10"/>
      </w:r>
      <w:r>
        <w:t xml:space="preserve"> World War 1 on the other hand lacked this clear cut binary good and evil side, at least on the western front any way as we are lead to believe now. However something which gets overlooked in the ‘long shadow’ the First World War casts over British history is what was happening outside of northern France and Belgium, in the middle east against the Ottom</w:t>
      </w:r>
      <w:r w:rsidR="00242A76">
        <w:t xml:space="preserve">an Empire you once again have an easily discernible villain. The Ottoman Empire in 1915 </w:t>
      </w:r>
      <w:r w:rsidR="006007F3">
        <w:t>began</w:t>
      </w:r>
      <w:r w:rsidR="00242A76">
        <w:t xml:space="preserve"> to commit a genocide against the Armenian peoples within its borders, resulting in 1.5 million dead, and it’s not like this was unknown at the time either with works being published in the UK by Arnold Toynbee.</w:t>
      </w:r>
      <w:r w:rsidR="00242A76">
        <w:rPr>
          <w:rStyle w:val="FootnoteReference"/>
        </w:rPr>
        <w:footnoteReference w:id="11"/>
      </w:r>
      <w:r w:rsidR="00242A76">
        <w:t xml:space="preserve"> </w:t>
      </w:r>
      <w:r w:rsidR="006007F3">
        <w:t>Whilst not to the same horrific scale of the Holocaust the events still had a motives as the Armenians were used as a scapegoat form military failures as well. Much like the fighting against the Ottoman Empire in World War 1 this also gets side-lined by the narrative we are taught about the First World War because it doesn’t fit into our national memory of the war as, to our memory, it was the futile war, the war fought to end all wars, the great war but its legacy failed to</w:t>
      </w:r>
      <w:r w:rsidR="00E748E9">
        <w:t xml:space="preserve"> live up to expectation. Thi</w:t>
      </w:r>
      <w:r w:rsidR="006007F3">
        <w:t>s</w:t>
      </w:r>
      <w:r w:rsidR="00E748E9">
        <w:t xml:space="preserve"> is</w:t>
      </w:r>
      <w:r w:rsidR="006007F3">
        <w:t xml:space="preserve"> why it has cast such a ‘long shadow’</w:t>
      </w:r>
      <w:r w:rsidR="00E748E9">
        <w:t xml:space="preserve"> over the history of the British Isles.</w:t>
      </w:r>
    </w:p>
    <w:p w:rsidR="00E57D20" w:rsidRDefault="00E748E9" w:rsidP="00E57D20">
      <w:r>
        <w:t xml:space="preserve">In his work, </w:t>
      </w:r>
      <w:r w:rsidRPr="00E748E9">
        <w:t>The Long Shadow: The Great War and the Twentieth Century</w:t>
      </w:r>
      <w:r>
        <w:t>, David Reynolds</w:t>
      </w:r>
      <w:r w:rsidR="004E50F3">
        <w:t xml:space="preserve"> makes a strong point when he asks ‘what are we remembering’ when we remember the </w:t>
      </w:r>
      <w:r w:rsidR="000B09DB">
        <w:t>Great War</w:t>
      </w:r>
      <w:r w:rsidR="00FB45A1">
        <w:t xml:space="preserve">, he believes the most common answer for people of the British Isles is a terrible sacrifice for nothing and that we see the first world war as a pointless slaughter of mud and blood, a conflict only illuminated </w:t>
      </w:r>
      <w:r w:rsidR="00FB45A1">
        <w:lastRenderedPageBreak/>
        <w:t>by poignant war poetry</w:t>
      </w:r>
      <w:r w:rsidR="000F2A43">
        <w:t xml:space="preserve"> becoming a caricature that is stuck in the trenches</w:t>
      </w:r>
      <w:r w:rsidR="00FB45A1">
        <w:t>.</w:t>
      </w:r>
      <w:r w:rsidR="00FB45A1">
        <w:rPr>
          <w:rStyle w:val="FootnoteReference"/>
        </w:rPr>
        <w:footnoteReference w:id="12"/>
      </w:r>
      <w:r w:rsidR="000F2A43">
        <w:t xml:space="preserve"> Our view of the First World War could be considered paradoxical since we see it as static, futile and inconclusive, but its legacies shaped way the 20</w:t>
      </w:r>
      <w:r w:rsidR="000F2A43" w:rsidRPr="000F2A43">
        <w:rPr>
          <w:vertAlign w:val="superscript"/>
        </w:rPr>
        <w:t>th</w:t>
      </w:r>
      <w:r w:rsidR="000F2A43">
        <w:t xml:space="preserve"> century would unfold and in a similar way the events of the 20</w:t>
      </w:r>
      <w:r w:rsidR="000F2A43" w:rsidRPr="000F2A43">
        <w:rPr>
          <w:vertAlign w:val="superscript"/>
        </w:rPr>
        <w:t>th</w:t>
      </w:r>
      <w:r w:rsidR="000F2A43">
        <w:t xml:space="preserve"> century have shaped our understanding and the way in which we remember the war.</w:t>
      </w:r>
      <w:r w:rsidR="000F2A43">
        <w:rPr>
          <w:rStyle w:val="FootnoteReference"/>
        </w:rPr>
        <w:footnoteReference w:id="13"/>
      </w:r>
      <w:r w:rsidR="006329C1">
        <w:t xml:space="preserve"> The First World War was remembered during the 20’s and 30’s in a similar fashion as it is today. When soldiers first returned home in 1918 the general public were not aware of the enormity of the war, it was unfathomable to them, as had been brought up earlier, and because of this the realities of the war, its steep learning curve</w:t>
      </w:r>
      <w:r w:rsidR="00D2712C">
        <w:t xml:space="preserve"> and other elements that can only be explained when looking in detail at the war, became obscured and distanced from our memory, becoming encapsulated by words like ‘Honour, Duty and Sacrifice’.</w:t>
      </w:r>
      <w:r w:rsidR="00D2712C">
        <w:rPr>
          <w:rStyle w:val="FootnoteReference"/>
        </w:rPr>
        <w:footnoteReference w:id="14"/>
      </w:r>
      <w:r w:rsidR="00D2712C">
        <w:t xml:space="preserve"> The monuments we built were sombre unlike the victory archers and columns we normally erect after a war, abroad we built huge monuments to name all of the missing and dead and gave each soldier a headstone, including the missing soldiers, the Cenotaph in London would be the one that holds the most significance to the British public being unveiled at the victory parade in July 1919</w:t>
      </w:r>
      <w:r w:rsidR="00D14A01">
        <w:t xml:space="preserve">, the fact it was abstract in nature was popular </w:t>
      </w:r>
      <w:r w:rsidR="00294ADA">
        <w:t>with the grieving public which could project their own emotions.</w:t>
      </w:r>
      <w:r w:rsidR="00294ADA">
        <w:rPr>
          <w:rStyle w:val="FootnoteReference"/>
        </w:rPr>
        <w:footnoteReference w:id="15"/>
      </w:r>
      <w:r w:rsidR="00C11349">
        <w:t xml:space="preserve"> These were pushed through by the government despite some opposition as people complained they couldn’t bring their loved ones home </w:t>
      </w:r>
      <w:r w:rsidR="00BE1BD1">
        <w:t>and the monuments were accused of being too Prussian.</w:t>
      </w:r>
      <w:r w:rsidR="00BE1BD1">
        <w:rPr>
          <w:rStyle w:val="FootnoteReference"/>
        </w:rPr>
        <w:footnoteReference w:id="16"/>
      </w:r>
      <w:r w:rsidR="00BE1BD1">
        <w:t xml:space="preserve"> The later years of the 20’s saw the war consigned to history with the youth of the British Isle, believing in the moniker of the War to End All Wars,  focusing more on the social advancements in music and theatre, in relation 1928 saw the publication of soldiers wartime experience </w:t>
      </w:r>
      <w:r w:rsidR="00DA7BC9">
        <w:t>in memoirs as</w:t>
      </w:r>
      <w:r w:rsidR="00757E9A">
        <w:t xml:space="preserve"> </w:t>
      </w:r>
      <w:r w:rsidR="00DA7BC9">
        <w:t>well as the play ‘Journeys End’.</w:t>
      </w:r>
      <w:r w:rsidR="00DA7BC9">
        <w:rPr>
          <w:rStyle w:val="FootnoteReference"/>
        </w:rPr>
        <w:footnoteReference w:id="17"/>
      </w:r>
      <w:r w:rsidR="00DA7BC9">
        <w:t xml:space="preserve"> The play itself was met with wide spread approval with J.B.Priestly saying it was the strongest plea for peace he had seen, now in hindsight this seems tragic to us due to our knowledge of an even bigger war breaking out 10 years after this.</w:t>
      </w:r>
      <w:r w:rsidR="00DA7BC9">
        <w:rPr>
          <w:rStyle w:val="FootnoteReference"/>
        </w:rPr>
        <w:footnoteReference w:id="18"/>
      </w:r>
      <w:r w:rsidR="00DA7BC9">
        <w:t xml:space="preserve"> For them the First World War was the war to end all wars and that the Great War would be followed by a Great Peace, </w:t>
      </w:r>
      <w:r w:rsidR="00503A03">
        <w:t>and for them what we call the inter war years was the start of a brighter future than the one they ultimately received.</w:t>
      </w:r>
      <w:r w:rsidR="00503A03">
        <w:rPr>
          <w:rStyle w:val="FootnoteReference"/>
        </w:rPr>
        <w:footnoteReference w:id="19"/>
      </w:r>
      <w:r w:rsidR="00503A03">
        <w:t xml:space="preserve"> For Britain this meant becoming one of the major players in the League of Nations which had some early successes preventing smaller conflicts erupting into full scale war like they had in 1914, one of the most significant was a flash point in 1923 between Greece and Italy which could have sparked another major conflict had the league not stepped in, this in way partially lead to how the British public saw the 20’s as the beginning of the great peace as international bodies were preventing major conflicts happening again out of fear of another global conflict.</w:t>
      </w:r>
      <w:r w:rsidR="00503A03">
        <w:rPr>
          <w:rStyle w:val="FootnoteReference"/>
        </w:rPr>
        <w:footnoteReference w:id="20"/>
      </w:r>
      <w:r w:rsidR="00503A03">
        <w:t xml:space="preserve"> However it is this body and others like it which caused much of the issues of the later 30’s</w:t>
      </w:r>
      <w:r w:rsidR="00EE250A">
        <w:t xml:space="preserve"> with the situation in Germany enabling far right fringe parties like the Nazis to gain power, and rather than trying to prevent another war they were looking to do it right this time.</w:t>
      </w:r>
      <w:r w:rsidR="00EE250A">
        <w:rPr>
          <w:rStyle w:val="FootnoteReference"/>
        </w:rPr>
        <w:footnoteReference w:id="21"/>
      </w:r>
      <w:r w:rsidR="00EE250A">
        <w:t xml:space="preserve"> By 1933 Britain was beginning to rearm to match the German programs, however the League of Nations Union in the UK launched a Peace Ballot, of which roughly 1/3 of the total population responded, with the vast majority of people remaining in favour of staying within the League of Nations and continuing its mission of disarmament, with a further 60% of these being in favour of military sanctions on Germany should the need arise, willing to risk a smaller war in the name of Global </w:t>
      </w:r>
      <w:r w:rsidR="00EE250A">
        <w:lastRenderedPageBreak/>
        <w:t>Peace.</w:t>
      </w:r>
      <w:r w:rsidR="00EE250A">
        <w:rPr>
          <w:rStyle w:val="FootnoteReference"/>
        </w:rPr>
        <w:footnoteReference w:id="22"/>
      </w:r>
      <w:r w:rsidR="00E57D20">
        <w:t xml:space="preserve"> </w:t>
      </w:r>
      <w:r w:rsidR="00EE250A">
        <w:t xml:space="preserve">Whilst this only shows the views of 1/3 of the population of Britain this is still a good indicator to tell us how the long shadow of the First World War </w:t>
      </w:r>
      <w:r w:rsidR="00E57D20">
        <w:t>affected the public then, people were genuinely afraid of having another war of that scale, this lead to policies like appeasement which only worked as to delay the coming of war.</w:t>
      </w:r>
    </w:p>
    <w:p w:rsidR="00953970" w:rsidRDefault="00E40578" w:rsidP="00E57D20">
      <w:r>
        <w:t xml:space="preserve">The fact war broke out again in 1939 made </w:t>
      </w:r>
      <w:r w:rsidR="00E57D20">
        <w:t xml:space="preserve">the struggles and strife of </w:t>
      </w:r>
      <w:r>
        <w:t>1914 -1918 meaningless</w:t>
      </w:r>
      <w:r w:rsidR="00E57D20">
        <w:t>, the War to End All Wars didn’t stop conflict, if anything escalated the second conflict. The optimism and hope that followed it into the interwar years was shattered as the realisation of a second even larger scale war was on the horizon.</w:t>
      </w:r>
      <w:r w:rsidR="00E57D20">
        <w:rPr>
          <w:rStyle w:val="FootnoteReference"/>
        </w:rPr>
        <w:footnoteReference w:id="23"/>
      </w:r>
      <w:r w:rsidR="00446973">
        <w:t xml:space="preserve"> As mentioned previously this war was bigger and more devastating to the British public as the nation was under threat of invasion and was extensively bombed, in addition the war was also truly global as there was a war in the pacific due to Germany being allied to Japan, meaning that nowhere in the empire was safe from the war. This war also had more easily identifiable heroes like the pilots at the Battle of Britain, the Australians at Torbruk, as well as heroic leadership, where by comparison the First World War seemed messy and inconclusive and its heroes like Lawrence of Arabia only receiving lower levels of fame than those of World War Two.</w:t>
      </w:r>
      <w:r w:rsidR="00446973">
        <w:rPr>
          <w:rStyle w:val="FootnoteReference"/>
        </w:rPr>
        <w:footnoteReference w:id="24"/>
      </w:r>
      <w:r w:rsidR="00446973">
        <w:t xml:space="preserve"> The Second World War, as referenced earlier, was undoubtedly a good war after the atrocities of the Nazis were discovered </w:t>
      </w:r>
      <w:r w:rsidR="004014E4">
        <w:t>and this was reflected in the early media released about it soon after the war, square jawed heroes verses the evil Nazis, the films serving to create the image that World War two was a necessary and undoubtedly war to defeat a truly evil and barbaric adversary.</w:t>
      </w:r>
      <w:r w:rsidR="004014E4">
        <w:rPr>
          <w:rStyle w:val="FootnoteReference"/>
        </w:rPr>
        <w:footnoteReference w:id="25"/>
      </w:r>
      <w:r w:rsidR="004014E4">
        <w:t xml:space="preserve"> After World War Two the Great War was renamed World War One, this changed the meaning of the war for the eyes of the public, the war was no longer as great or important as it once was, and it was less significant in the population’s memory and became an ineffectual sacrifice of life that required a second round.</w:t>
      </w:r>
      <w:r w:rsidR="004014E4">
        <w:rPr>
          <w:rStyle w:val="FootnoteReference"/>
        </w:rPr>
        <w:footnoteReference w:id="26"/>
      </w:r>
    </w:p>
    <w:p w:rsidR="004014E4" w:rsidRDefault="004014E4" w:rsidP="00E57D20">
      <w:r>
        <w:t>The First World War had shaped the 1920’s and 1930’s but the 1960’s would shape the way we view its legacy and will tell us why it has such a ‘Long Shadow’ over the history of the British Isles</w:t>
      </w:r>
      <w:r w:rsidR="00E903F9">
        <w:t xml:space="preserve"> as stated by David Reynolds.</w:t>
      </w:r>
      <w:r w:rsidR="00E903F9">
        <w:rPr>
          <w:rStyle w:val="FootnoteReference"/>
        </w:rPr>
        <w:footnoteReference w:id="27"/>
      </w:r>
      <w:r w:rsidR="00E903F9">
        <w:t xml:space="preserve"> Rather than fade out into memory a combination of international crises and a more politically left wing viewpoint of the newer generation would lead us to the way we remember the First World War and why it has such a ‘Long Shadow’ over our history. In 1962 the USSR and USA had a major dispute over where they were both deploying nuclear warheads and Intercontinental Ballistic Missiles across the globe, this came to a head in 1962 when the two nations were about a hairs breadth from declaring war over missiles being deployed in Cuba, the Cuban Missile Crisis.</w:t>
      </w:r>
      <w:r w:rsidR="00E903F9">
        <w:rPr>
          <w:rStyle w:val="FootnoteReference"/>
        </w:rPr>
        <w:footnoteReference w:id="28"/>
      </w:r>
      <w:r w:rsidR="00E903F9">
        <w:t xml:space="preserve"> To some this resembled the outbreak of the First World War, where a flashpoint between two nations blew up into a global conflict due to long and complex systems of alliances.</w:t>
      </w:r>
      <w:r w:rsidR="00E903F9">
        <w:rPr>
          <w:rStyle w:val="FootnoteReference"/>
        </w:rPr>
        <w:footnoteReference w:id="29"/>
      </w:r>
      <w:r w:rsidR="00E903F9">
        <w:t xml:space="preserve"> This for many brought the prospect of a World War to a grim reality rather than a tragic history</w:t>
      </w:r>
      <w:r w:rsidR="00472ABC">
        <w:t xml:space="preserve"> as they were on the brink of another ‘War to End All Wars’, this time however with higher stakes. Due to this there was a great vetted interest in the war for its 50 year anniversary in 1964, this provided a many of the younger generations of Britons to get to grips with the war and for many this was the first time they would view it, however this would be through tinted glasses of the second world war.</w:t>
      </w:r>
      <w:r w:rsidR="00472ABC">
        <w:rPr>
          <w:rStyle w:val="FootnoteReference"/>
        </w:rPr>
        <w:footnoteReference w:id="30"/>
      </w:r>
      <w:r w:rsidR="00472ABC">
        <w:t xml:space="preserve"> The play ‘Oh What a </w:t>
      </w:r>
      <w:proofErr w:type="spellStart"/>
      <w:r w:rsidR="00472ABC">
        <w:t>Lovelly</w:t>
      </w:r>
      <w:proofErr w:type="spellEnd"/>
      <w:r w:rsidR="00472ABC">
        <w:t xml:space="preserve"> war’ was released during this time too, this play like ‘Journeys </w:t>
      </w:r>
      <w:r w:rsidR="00472ABC">
        <w:lastRenderedPageBreak/>
        <w:t>End’ Shaped this generations view of the war. The play itself heavily satirised the events of the war and emphasised the class war on the front line, the play was even quoted out of context to criticize the Generals and Officers in the war and in doing so doesn’t portray the soldiers as individuals but rather victims of the war and gross incompetence.</w:t>
      </w:r>
      <w:r w:rsidR="00472ABC">
        <w:rPr>
          <w:rStyle w:val="FootnoteReference"/>
        </w:rPr>
        <w:footnoteReference w:id="31"/>
      </w:r>
      <w:r w:rsidR="00472ABC">
        <w:t xml:space="preserve"> In tandem to this </w:t>
      </w:r>
      <w:r w:rsidR="00472ABC" w:rsidRPr="00472ABC">
        <w:t>Britain also rediscovered the poetry of the Great War, reinforcing this idea of a needless slaughter</w:t>
      </w:r>
      <w:r w:rsidR="00472ABC">
        <w:t xml:space="preserve">. The </w:t>
      </w:r>
      <w:r w:rsidR="00472ABC" w:rsidRPr="00472ABC">
        <w:t>50</w:t>
      </w:r>
      <w:r w:rsidR="00472ABC" w:rsidRPr="00472ABC">
        <w:rPr>
          <w:vertAlign w:val="superscript"/>
        </w:rPr>
        <w:t>th</w:t>
      </w:r>
      <w:r w:rsidR="00472ABC" w:rsidRPr="00472ABC">
        <w:t xml:space="preserve"> anniversary anthologies of the works were released, they shaped how it was taught in schools and social memory, when in reality they are carefully edited volumes which preach a particular message about the war</w:t>
      </w:r>
      <w:r w:rsidR="00472ABC">
        <w:t>, they were edited to show the naïve patriotism of the soldiers signing up and ending and emphasising the bleak writings of Sassoon and Owen.</w:t>
      </w:r>
      <w:r w:rsidR="00F84E43">
        <w:rPr>
          <w:rStyle w:val="FootnoteReference"/>
        </w:rPr>
        <w:footnoteReference w:id="32"/>
      </w:r>
      <w:r w:rsidR="00F84E43">
        <w:t xml:space="preserve"> Interestingly enough a good example of how this and the narratives of these stories were edited is Wilfred Owen himself, he was pulled out of the Frontline but chose to Go back in 1918 where he died a week before the war ended, this story gets told with the poems to further emphasise this idea of futility. Despite this however Owen actually won the military cross for service on the front and his poems tell a tale of the horrors of war but also the ecstasy of fighting, the fears of the soldiers but also an England worth fighting and dying for as seen in works such as Exposure.</w:t>
      </w:r>
      <w:r w:rsidR="00F84E43">
        <w:rPr>
          <w:rStyle w:val="FootnoteReference"/>
        </w:rPr>
        <w:footnoteReference w:id="33"/>
      </w:r>
      <w:r w:rsidR="00F84E43">
        <w:t xml:space="preserve"> He believed the war was worth fighting but his brother, the one who sold his poems to the publishers tried his best to suppress this information as it wouldn’t have looked good to a perspective buyer of the anthology</w:t>
      </w:r>
      <w:r w:rsidR="00874962">
        <w:t xml:space="preserve"> and he was rebranded to fit the view of the 1960’s a poetic soldier lead by incompetent leadership.</w:t>
      </w:r>
      <w:r w:rsidR="00874962">
        <w:rPr>
          <w:rStyle w:val="FootnoteReference"/>
        </w:rPr>
        <w:footnoteReference w:id="34"/>
      </w:r>
    </w:p>
    <w:p w:rsidR="00E40578" w:rsidRDefault="00E40578" w:rsidP="004014E4">
      <w:pPr>
        <w:pStyle w:val="ListParagraph"/>
      </w:pPr>
    </w:p>
    <w:p w:rsidR="00E409D8" w:rsidRDefault="00874962" w:rsidP="00E409D8">
      <w:r>
        <w:t xml:space="preserve">In conclusion it is clear to see why the First World War has cast such a large shadow over the history of the British Isles. The fear of a repetition dominated the 20’s and 30’s leading to the British public siding with policies like appeasement and failing to begin rearming when they should have done which ultimately lead to the Second World War, to us now we see this as somewhat unwise, however at the time the fear of a repeat was enough to prevent Britain from being pre-emptive. Then the fact the Second World War happened and in the way it did, creating a binary good and evil for the sides involved and as a result in a combination of this clear cut good and evil and b nature of it happening the First World War became relegated to a futile sacrifice in the name of peace. However the True reason the First World War has such a Long Shadow over the history of the British Isles is because of the events of the 1960’s, a combination of emerging left wing scholarship and ideals in combination with </w:t>
      </w:r>
      <w:r w:rsidR="00750E98">
        <w:t xml:space="preserve">doctored </w:t>
      </w:r>
      <w:r>
        <w:t xml:space="preserve">media created this mythos of ‘Lions lead by Sheep’ and this in our modern education system dominates most schools history and English syllabus’ </w:t>
      </w:r>
      <w:r w:rsidR="00750E98">
        <w:t>which promote this idea of the First World War and treat the rest of 20</w:t>
      </w:r>
      <w:r w:rsidR="00750E98" w:rsidRPr="00750E98">
        <w:rPr>
          <w:vertAlign w:val="superscript"/>
        </w:rPr>
        <w:t>th</w:t>
      </w:r>
      <w:r w:rsidR="00750E98">
        <w:t xml:space="preserve"> century history as a symptom of the failures caused by the First World War.</w:t>
      </w:r>
    </w:p>
    <w:p w:rsidR="00E409D8" w:rsidRDefault="00E409D8" w:rsidP="00E409D8"/>
    <w:p w:rsidR="00C24E5E" w:rsidRDefault="00C24E5E" w:rsidP="00E409D8"/>
    <w:p w:rsidR="00762BB1" w:rsidRDefault="00762BB1" w:rsidP="00C24E5E">
      <w:pPr>
        <w:pStyle w:val="Heading1"/>
        <w:rPr>
          <w:color w:val="auto"/>
        </w:rPr>
      </w:pPr>
    </w:p>
    <w:p w:rsidR="00C24E5E" w:rsidRDefault="00C24E5E" w:rsidP="00C24E5E">
      <w:pPr>
        <w:pStyle w:val="Heading1"/>
        <w:rPr>
          <w:color w:val="auto"/>
        </w:rPr>
      </w:pPr>
      <w:r w:rsidRPr="00C24E5E">
        <w:rPr>
          <w:color w:val="auto"/>
        </w:rPr>
        <w:t>Bibliography</w:t>
      </w:r>
    </w:p>
    <w:p w:rsidR="00762BB1" w:rsidRDefault="00762BB1" w:rsidP="00762BB1">
      <w:pPr>
        <w:pStyle w:val="ListParagraph"/>
        <w:numPr>
          <w:ilvl w:val="0"/>
          <w:numId w:val="3"/>
        </w:numPr>
      </w:pPr>
      <w:proofErr w:type="spellStart"/>
      <w:r w:rsidRPr="00762BB1">
        <w:t>Clodfelter</w:t>
      </w:r>
      <w:proofErr w:type="spellEnd"/>
      <w:r w:rsidRPr="00762BB1">
        <w:t xml:space="preserve">, M. Warfare and Armed Conflicts: A Statistical </w:t>
      </w:r>
      <w:proofErr w:type="spellStart"/>
      <w:r w:rsidRPr="00762BB1">
        <w:t>Encyclopedia</w:t>
      </w:r>
      <w:proofErr w:type="spellEnd"/>
      <w:r w:rsidRPr="00762BB1">
        <w:t xml:space="preserve"> of Casualty and Other Figures, 1492-2015 (4th </w:t>
      </w:r>
      <w:proofErr w:type="gramStart"/>
      <w:r w:rsidRPr="00762BB1">
        <w:t>ed</w:t>
      </w:r>
      <w:proofErr w:type="gramEnd"/>
      <w:r w:rsidRPr="00762BB1">
        <w:t xml:space="preserve">.). (Mc </w:t>
      </w:r>
      <w:proofErr w:type="spellStart"/>
      <w:r w:rsidRPr="00762BB1">
        <w:t>Farland</w:t>
      </w:r>
      <w:proofErr w:type="spellEnd"/>
      <w:r w:rsidRPr="00762BB1">
        <w:t>, Jefferson, 2017)</w:t>
      </w:r>
    </w:p>
    <w:p w:rsidR="00762BB1" w:rsidRDefault="00762BB1" w:rsidP="00762BB1">
      <w:pPr>
        <w:pStyle w:val="ListParagraph"/>
        <w:numPr>
          <w:ilvl w:val="0"/>
          <w:numId w:val="3"/>
        </w:numPr>
      </w:pPr>
      <w:proofErr w:type="spellStart"/>
      <w:r>
        <w:t>Clodfelder</w:t>
      </w:r>
      <w:proofErr w:type="spellEnd"/>
      <w:r>
        <w:t>, M</w:t>
      </w:r>
      <w:r w:rsidRPr="00757E9A">
        <w:t xml:space="preserve">. Warfare and Armed Conflicts – A Statistical Reference to Casualty and Other Figures, 1500–2000. </w:t>
      </w:r>
      <w:r>
        <w:t>(</w:t>
      </w:r>
      <w:r w:rsidRPr="00757E9A">
        <w:t>McFarland &amp; Co</w:t>
      </w:r>
      <w:r>
        <w:t>, Jefferson, 2002)</w:t>
      </w:r>
      <w:r w:rsidRPr="00757E9A">
        <w:t xml:space="preserve">. </w:t>
      </w:r>
    </w:p>
    <w:p w:rsidR="00762BB1" w:rsidRDefault="00762BB1" w:rsidP="00762BB1">
      <w:pPr>
        <w:pStyle w:val="ListParagraph"/>
        <w:numPr>
          <w:ilvl w:val="0"/>
          <w:numId w:val="3"/>
        </w:numPr>
      </w:pPr>
      <w:r w:rsidRPr="00762BB1">
        <w:t>Coward, N. Present Indicative. (Methuen, London, 1937)</w:t>
      </w:r>
    </w:p>
    <w:p w:rsidR="00762BB1" w:rsidRDefault="00762BB1" w:rsidP="00762BB1">
      <w:pPr>
        <w:pStyle w:val="ListParagraph"/>
        <w:numPr>
          <w:ilvl w:val="0"/>
          <w:numId w:val="3"/>
        </w:numPr>
      </w:pPr>
      <w:r w:rsidRPr="00757E9A">
        <w:t xml:space="preserve">Dowd </w:t>
      </w:r>
      <w:r>
        <w:t xml:space="preserve">V. </w:t>
      </w:r>
      <w:r w:rsidRPr="00757E9A">
        <w:t>"Witness:</w:t>
      </w:r>
      <w:r>
        <w:t xml:space="preserve"> Oh what a lovely war". (Witness,</w:t>
      </w:r>
      <w:r w:rsidRPr="00757E9A">
        <w:t xml:space="preserve"> London</w:t>
      </w:r>
      <w:r>
        <w:t>, 2011)</w:t>
      </w:r>
    </w:p>
    <w:p w:rsidR="00762BB1" w:rsidRDefault="00762BB1" w:rsidP="00762BB1">
      <w:pPr>
        <w:pStyle w:val="ListParagraph"/>
        <w:numPr>
          <w:ilvl w:val="0"/>
          <w:numId w:val="3"/>
        </w:numPr>
      </w:pPr>
      <w:r>
        <w:t>Goldman, W.</w:t>
      </w:r>
      <w:r w:rsidRPr="00757E9A">
        <w:t xml:space="preserve"> William Goldman's Story of </w:t>
      </w:r>
      <w:r>
        <w:t>a Bridge Too Far, (Coronet Books, London, 1977)</w:t>
      </w:r>
    </w:p>
    <w:p w:rsidR="00762BB1" w:rsidRDefault="00762BB1" w:rsidP="00762BB1">
      <w:pPr>
        <w:pStyle w:val="ListParagraph"/>
        <w:numPr>
          <w:ilvl w:val="0"/>
          <w:numId w:val="3"/>
        </w:numPr>
      </w:pPr>
      <w:r>
        <w:t>Harrison, F</w:t>
      </w:r>
      <w:r w:rsidRPr="00417594">
        <w:t xml:space="preserve"> </w:t>
      </w:r>
      <w:proofErr w:type="spellStart"/>
      <w:r w:rsidRPr="00417594">
        <w:t>Tobruk</w:t>
      </w:r>
      <w:proofErr w:type="spellEnd"/>
      <w:r w:rsidRPr="00417594">
        <w:t xml:space="preserve">: The </w:t>
      </w:r>
      <w:r>
        <w:t>Great Siege Reassessed. (</w:t>
      </w:r>
      <w:proofErr w:type="spellStart"/>
      <w:r w:rsidRPr="00417594">
        <w:t>Brockhampton</w:t>
      </w:r>
      <w:proofErr w:type="spellEnd"/>
      <w:r w:rsidRPr="00417594">
        <w:t xml:space="preserve"> Press</w:t>
      </w:r>
      <w:r>
        <w:t>, London, 1996)</w:t>
      </w:r>
    </w:p>
    <w:p w:rsidR="00762BB1" w:rsidRDefault="00762BB1" w:rsidP="00762BB1">
      <w:pPr>
        <w:pStyle w:val="ListParagraph"/>
        <w:numPr>
          <w:ilvl w:val="0"/>
          <w:numId w:val="3"/>
        </w:numPr>
      </w:pPr>
      <w:r w:rsidRPr="00417594">
        <w:t>Howson</w:t>
      </w:r>
      <w:r>
        <w:t xml:space="preserve">, G. Arms for Spain, (St. </w:t>
      </w:r>
      <w:proofErr w:type="spellStart"/>
      <w:r>
        <w:t>Martins</w:t>
      </w:r>
      <w:proofErr w:type="spellEnd"/>
      <w:r>
        <w:t xml:space="preserve"> Press, New York, </w:t>
      </w:r>
      <w:r w:rsidRPr="00417594">
        <w:t>1998).</w:t>
      </w:r>
    </w:p>
    <w:p w:rsidR="00762BB1" w:rsidRDefault="00762BB1" w:rsidP="00762BB1">
      <w:pPr>
        <w:pStyle w:val="ListParagraph"/>
        <w:numPr>
          <w:ilvl w:val="0"/>
          <w:numId w:val="3"/>
        </w:numPr>
      </w:pPr>
      <w:r>
        <w:t>Nash, E. Caring for the soldiers health, (I</w:t>
      </w:r>
      <w:r>
        <w:t>ndependent, London, 1914)</w:t>
      </w:r>
    </w:p>
    <w:p w:rsidR="00762BB1" w:rsidRDefault="00762BB1" w:rsidP="00762BB1">
      <w:pPr>
        <w:pStyle w:val="ListParagraph"/>
        <w:numPr>
          <w:ilvl w:val="0"/>
          <w:numId w:val="3"/>
        </w:numPr>
      </w:pPr>
      <w:r w:rsidRPr="00762BB1">
        <w:t>Reynolds, D. The Long Shadow: Europe After World War One, (Simon &amp; Schuster, New York, 2013)</w:t>
      </w:r>
      <w:bookmarkStart w:id="0" w:name="_GoBack"/>
      <w:bookmarkEnd w:id="0"/>
    </w:p>
    <w:p w:rsidR="00762BB1" w:rsidRDefault="00762BB1" w:rsidP="00762BB1">
      <w:pPr>
        <w:pStyle w:val="ListParagraph"/>
        <w:numPr>
          <w:ilvl w:val="0"/>
          <w:numId w:val="3"/>
        </w:numPr>
      </w:pPr>
      <w:r>
        <w:t>Sheldon J. The German Army on the Somme 1914–1916 (Pen &amp; Sword</w:t>
      </w:r>
      <w:r>
        <w:t xml:space="preserve"> Military, London, 2005).</w:t>
      </w:r>
    </w:p>
    <w:p w:rsidR="00762BB1" w:rsidRDefault="00762BB1" w:rsidP="00762BB1">
      <w:pPr>
        <w:pStyle w:val="ListParagraph"/>
        <w:numPr>
          <w:ilvl w:val="0"/>
          <w:numId w:val="3"/>
        </w:numPr>
      </w:pPr>
      <w:proofErr w:type="spellStart"/>
      <w:r w:rsidRPr="00762BB1">
        <w:t>St</w:t>
      </w:r>
      <w:r>
        <w:t>allworthy</w:t>
      </w:r>
      <w:proofErr w:type="spellEnd"/>
      <w:r>
        <w:t>, J.</w:t>
      </w:r>
      <w:r w:rsidRPr="00762BB1">
        <w:t xml:space="preserve"> Wilfred Owen: Poems selected by Jon </w:t>
      </w:r>
      <w:proofErr w:type="spellStart"/>
      <w:r w:rsidRPr="00762BB1">
        <w:t>Stallworthy</w:t>
      </w:r>
      <w:proofErr w:type="spellEnd"/>
      <w:r w:rsidRPr="00762BB1">
        <w:t>. (Faber and Faber, London, 2004)</w:t>
      </w:r>
    </w:p>
    <w:p w:rsidR="00762BB1" w:rsidRDefault="00762BB1" w:rsidP="00762BB1">
      <w:pPr>
        <w:pStyle w:val="ListParagraph"/>
        <w:numPr>
          <w:ilvl w:val="0"/>
          <w:numId w:val="3"/>
        </w:numPr>
      </w:pPr>
      <w:r>
        <w:t>Watson, J</w:t>
      </w:r>
      <w:r w:rsidRPr="00417594">
        <w:t>. Fighting Different Wars: Experience, Memory, and the Fi</w:t>
      </w:r>
      <w:r>
        <w:t>rst World War in Britain. (Cambridge University Press, Cambridge, 2004)</w:t>
      </w:r>
    </w:p>
    <w:p w:rsidR="00762BB1" w:rsidRDefault="00762BB1" w:rsidP="00762BB1">
      <w:r>
        <w:t>Documents</w:t>
      </w:r>
    </w:p>
    <w:p w:rsidR="00762BB1" w:rsidRPr="00C24E5E" w:rsidRDefault="00762BB1" w:rsidP="00762BB1">
      <w:pPr>
        <w:pStyle w:val="ListParagraph"/>
        <w:numPr>
          <w:ilvl w:val="0"/>
          <w:numId w:val="4"/>
        </w:numPr>
      </w:pPr>
      <w:r w:rsidRPr="00242A76">
        <w:t xml:space="preserve">The Treatment of Armenians in the Ottoman Empire, 1915–1916: Documents Presented to Viscount Grey of </w:t>
      </w:r>
      <w:proofErr w:type="spellStart"/>
      <w:r w:rsidRPr="00242A76">
        <w:t>Falloden</w:t>
      </w:r>
      <w:proofErr w:type="spellEnd"/>
      <w:r w:rsidRPr="00242A76">
        <w:t xml:space="preserve"> by Viscount James Bryce and Arnold Toynbee, Uncensored Edition. Ara </w:t>
      </w:r>
      <w:proofErr w:type="spellStart"/>
      <w:r w:rsidRPr="00242A76">
        <w:t>Sarafian</w:t>
      </w:r>
      <w:proofErr w:type="spellEnd"/>
      <w:r w:rsidRPr="00242A76">
        <w:t xml:space="preserve"> (ed.) Princeton, New Jersey: </w:t>
      </w:r>
      <w:proofErr w:type="spellStart"/>
      <w:r w:rsidRPr="00242A76">
        <w:t>Gomidas</w:t>
      </w:r>
      <w:proofErr w:type="spellEnd"/>
      <w:r w:rsidRPr="00242A76">
        <w:t xml:space="preserve"> Institute, 2000</w:t>
      </w:r>
    </w:p>
    <w:sectPr w:rsidR="00762BB1" w:rsidRPr="00C24E5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65C" w:rsidRDefault="0017765C" w:rsidP="00820502">
      <w:pPr>
        <w:spacing w:after="0" w:line="240" w:lineRule="auto"/>
      </w:pPr>
      <w:r>
        <w:separator/>
      </w:r>
    </w:p>
  </w:endnote>
  <w:endnote w:type="continuationSeparator" w:id="0">
    <w:p w:rsidR="0017765C" w:rsidRDefault="0017765C" w:rsidP="00820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65C" w:rsidRDefault="0017765C" w:rsidP="00820502">
      <w:pPr>
        <w:spacing w:after="0" w:line="240" w:lineRule="auto"/>
      </w:pPr>
      <w:r>
        <w:separator/>
      </w:r>
    </w:p>
  </w:footnote>
  <w:footnote w:type="continuationSeparator" w:id="0">
    <w:p w:rsidR="0017765C" w:rsidRDefault="0017765C" w:rsidP="00820502">
      <w:pPr>
        <w:spacing w:after="0" w:line="240" w:lineRule="auto"/>
      </w:pPr>
      <w:r>
        <w:continuationSeparator/>
      </w:r>
    </w:p>
  </w:footnote>
  <w:footnote w:id="1">
    <w:p w:rsidR="00C24E5E" w:rsidRDefault="00C24E5E">
      <w:pPr>
        <w:pStyle w:val="FootnoteText"/>
      </w:pPr>
      <w:r>
        <w:rPr>
          <w:rStyle w:val="FootnoteReference"/>
        </w:rPr>
        <w:footnoteRef/>
      </w:r>
      <w:r>
        <w:t xml:space="preserve"> </w:t>
      </w:r>
      <w:r w:rsidRPr="00417594">
        <w:t>Reynolds</w:t>
      </w:r>
      <w:r>
        <w:t>, D.</w:t>
      </w:r>
      <w:r w:rsidRPr="00417594">
        <w:t xml:space="preserve"> The Long Shadow: Europe After World War One</w:t>
      </w:r>
      <w:r>
        <w:t>, (Simon &amp; Schuster, New York, 2013) P.10</w:t>
      </w:r>
    </w:p>
  </w:footnote>
  <w:footnote w:id="2">
    <w:p w:rsidR="00C24E5E" w:rsidRDefault="00C24E5E">
      <w:pPr>
        <w:pStyle w:val="FootnoteText"/>
      </w:pPr>
      <w:r>
        <w:rPr>
          <w:rStyle w:val="FootnoteReference"/>
        </w:rPr>
        <w:footnoteRef/>
      </w:r>
      <w:r>
        <w:t xml:space="preserve"> </w:t>
      </w:r>
      <w:proofErr w:type="spellStart"/>
      <w:r w:rsidR="00762BB1">
        <w:t>Clodfelter</w:t>
      </w:r>
      <w:proofErr w:type="spellEnd"/>
      <w:r w:rsidR="00762BB1">
        <w:t>, M</w:t>
      </w:r>
      <w:r w:rsidR="00762BB1" w:rsidRPr="00762BB1">
        <w:t xml:space="preserve">. Warfare and Armed Conflicts: A Statistical </w:t>
      </w:r>
      <w:proofErr w:type="spellStart"/>
      <w:r w:rsidR="00762BB1" w:rsidRPr="00762BB1">
        <w:t>Encyclopedia</w:t>
      </w:r>
      <w:proofErr w:type="spellEnd"/>
      <w:r w:rsidR="00762BB1" w:rsidRPr="00762BB1">
        <w:t xml:space="preserve"> of Casualty and Other Figures, 1492-2015 (4th </w:t>
      </w:r>
      <w:proofErr w:type="gramStart"/>
      <w:r w:rsidR="00762BB1" w:rsidRPr="00762BB1">
        <w:t>ed</w:t>
      </w:r>
      <w:proofErr w:type="gramEnd"/>
      <w:r w:rsidR="00762BB1" w:rsidRPr="00762BB1">
        <w:t xml:space="preserve">.). </w:t>
      </w:r>
      <w:r w:rsidR="00762BB1">
        <w:t xml:space="preserve">(Mc </w:t>
      </w:r>
      <w:proofErr w:type="spellStart"/>
      <w:r w:rsidR="00762BB1">
        <w:t>Farland</w:t>
      </w:r>
      <w:proofErr w:type="spellEnd"/>
      <w:r w:rsidR="00762BB1">
        <w:t xml:space="preserve">, </w:t>
      </w:r>
      <w:r w:rsidR="00762BB1" w:rsidRPr="00762BB1">
        <w:t xml:space="preserve">Jefferson, </w:t>
      </w:r>
      <w:r w:rsidR="00762BB1">
        <w:t>2017)</w:t>
      </w:r>
      <w:r w:rsidRPr="00E96EEC">
        <w:t xml:space="preserve"> p. 180.</w:t>
      </w:r>
    </w:p>
  </w:footnote>
  <w:footnote w:id="3">
    <w:p w:rsidR="00C24E5E" w:rsidRDefault="00C24E5E">
      <w:pPr>
        <w:pStyle w:val="FootnoteText"/>
      </w:pPr>
      <w:r>
        <w:rPr>
          <w:rStyle w:val="FootnoteReference"/>
        </w:rPr>
        <w:footnoteRef/>
      </w:r>
      <w:r>
        <w:t xml:space="preserve"> </w:t>
      </w:r>
      <w:r w:rsidRPr="00CB3A84">
        <w:t>Nash</w:t>
      </w:r>
      <w:r>
        <w:t>, E.</w:t>
      </w:r>
      <w:r w:rsidRPr="00C24E5E">
        <w:t xml:space="preserve"> Caring for the soldiers health</w:t>
      </w:r>
      <w:r>
        <w:t>, (</w:t>
      </w:r>
      <w:r w:rsidR="00762BB1">
        <w:t>Independent</w:t>
      </w:r>
      <w:r>
        <w:t>,</w:t>
      </w:r>
      <w:r w:rsidR="00762BB1">
        <w:t xml:space="preserve"> </w:t>
      </w:r>
      <w:r>
        <w:t xml:space="preserve">London, </w:t>
      </w:r>
      <w:r w:rsidRPr="00CB3A84">
        <w:t>1914</w:t>
      </w:r>
      <w:r>
        <w:t>)</w:t>
      </w:r>
      <w:r w:rsidRPr="00CB3A84">
        <w:t xml:space="preserve"> p. 309</w:t>
      </w:r>
    </w:p>
  </w:footnote>
  <w:footnote w:id="4">
    <w:p w:rsidR="00C24E5E" w:rsidRDefault="00C24E5E">
      <w:pPr>
        <w:pStyle w:val="FootnoteText"/>
      </w:pPr>
      <w:r>
        <w:rPr>
          <w:rStyle w:val="FootnoteReference"/>
        </w:rPr>
        <w:footnoteRef/>
      </w:r>
      <w:r>
        <w:t xml:space="preserve"> Sheldon</w:t>
      </w:r>
      <w:r>
        <w:rPr>
          <w:rFonts w:cs="Arial"/>
          <w:color w:val="222222"/>
          <w:sz w:val="22"/>
          <w:szCs w:val="21"/>
          <w:shd w:val="clear" w:color="auto" w:fill="FFFFFF"/>
        </w:rPr>
        <w:t xml:space="preserve"> J</w:t>
      </w:r>
      <w:r w:rsidRPr="00CB3A84">
        <w:t>.</w:t>
      </w:r>
      <w:r w:rsidRPr="00C24E5E">
        <w:t xml:space="preserve"> The German Army on the Somme 19</w:t>
      </w:r>
      <w:r>
        <w:t>14–1916 (Pen &amp; Sword Military, London, 2005</w:t>
      </w:r>
      <w:r w:rsidRPr="00C24E5E">
        <w:t>).</w:t>
      </w:r>
      <w:r>
        <w:t xml:space="preserve"> P. 389 </w:t>
      </w:r>
    </w:p>
  </w:footnote>
  <w:footnote w:id="5">
    <w:p w:rsidR="00C24E5E" w:rsidRDefault="00C24E5E">
      <w:pPr>
        <w:pStyle w:val="FootnoteText"/>
      </w:pPr>
      <w:r>
        <w:rPr>
          <w:rStyle w:val="FootnoteReference"/>
        </w:rPr>
        <w:footnoteRef/>
      </w:r>
      <w:r>
        <w:t xml:space="preserve"> Watson, J</w:t>
      </w:r>
      <w:r w:rsidRPr="00417594">
        <w:t>. Fighting Different Wars: Experience, Memory, and the Fi</w:t>
      </w:r>
      <w:r>
        <w:t>rst World War in Britain. (Cambridge University Press, Cambridge, 2004)</w:t>
      </w:r>
      <w:r w:rsidRPr="00417594">
        <w:t xml:space="preserve"> p. 5.</w:t>
      </w:r>
    </w:p>
  </w:footnote>
  <w:footnote w:id="6">
    <w:p w:rsidR="00C24E5E" w:rsidRDefault="00C24E5E">
      <w:pPr>
        <w:pStyle w:val="FootnoteText"/>
      </w:pPr>
      <w:r>
        <w:rPr>
          <w:rStyle w:val="FootnoteReference"/>
        </w:rPr>
        <w:footnoteRef/>
      </w:r>
      <w:r>
        <w:t xml:space="preserve"> </w:t>
      </w:r>
      <w:r w:rsidRPr="00417594">
        <w:t>Howson</w:t>
      </w:r>
      <w:r>
        <w:t xml:space="preserve">, G. Arms for Spain, (St. </w:t>
      </w:r>
      <w:proofErr w:type="spellStart"/>
      <w:r>
        <w:t>Martins</w:t>
      </w:r>
      <w:proofErr w:type="spellEnd"/>
      <w:r>
        <w:t xml:space="preserve"> Press, New York, </w:t>
      </w:r>
      <w:r w:rsidRPr="00417594">
        <w:t>1998). p. 21.</w:t>
      </w:r>
    </w:p>
  </w:footnote>
  <w:footnote w:id="7">
    <w:p w:rsidR="00C24E5E" w:rsidRDefault="00C24E5E">
      <w:pPr>
        <w:pStyle w:val="FootnoteText"/>
      </w:pPr>
      <w:r>
        <w:rPr>
          <w:rStyle w:val="FootnoteReference"/>
        </w:rPr>
        <w:footnoteRef/>
      </w:r>
      <w:r>
        <w:t xml:space="preserve"> Harrison, F</w:t>
      </w:r>
      <w:r w:rsidRPr="00417594">
        <w:t xml:space="preserve"> </w:t>
      </w:r>
      <w:proofErr w:type="spellStart"/>
      <w:r w:rsidRPr="00417594">
        <w:t>Tobruk</w:t>
      </w:r>
      <w:proofErr w:type="spellEnd"/>
      <w:r w:rsidRPr="00417594">
        <w:t xml:space="preserve">: The </w:t>
      </w:r>
      <w:r>
        <w:t>Great Siege Reassessed. (</w:t>
      </w:r>
      <w:proofErr w:type="spellStart"/>
      <w:r w:rsidRPr="00417594">
        <w:t>Brockhampton</w:t>
      </w:r>
      <w:proofErr w:type="spellEnd"/>
      <w:r w:rsidRPr="00417594">
        <w:t xml:space="preserve"> Press</w:t>
      </w:r>
      <w:r>
        <w:t>, London, 1996) P.228</w:t>
      </w:r>
    </w:p>
  </w:footnote>
  <w:footnote w:id="8">
    <w:p w:rsidR="00C24E5E" w:rsidRDefault="00C24E5E">
      <w:pPr>
        <w:pStyle w:val="FootnoteText"/>
      </w:pPr>
      <w:r>
        <w:rPr>
          <w:rStyle w:val="FootnoteReference"/>
        </w:rPr>
        <w:footnoteRef/>
      </w:r>
      <w:r>
        <w:t xml:space="preserve"> </w:t>
      </w:r>
      <w:proofErr w:type="spellStart"/>
      <w:r>
        <w:t>Clodfelder</w:t>
      </w:r>
      <w:proofErr w:type="spellEnd"/>
      <w:r>
        <w:t>, M</w:t>
      </w:r>
      <w:r w:rsidRPr="00757E9A">
        <w:t xml:space="preserve">. Warfare and Armed Conflicts – A Statistical Reference to Casualty and Other Figures, 1500–2000. </w:t>
      </w:r>
      <w:r>
        <w:t>(</w:t>
      </w:r>
      <w:r w:rsidRPr="00757E9A">
        <w:t>McFarland &amp; Co</w:t>
      </w:r>
      <w:r>
        <w:t>, Jefferson, 2002)</w:t>
      </w:r>
      <w:r w:rsidRPr="00757E9A">
        <w:t>. p. 582.</w:t>
      </w:r>
    </w:p>
  </w:footnote>
  <w:footnote w:id="9">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P.15</w:t>
      </w:r>
    </w:p>
  </w:footnote>
  <w:footnote w:id="10">
    <w:p w:rsidR="00C24E5E" w:rsidRDefault="00C24E5E">
      <w:pPr>
        <w:pStyle w:val="FootnoteText"/>
      </w:pPr>
      <w:r>
        <w:rPr>
          <w:rStyle w:val="FootnoteReference"/>
        </w:rPr>
        <w:footnoteRef/>
      </w:r>
      <w:r>
        <w:t xml:space="preserve"> Goldman, W.</w:t>
      </w:r>
      <w:r w:rsidRPr="00757E9A">
        <w:t xml:space="preserve"> William Goldman's Story of </w:t>
      </w:r>
      <w:r>
        <w:t>a Bridge Too Far, (Coronet Books, London, 1977) P. 30</w:t>
      </w:r>
    </w:p>
  </w:footnote>
  <w:footnote w:id="11">
    <w:p w:rsidR="00C24E5E" w:rsidRDefault="00C24E5E">
      <w:pPr>
        <w:pStyle w:val="FootnoteText"/>
      </w:pPr>
      <w:r>
        <w:rPr>
          <w:rStyle w:val="FootnoteReference"/>
        </w:rPr>
        <w:footnoteRef/>
      </w:r>
      <w:r>
        <w:t xml:space="preserve"> </w:t>
      </w:r>
      <w:r w:rsidRPr="00242A76">
        <w:t xml:space="preserve">The Treatment of Armenians in the Ottoman Empire, 1915–1916: Documents Presented to Viscount Grey of </w:t>
      </w:r>
      <w:proofErr w:type="spellStart"/>
      <w:r w:rsidRPr="00242A76">
        <w:t>Falloden</w:t>
      </w:r>
      <w:proofErr w:type="spellEnd"/>
      <w:r w:rsidRPr="00242A76">
        <w:t xml:space="preserve"> by Viscount James Bryce and Arnold Toynbee, Uncensored Edition. Ara </w:t>
      </w:r>
      <w:proofErr w:type="spellStart"/>
      <w:r w:rsidRPr="00242A76">
        <w:t>Sarafian</w:t>
      </w:r>
      <w:proofErr w:type="spellEnd"/>
      <w:r w:rsidRPr="00242A76">
        <w:t xml:space="preserve"> (ed.) Princeton, New Jersey: </w:t>
      </w:r>
      <w:proofErr w:type="spellStart"/>
      <w:r w:rsidRPr="00242A76">
        <w:t>Gomidas</w:t>
      </w:r>
      <w:proofErr w:type="spellEnd"/>
      <w:r w:rsidRPr="00242A76">
        <w:t xml:space="preserve"> Institute, 2000.</w:t>
      </w:r>
    </w:p>
  </w:footnote>
  <w:footnote w:id="12">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40</w:t>
      </w:r>
    </w:p>
  </w:footnote>
  <w:footnote w:id="13">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49</w:t>
      </w:r>
    </w:p>
  </w:footnote>
  <w:footnote w:id="14">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47</w:t>
      </w:r>
    </w:p>
  </w:footnote>
  <w:footnote w:id="15">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56</w:t>
      </w:r>
    </w:p>
  </w:footnote>
  <w:footnote w:id="16">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58</w:t>
      </w:r>
    </w:p>
  </w:footnote>
  <w:footnote w:id="17">
    <w:p w:rsidR="00C24E5E" w:rsidRDefault="00C24E5E">
      <w:pPr>
        <w:pStyle w:val="FootnoteText"/>
      </w:pPr>
      <w:r>
        <w:rPr>
          <w:rStyle w:val="FootnoteReference"/>
        </w:rPr>
        <w:footnoteRef/>
      </w:r>
      <w:r>
        <w:t xml:space="preserve"> Coward, N</w:t>
      </w:r>
      <w:r w:rsidRPr="00757E9A">
        <w:t>. Pres</w:t>
      </w:r>
      <w:r>
        <w:t>ent Indicative. (Methuen, London, 1937) P. 304</w:t>
      </w:r>
    </w:p>
  </w:footnote>
  <w:footnote w:id="18">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56</w:t>
      </w:r>
    </w:p>
  </w:footnote>
  <w:footnote w:id="19">
    <w:p w:rsidR="00C24E5E" w:rsidRDefault="00C24E5E">
      <w:pPr>
        <w:pStyle w:val="FootnoteText"/>
      </w:pPr>
      <w:r>
        <w:rPr>
          <w:rStyle w:val="FootnoteReference"/>
        </w:rPr>
        <w:footnoteRef/>
      </w:r>
      <w:r>
        <w:t xml:space="preserve"> </w:t>
      </w:r>
      <w:r w:rsidRPr="00757E9A">
        <w:t xml:space="preserve">Reynolds, D. The Long Shadow: Europe After World War One, (Simon </w:t>
      </w:r>
      <w:r>
        <w:t xml:space="preserve">&amp; Schuster, New York, 2013) P. 49 </w:t>
      </w:r>
    </w:p>
  </w:footnote>
  <w:footnote w:id="20">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60</w:t>
      </w:r>
    </w:p>
  </w:footnote>
  <w:footnote w:id="21">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62</w:t>
      </w:r>
    </w:p>
  </w:footnote>
  <w:footnote w:id="22">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90</w:t>
      </w:r>
    </w:p>
  </w:footnote>
  <w:footnote w:id="23">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86</w:t>
      </w:r>
    </w:p>
  </w:footnote>
  <w:footnote w:id="24">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89</w:t>
      </w:r>
    </w:p>
  </w:footnote>
  <w:footnote w:id="25">
    <w:p w:rsidR="00C24E5E" w:rsidRDefault="00C24E5E">
      <w:pPr>
        <w:pStyle w:val="FootnoteText"/>
      </w:pPr>
      <w:r>
        <w:rPr>
          <w:rStyle w:val="FootnoteReference"/>
        </w:rPr>
        <w:footnoteRef/>
      </w:r>
      <w:r>
        <w:t xml:space="preserve"> </w:t>
      </w:r>
      <w:r w:rsidRPr="00757E9A">
        <w:t xml:space="preserve">Reynolds, D. The Long Shadow: Europe After World War One, (Simon </w:t>
      </w:r>
      <w:r>
        <w:t xml:space="preserve">&amp; Schuster, New York, 2013) P. 90 </w:t>
      </w:r>
    </w:p>
  </w:footnote>
  <w:footnote w:id="26">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92</w:t>
      </w:r>
    </w:p>
  </w:footnote>
  <w:footnote w:id="27">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88</w:t>
      </w:r>
    </w:p>
  </w:footnote>
  <w:footnote w:id="28">
    <w:p w:rsidR="00C24E5E" w:rsidRDefault="00C24E5E">
      <w:pPr>
        <w:pStyle w:val="FootnoteText"/>
      </w:pPr>
      <w:r>
        <w:rPr>
          <w:rStyle w:val="FootnoteReference"/>
        </w:rPr>
        <w:footnoteRef/>
      </w:r>
      <w:r>
        <w:t xml:space="preserve"> </w:t>
      </w:r>
      <w:r w:rsidRPr="00757E9A">
        <w:t xml:space="preserve">Reynolds, D. The Long Shadow: Europe After World War One, (Simon </w:t>
      </w:r>
      <w:r>
        <w:t xml:space="preserve">&amp; Schuster, New York, 2013) P. 100 </w:t>
      </w:r>
    </w:p>
  </w:footnote>
  <w:footnote w:id="29">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98</w:t>
      </w:r>
    </w:p>
  </w:footnote>
  <w:footnote w:id="30">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84</w:t>
      </w:r>
    </w:p>
  </w:footnote>
  <w:footnote w:id="31">
    <w:p w:rsidR="00C24E5E" w:rsidRDefault="00C24E5E">
      <w:pPr>
        <w:pStyle w:val="FootnoteText"/>
      </w:pPr>
      <w:r>
        <w:rPr>
          <w:rStyle w:val="FootnoteReference"/>
        </w:rPr>
        <w:footnoteRef/>
      </w:r>
      <w:r>
        <w:t xml:space="preserve"> </w:t>
      </w:r>
      <w:r w:rsidRPr="00757E9A">
        <w:t xml:space="preserve">Dowd </w:t>
      </w:r>
      <w:r>
        <w:t xml:space="preserve">V. </w:t>
      </w:r>
      <w:r w:rsidRPr="00757E9A">
        <w:t>"Witness:</w:t>
      </w:r>
      <w:r>
        <w:t xml:space="preserve"> Oh what a lovely war". (Witness,</w:t>
      </w:r>
      <w:r w:rsidRPr="00757E9A">
        <w:t xml:space="preserve"> London</w:t>
      </w:r>
      <w:r>
        <w:t>, 2011) P.5</w:t>
      </w:r>
    </w:p>
  </w:footnote>
  <w:footnote w:id="32">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110</w:t>
      </w:r>
    </w:p>
  </w:footnote>
  <w:footnote w:id="33">
    <w:p w:rsidR="00C24E5E" w:rsidRDefault="00C24E5E">
      <w:pPr>
        <w:pStyle w:val="FootnoteText"/>
      </w:pPr>
      <w:r>
        <w:rPr>
          <w:rStyle w:val="FootnoteReference"/>
        </w:rPr>
        <w:footnoteRef/>
      </w:r>
      <w:r>
        <w:t xml:space="preserve"> </w:t>
      </w:r>
      <w:r w:rsidRPr="00757E9A">
        <w:t xml:space="preserve">Reynolds, D. The Long Shadow: Europe After World War One, (Simon </w:t>
      </w:r>
      <w:r>
        <w:t>&amp; Schuster, New York, 2013) P. 117</w:t>
      </w:r>
    </w:p>
  </w:footnote>
  <w:footnote w:id="34">
    <w:p w:rsidR="00C24E5E" w:rsidRDefault="00C24E5E">
      <w:pPr>
        <w:pStyle w:val="FootnoteText"/>
      </w:pPr>
      <w:r>
        <w:rPr>
          <w:rStyle w:val="FootnoteReference"/>
        </w:rPr>
        <w:footnoteRef/>
      </w:r>
      <w:r>
        <w:t xml:space="preserve"> </w:t>
      </w:r>
      <w:proofErr w:type="spellStart"/>
      <w:r>
        <w:t>Stallworthy</w:t>
      </w:r>
      <w:proofErr w:type="spellEnd"/>
      <w:r>
        <w:t xml:space="preserve">, </w:t>
      </w:r>
      <w:proofErr w:type="gramStart"/>
      <w:r>
        <w:t>J.</w:t>
      </w:r>
      <w:r w:rsidRPr="00C24E5E">
        <w:t>.</w:t>
      </w:r>
      <w:proofErr w:type="gramEnd"/>
      <w:r w:rsidRPr="00C24E5E">
        <w:t xml:space="preserve"> Wilfred Owen: Poems selected by Jon </w:t>
      </w:r>
      <w:proofErr w:type="spellStart"/>
      <w:r w:rsidRPr="00C24E5E">
        <w:t>Stall</w:t>
      </w:r>
      <w:r>
        <w:t>worthy</w:t>
      </w:r>
      <w:proofErr w:type="spellEnd"/>
      <w:r>
        <w:t>. (Faber and Faber, London, 2004) P</w:t>
      </w:r>
      <w:r w:rsidRPr="00C24E5E">
        <w:t>. vii–xix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E5E" w:rsidRDefault="00C24E5E">
    <w:pPr>
      <w:pStyle w:val="Header"/>
    </w:pPr>
    <w:r>
      <w:t>Alex Elliott</w:t>
    </w:r>
  </w:p>
  <w:p w:rsidR="00C24E5E" w:rsidRDefault="00C24E5E">
    <w:pPr>
      <w:pStyle w:val="Header"/>
    </w:pPr>
    <w:r>
      <w:t>1500087</w:t>
    </w:r>
  </w:p>
  <w:p w:rsidR="00C24E5E" w:rsidRDefault="00C24E5E">
    <w:pPr>
      <w:pStyle w:val="Header"/>
    </w:pPr>
    <w:r>
      <w:t>AHHI6007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792FA7"/>
    <w:multiLevelType w:val="hybridMultilevel"/>
    <w:tmpl w:val="8102C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68400A"/>
    <w:multiLevelType w:val="hybridMultilevel"/>
    <w:tmpl w:val="F822D19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4FF28B0"/>
    <w:multiLevelType w:val="hybridMultilevel"/>
    <w:tmpl w:val="54E07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4C0BCB"/>
    <w:multiLevelType w:val="hybridMultilevel"/>
    <w:tmpl w:val="5EF4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502"/>
    <w:rsid w:val="00034D54"/>
    <w:rsid w:val="00055DF7"/>
    <w:rsid w:val="00063AB3"/>
    <w:rsid w:val="000B09DB"/>
    <w:rsid w:val="000D26CB"/>
    <w:rsid w:val="000F2A43"/>
    <w:rsid w:val="000F6696"/>
    <w:rsid w:val="0017765C"/>
    <w:rsid w:val="001A1CBE"/>
    <w:rsid w:val="001C363D"/>
    <w:rsid w:val="001F6534"/>
    <w:rsid w:val="00242A76"/>
    <w:rsid w:val="00294ADA"/>
    <w:rsid w:val="002C402D"/>
    <w:rsid w:val="003723E4"/>
    <w:rsid w:val="003F3663"/>
    <w:rsid w:val="004014E4"/>
    <w:rsid w:val="00417594"/>
    <w:rsid w:val="00440BB3"/>
    <w:rsid w:val="00446973"/>
    <w:rsid w:val="00461A9F"/>
    <w:rsid w:val="00472ABC"/>
    <w:rsid w:val="004E50F3"/>
    <w:rsid w:val="004F0A55"/>
    <w:rsid w:val="00503A03"/>
    <w:rsid w:val="005B7936"/>
    <w:rsid w:val="005E103C"/>
    <w:rsid w:val="005F64D2"/>
    <w:rsid w:val="006007F3"/>
    <w:rsid w:val="006329C1"/>
    <w:rsid w:val="0065168A"/>
    <w:rsid w:val="006957F2"/>
    <w:rsid w:val="006F0EA3"/>
    <w:rsid w:val="00731FA8"/>
    <w:rsid w:val="007332F3"/>
    <w:rsid w:val="00735D3D"/>
    <w:rsid w:val="00750E98"/>
    <w:rsid w:val="00757E9A"/>
    <w:rsid w:val="00762BB1"/>
    <w:rsid w:val="007F58FE"/>
    <w:rsid w:val="008012E5"/>
    <w:rsid w:val="00820502"/>
    <w:rsid w:val="00874962"/>
    <w:rsid w:val="008F1918"/>
    <w:rsid w:val="00913271"/>
    <w:rsid w:val="00953970"/>
    <w:rsid w:val="00963BEF"/>
    <w:rsid w:val="00993620"/>
    <w:rsid w:val="00A83FB1"/>
    <w:rsid w:val="00AD22C8"/>
    <w:rsid w:val="00AE2C7C"/>
    <w:rsid w:val="00B22E01"/>
    <w:rsid w:val="00B242E6"/>
    <w:rsid w:val="00B50A1D"/>
    <w:rsid w:val="00B953DA"/>
    <w:rsid w:val="00BE1BD1"/>
    <w:rsid w:val="00BF31D6"/>
    <w:rsid w:val="00BF3B66"/>
    <w:rsid w:val="00C11349"/>
    <w:rsid w:val="00C24E5E"/>
    <w:rsid w:val="00C668C1"/>
    <w:rsid w:val="00CB3A84"/>
    <w:rsid w:val="00D14A01"/>
    <w:rsid w:val="00D2712C"/>
    <w:rsid w:val="00DA7BC9"/>
    <w:rsid w:val="00E10E72"/>
    <w:rsid w:val="00E40578"/>
    <w:rsid w:val="00E406F0"/>
    <w:rsid w:val="00E409D8"/>
    <w:rsid w:val="00E5049E"/>
    <w:rsid w:val="00E57D20"/>
    <w:rsid w:val="00E748E9"/>
    <w:rsid w:val="00E903F9"/>
    <w:rsid w:val="00E96EEC"/>
    <w:rsid w:val="00EE250A"/>
    <w:rsid w:val="00F33CAA"/>
    <w:rsid w:val="00F6720B"/>
    <w:rsid w:val="00F84E43"/>
    <w:rsid w:val="00FB4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A609AA-43B5-4490-9B65-D70C9AE87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03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05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502"/>
  </w:style>
  <w:style w:type="paragraph" w:styleId="Footer">
    <w:name w:val="footer"/>
    <w:basedOn w:val="Normal"/>
    <w:link w:val="FooterChar"/>
    <w:uiPriority w:val="99"/>
    <w:unhideWhenUsed/>
    <w:rsid w:val="008205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502"/>
  </w:style>
  <w:style w:type="paragraph" w:styleId="Title">
    <w:name w:val="Title"/>
    <w:basedOn w:val="Normal"/>
    <w:next w:val="Normal"/>
    <w:link w:val="TitleChar"/>
    <w:uiPriority w:val="10"/>
    <w:qFormat/>
    <w:rsid w:val="008205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50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31FA8"/>
    <w:pPr>
      <w:ind w:left="720"/>
      <w:contextualSpacing/>
    </w:pPr>
  </w:style>
  <w:style w:type="character" w:styleId="Hyperlink">
    <w:name w:val="Hyperlink"/>
    <w:basedOn w:val="DefaultParagraphFont"/>
    <w:uiPriority w:val="99"/>
    <w:unhideWhenUsed/>
    <w:rsid w:val="008012E5"/>
    <w:rPr>
      <w:color w:val="0563C1" w:themeColor="hyperlink"/>
      <w:u w:val="single"/>
    </w:rPr>
  </w:style>
  <w:style w:type="paragraph" w:styleId="FootnoteText">
    <w:name w:val="footnote text"/>
    <w:basedOn w:val="Normal"/>
    <w:link w:val="FootnoteTextChar"/>
    <w:uiPriority w:val="99"/>
    <w:semiHidden/>
    <w:unhideWhenUsed/>
    <w:rsid w:val="005E10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103C"/>
    <w:rPr>
      <w:sz w:val="20"/>
      <w:szCs w:val="20"/>
    </w:rPr>
  </w:style>
  <w:style w:type="character" w:styleId="FootnoteReference">
    <w:name w:val="footnote reference"/>
    <w:basedOn w:val="DefaultParagraphFont"/>
    <w:uiPriority w:val="99"/>
    <w:semiHidden/>
    <w:unhideWhenUsed/>
    <w:rsid w:val="005E103C"/>
    <w:rPr>
      <w:vertAlign w:val="superscript"/>
    </w:rPr>
  </w:style>
  <w:style w:type="character" w:customStyle="1" w:styleId="Heading1Char">
    <w:name w:val="Heading 1 Char"/>
    <w:basedOn w:val="DefaultParagraphFont"/>
    <w:link w:val="Heading1"/>
    <w:uiPriority w:val="9"/>
    <w:rsid w:val="00E903F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077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5D76F-FEF6-43B3-842D-BF59252DC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2666</Words>
  <Characters>15201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Elliott</dc:creator>
  <cp:keywords/>
  <dc:description/>
  <cp:lastModifiedBy>Simon Elliott</cp:lastModifiedBy>
  <cp:revision>2</cp:revision>
  <dcterms:created xsi:type="dcterms:W3CDTF">2018-01-13T00:01:00Z</dcterms:created>
  <dcterms:modified xsi:type="dcterms:W3CDTF">2018-01-13T00:01:00Z</dcterms:modified>
</cp:coreProperties>
</file>