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154851" w14:textId="609B13B1" w:rsidR="00CA68F9" w:rsidRDefault="00CA68F9" w:rsidP="001F4E41">
      <w:pPr>
        <w:jc w:val="center"/>
      </w:pPr>
    </w:p>
    <w:p w14:paraId="384F48DD" w14:textId="54AB2A3D" w:rsidR="00900148" w:rsidRDefault="00900148" w:rsidP="001F4E41">
      <w:pPr>
        <w:jc w:val="center"/>
      </w:pPr>
    </w:p>
    <w:p w14:paraId="45804BD6" w14:textId="65EA3D3D" w:rsidR="00900148" w:rsidRDefault="00900148" w:rsidP="001F4E41">
      <w:pPr>
        <w:jc w:val="center"/>
      </w:pPr>
    </w:p>
    <w:p w14:paraId="663C2799" w14:textId="2CC7FBA4" w:rsidR="00900148" w:rsidRDefault="00900148" w:rsidP="001F4E41">
      <w:pPr>
        <w:jc w:val="center"/>
      </w:pPr>
    </w:p>
    <w:p w14:paraId="0F0D7B01" w14:textId="1334803A" w:rsidR="00900148" w:rsidRDefault="00900148" w:rsidP="001F4E41">
      <w:pPr>
        <w:jc w:val="center"/>
      </w:pPr>
    </w:p>
    <w:p w14:paraId="6027E0A6" w14:textId="74E22741" w:rsidR="00900148" w:rsidRDefault="00900148" w:rsidP="001F4E41">
      <w:pPr>
        <w:jc w:val="center"/>
      </w:pPr>
    </w:p>
    <w:p w14:paraId="2308D87C" w14:textId="2565C7DE" w:rsidR="00900148" w:rsidRDefault="00900148" w:rsidP="001F4E41">
      <w:pPr>
        <w:jc w:val="center"/>
      </w:pPr>
    </w:p>
    <w:p w14:paraId="4CB159AD" w14:textId="4ACA2D5F" w:rsidR="00900148" w:rsidRDefault="00900148" w:rsidP="001F4E41">
      <w:pPr>
        <w:jc w:val="center"/>
      </w:pPr>
    </w:p>
    <w:p w14:paraId="493B6217" w14:textId="062ED843" w:rsidR="00900148" w:rsidRDefault="00900148" w:rsidP="001F4E41">
      <w:pPr>
        <w:jc w:val="center"/>
      </w:pPr>
    </w:p>
    <w:p w14:paraId="4E2B35E4" w14:textId="6ABF4477" w:rsidR="00900148" w:rsidRDefault="00900148" w:rsidP="001F4E41">
      <w:pPr>
        <w:jc w:val="center"/>
      </w:pPr>
    </w:p>
    <w:p w14:paraId="46B284DD" w14:textId="499FE0E2" w:rsidR="00900148" w:rsidRDefault="00900148" w:rsidP="001F4E41">
      <w:pPr>
        <w:jc w:val="center"/>
      </w:pPr>
    </w:p>
    <w:p w14:paraId="15832CB3" w14:textId="64568666" w:rsidR="00900148" w:rsidRDefault="00900148" w:rsidP="001F4E41">
      <w:pPr>
        <w:jc w:val="center"/>
      </w:pPr>
    </w:p>
    <w:p w14:paraId="666ED9CF" w14:textId="45A6C379" w:rsidR="00900148" w:rsidRPr="00900148" w:rsidRDefault="00900148" w:rsidP="001F4E41">
      <w:pPr>
        <w:jc w:val="center"/>
        <w:rPr>
          <w:b/>
          <w:bCs/>
        </w:rPr>
      </w:pPr>
    </w:p>
    <w:p w14:paraId="29A5DAAA" w14:textId="400FE7B0" w:rsidR="00900148" w:rsidRPr="00900148" w:rsidRDefault="00EC0F55" w:rsidP="001F4E41">
      <w:pPr>
        <w:jc w:val="center"/>
        <w:rPr>
          <w:b/>
          <w:bCs/>
        </w:rPr>
      </w:pPr>
      <w:r>
        <w:rPr>
          <w:b/>
          <w:bCs/>
        </w:rPr>
        <w:t>Crime, Deviancy and The Labelling Theory</w:t>
      </w:r>
    </w:p>
    <w:p w14:paraId="2B56E1AF" w14:textId="5E956AE8" w:rsidR="00900148" w:rsidRDefault="00900148" w:rsidP="001F4E41">
      <w:pPr>
        <w:jc w:val="center"/>
      </w:pPr>
      <w:r w:rsidRPr="00EC0F55">
        <w:t xml:space="preserve">Student ID: 1905889 | Word Count: </w:t>
      </w:r>
      <w:r w:rsidR="00EC0F55" w:rsidRPr="00EC0F55">
        <w:t>2,770</w:t>
      </w:r>
    </w:p>
    <w:p w14:paraId="651E7845" w14:textId="5CF8E839" w:rsidR="00900148" w:rsidRDefault="00900148" w:rsidP="001F4E41">
      <w:pPr>
        <w:jc w:val="center"/>
      </w:pPr>
    </w:p>
    <w:p w14:paraId="53F1C7E5" w14:textId="7D8E7953" w:rsidR="00900148" w:rsidRDefault="00900148" w:rsidP="001F4E41">
      <w:pPr>
        <w:jc w:val="center"/>
      </w:pPr>
    </w:p>
    <w:p w14:paraId="5DD15CE3" w14:textId="539EC438" w:rsidR="00900148" w:rsidRDefault="00900148" w:rsidP="001F4E41">
      <w:pPr>
        <w:jc w:val="center"/>
      </w:pPr>
    </w:p>
    <w:p w14:paraId="0CDA697F" w14:textId="320DD5C0" w:rsidR="00900148" w:rsidRDefault="00900148" w:rsidP="001F4E41">
      <w:pPr>
        <w:jc w:val="center"/>
      </w:pPr>
    </w:p>
    <w:p w14:paraId="57CDEB75" w14:textId="11CED700" w:rsidR="00900148" w:rsidRDefault="00900148" w:rsidP="001F4E41">
      <w:pPr>
        <w:jc w:val="center"/>
      </w:pPr>
    </w:p>
    <w:p w14:paraId="471AD944" w14:textId="6C0DDD5E" w:rsidR="00900148" w:rsidRDefault="00900148" w:rsidP="001F4E41">
      <w:pPr>
        <w:jc w:val="center"/>
      </w:pPr>
    </w:p>
    <w:p w14:paraId="6AF24CEB" w14:textId="6C7DB141" w:rsidR="00900148" w:rsidRDefault="00900148" w:rsidP="001F4E41">
      <w:pPr>
        <w:jc w:val="center"/>
      </w:pPr>
    </w:p>
    <w:p w14:paraId="2D05FB62" w14:textId="5989A050" w:rsidR="00900148" w:rsidRDefault="00900148" w:rsidP="001F4E41">
      <w:pPr>
        <w:jc w:val="center"/>
      </w:pPr>
    </w:p>
    <w:p w14:paraId="0FD8025E" w14:textId="6CDF99CD" w:rsidR="00900148" w:rsidRDefault="00900148" w:rsidP="001F4E41">
      <w:pPr>
        <w:jc w:val="center"/>
      </w:pPr>
    </w:p>
    <w:p w14:paraId="591C3C84" w14:textId="2B4A7549" w:rsidR="00900148" w:rsidRDefault="00900148" w:rsidP="001F4E41">
      <w:pPr>
        <w:jc w:val="center"/>
      </w:pPr>
    </w:p>
    <w:p w14:paraId="6282497C" w14:textId="77777777" w:rsidR="00900148" w:rsidRDefault="00900148" w:rsidP="001F4E41">
      <w:pPr>
        <w:jc w:val="center"/>
      </w:pPr>
    </w:p>
    <w:p w14:paraId="4FE7526B" w14:textId="7851BB3E" w:rsidR="00900148" w:rsidRDefault="00900148" w:rsidP="001F4E41">
      <w:pPr>
        <w:jc w:val="center"/>
      </w:pPr>
    </w:p>
    <w:p w14:paraId="72893AB2" w14:textId="41DEC084" w:rsidR="00900148" w:rsidRDefault="00900148" w:rsidP="001F4E41">
      <w:pPr>
        <w:jc w:val="center"/>
      </w:pPr>
      <w:r>
        <w:rPr>
          <w:noProof/>
        </w:rPr>
        <w:drawing>
          <wp:inline distT="0" distB="0" distL="0" distR="0" wp14:anchorId="57345A92" wp14:editId="4D980666">
            <wp:extent cx="2333767" cy="774121"/>
            <wp:effectExtent l="0" t="0" r="0" b="6985"/>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342577" cy="777043"/>
                    </a:xfrm>
                    <a:prstGeom prst="rect">
                      <a:avLst/>
                    </a:prstGeom>
                    <a:noFill/>
                    <a:ln>
                      <a:noFill/>
                    </a:ln>
                  </pic:spPr>
                </pic:pic>
              </a:graphicData>
            </a:graphic>
          </wp:inline>
        </w:drawing>
      </w:r>
    </w:p>
    <w:p w14:paraId="36EBA1A5" w14:textId="2424AB8E" w:rsidR="00EE1B6B" w:rsidRPr="00A24B75" w:rsidRDefault="00EE1B6B" w:rsidP="00A24B75">
      <w:pPr>
        <w:pStyle w:val="NormalWeb"/>
        <w:spacing w:line="480" w:lineRule="auto"/>
        <w:jc w:val="both"/>
        <w:rPr>
          <w:color w:val="252525"/>
        </w:rPr>
      </w:pPr>
      <w:r w:rsidRPr="00A24B75">
        <w:rPr>
          <w:color w:val="252525"/>
        </w:rPr>
        <w:lastRenderedPageBreak/>
        <w:t> </w:t>
      </w:r>
      <w:r w:rsidRPr="00A24B75">
        <w:rPr>
          <w:rFonts w:ascii="Arial" w:hAnsi="Arial" w:cs="Arial"/>
          <w:color w:val="252525"/>
        </w:rPr>
        <w:t xml:space="preserve">If there were two entirely separate and isolated incidents where a group of young individuals fought, the question of how these incidents would be perceived by the police and society arises. For example, how would those involved be dealt with by the police—would they be placed in the back of a riot van and taken to custody, or would they be cautioned, warned, and let go to continue with their day? Howard Becker dedicated his career to illustrating that crime is a result of social perception, and who is considered a criminal equally relies on the subjectiveness of society (Gay, 2000). In response to the question raised regarding the fights, the interactionism theory proposes that if one of the fights took place in a low-socioeconomic area and the other took place in a wealthy area, the perceptions and reactions would most likely be quite different. Interactionism and the Labelling Theory suggest that the police would be more inclined to define the fight that took place in the lower socio-economic area as acts of delinquency and therefore justify harsher responses, acting as a catalyst for disproportionate stereotyping and causing a stabilisation and repetition of such behaviour. Whereas the fight that took place in the latter would perhaps be viewed as evidence of liveliness, simply requiring a gentle reminder of the consequences of unpleasantry (Bernburg, 2009). Constructionism, as an umbrella theory, argues that acts of deviance are entirely subjective and constructed by society (Gay, 2000). Goode (2015) provides that constructionists have identified that there is a deficiency in consensus on what constitutes deviancy and criminality and what acts necessitate an individual being labelled as a criminal, as these perceptions heavily depend on environmental and social factors, such as geography, religion, politics, gender, and heritage. This essay explores the Labelling Theory which falls within the realms of constructionism, as an umbrella theory and the Labelling Theory as a specific theory </w:t>
      </w:r>
      <w:proofErr w:type="gramStart"/>
      <w:r w:rsidRPr="00A24B75">
        <w:rPr>
          <w:rFonts w:ascii="Arial" w:hAnsi="Arial" w:cs="Arial"/>
          <w:color w:val="252525"/>
        </w:rPr>
        <w:lastRenderedPageBreak/>
        <w:t>in an attempt to</w:t>
      </w:r>
      <w:proofErr w:type="gramEnd"/>
      <w:r w:rsidRPr="00A24B75">
        <w:rPr>
          <w:rFonts w:ascii="Arial" w:hAnsi="Arial" w:cs="Arial"/>
          <w:color w:val="252525"/>
        </w:rPr>
        <w:t xml:space="preserve"> analyse and evaluate acts that justify deviance and criminality relies on society's perception. </w:t>
      </w:r>
    </w:p>
    <w:p w14:paraId="38672140" w14:textId="267D68E8" w:rsidR="009953B9" w:rsidRDefault="009953B9" w:rsidP="00315E82">
      <w:pPr>
        <w:spacing w:line="480" w:lineRule="auto"/>
        <w:jc w:val="both"/>
      </w:pPr>
      <w:r>
        <w:t>There are limited contemporary arguments that disagree with social constructivism being disproportionately prejudicial and instead suggest that perhaps the rates of criminality perpetrated by black people are because of predispositions linked to genetics. Ce</w:t>
      </w:r>
      <w:r w:rsidR="00A24B75">
        <w:t>sar</w:t>
      </w:r>
      <w:r>
        <w:t xml:space="preserve">e Lombroso </w:t>
      </w:r>
      <w:proofErr w:type="gramStart"/>
      <w:r>
        <w:t>made a contribution</w:t>
      </w:r>
      <w:proofErr w:type="gramEnd"/>
      <w:r>
        <w:t xml:space="preserve"> to the School of Positivism in the 19th century by saying that criminals are born because of different biological and psychological factors that make a person more likely to be a criminal (Savopoulos and Lindell, 2018). Academics have argued that the conceptualisation of racial profiling is largely why the Nature versus Nurture debate remains highly controversial, as researchers have found themselves </w:t>
      </w:r>
      <w:proofErr w:type="gramStart"/>
      <w:r>
        <w:t>in the midst of</w:t>
      </w:r>
      <w:proofErr w:type="gramEnd"/>
      <w:r>
        <w:t xml:space="preserve"> a minefield between carrying out research relating to genetic predispositions and finding themselves satisfying the definition of racial profiling (Lever, 2015). Although the Nature versus Nurture debate remains contentious, it appears that there is significant evidence that the perception of what constitutes a criminal is riddled with prejudice and discriminatory views.</w:t>
      </w:r>
    </w:p>
    <w:p w14:paraId="5150477C" w14:textId="77777777" w:rsidR="009953B9" w:rsidRDefault="009953B9" w:rsidP="00034353">
      <w:pPr>
        <w:spacing w:line="480" w:lineRule="auto"/>
        <w:jc w:val="both"/>
      </w:pPr>
      <w:r>
        <w:t xml:space="preserve">According to Mogul, Ritchie, and Whitlock (2011), the behavioural patterns of people of underrepresented and </w:t>
      </w:r>
      <w:proofErr w:type="spellStart"/>
      <w:r>
        <w:t>minoritised</w:t>
      </w:r>
      <w:proofErr w:type="spellEnd"/>
      <w:r>
        <w:t xml:space="preserve"> racial, sexual, and gender identities — especially those who do not meet the heterosexual, white male standards — are overwhelmingly blamed for what </w:t>
      </w:r>
      <w:proofErr w:type="gramStart"/>
      <w:r>
        <w:t>is considered to be</w:t>
      </w:r>
      <w:proofErr w:type="gramEnd"/>
      <w:r>
        <w:t xml:space="preserve"> criminal behaviour and who is a criminal. The social construction of what is considered a crime and what a criminal looks like has allowed for bias and predetermined perceptions of criminality and criminals (Reid, 2011). Nunn (2002) reinforces that in the context of social construction, black people have been negatively constructed to habitually engage in criminal behaviour. Statistics reveal that black people are excessively associated with crime, and society identifies </w:t>
      </w:r>
      <w:r>
        <w:lastRenderedPageBreak/>
        <w:t xml:space="preserve">them as being more dangerous than white people (Hinton et al. 2018). Arguably, this is due to society’s perception of the association between being black and engaging in criminality </w:t>
      </w:r>
      <w:proofErr w:type="gramStart"/>
      <w:r>
        <w:t>as a result of</w:t>
      </w:r>
      <w:proofErr w:type="gramEnd"/>
      <w:r>
        <w:t xml:space="preserve"> individuals' largely subconscious racist views of black people (Hurwitz &amp; </w:t>
      </w:r>
      <w:proofErr w:type="spellStart"/>
      <w:r>
        <w:t>Peffley</w:t>
      </w:r>
      <w:proofErr w:type="spellEnd"/>
      <w:r>
        <w:t>, 1997).</w:t>
      </w:r>
    </w:p>
    <w:p w14:paraId="2DDA899B" w14:textId="10B1A44E" w:rsidR="009953B9" w:rsidRPr="009953B9" w:rsidRDefault="009953B9" w:rsidP="00A63611">
      <w:pPr>
        <w:pStyle w:val="NormalWeb"/>
        <w:shd w:val="clear" w:color="auto" w:fill="FFFFFF"/>
        <w:spacing w:before="0" w:beforeAutospacing="0" w:after="384" w:afterAutospacing="0" w:line="480" w:lineRule="auto"/>
        <w:jc w:val="both"/>
        <w:textAlignment w:val="baseline"/>
        <w:rPr>
          <w:rFonts w:ascii="Arial" w:hAnsi="Arial" w:cs="Arial"/>
        </w:rPr>
      </w:pPr>
      <w:r w:rsidRPr="009953B9">
        <w:rPr>
          <w:rFonts w:ascii="Arial" w:hAnsi="Arial" w:cs="Arial"/>
        </w:rPr>
        <w:t xml:space="preserve">Knutsson (1977) summarises that the Labelling Theory presents the notion that everyone displays deviant behaviour at some stage; however, only certain people are perceived to be deviant—often disproportionately. The Labelling Theory theorises that when someone is regarded as deviant, this causes their social position and how they perceive themselves to alter. As a result of people saying that someone is deviant, action after action, that individual will eventually lead a deviant life and display a deviant identity—this is a result of being labelled by society (Knutsson, 1977).  In </w:t>
      </w:r>
      <w:r w:rsidR="001212D9">
        <w:rPr>
          <w:rFonts w:ascii="Arial" w:hAnsi="Arial" w:cs="Arial"/>
        </w:rPr>
        <w:t>simpler</w:t>
      </w:r>
      <w:r w:rsidRPr="009953B9">
        <w:rPr>
          <w:rFonts w:ascii="Arial" w:hAnsi="Arial" w:cs="Arial"/>
        </w:rPr>
        <w:t xml:space="preserve"> terms, if someone tells you that you are a deviant person time after time, you will eventually convince yourself that you are indeed deviant and succumb to their perceptions. A central focus of the Labelling Theory is that the development and application of deviance are products of social influence.  Research indicates that individuals who are labelled as deviant are statistically more predisposed to become involved in subsequent offences than those who are not subject to such labelling (</w:t>
      </w:r>
      <w:proofErr w:type="spellStart"/>
      <w:r w:rsidRPr="009953B9">
        <w:rPr>
          <w:rFonts w:ascii="Arial" w:hAnsi="Arial" w:cs="Arial"/>
        </w:rPr>
        <w:t>Matsueda</w:t>
      </w:r>
      <w:proofErr w:type="spellEnd"/>
      <w:r w:rsidRPr="009953B9">
        <w:rPr>
          <w:rFonts w:ascii="Arial" w:hAnsi="Arial" w:cs="Arial"/>
        </w:rPr>
        <w:t xml:space="preserve">, 1992).  As touched upon in the introduction, Becker identified that certain social groups have better opportunities to defend themselves from being perceived as deviant (Gay, 2000). Subsequently, such disproportions allow certain groups to be targeted and labelled as deviant. Sampson and </w:t>
      </w:r>
      <w:proofErr w:type="spellStart"/>
      <w:r w:rsidRPr="009953B9">
        <w:rPr>
          <w:rFonts w:ascii="Arial" w:hAnsi="Arial" w:cs="Arial"/>
        </w:rPr>
        <w:t>Laub</w:t>
      </w:r>
      <w:proofErr w:type="spellEnd"/>
      <w:r w:rsidRPr="009953B9">
        <w:rPr>
          <w:rFonts w:ascii="Arial" w:hAnsi="Arial" w:cs="Arial"/>
        </w:rPr>
        <w:t xml:space="preserve"> (1997) proposed a hypothesis that supports the concept that minority ethnic groups, due to their historic lack of social influence, are significantly more likely to be subject to social exclusion and labelling. Huebner and Bynum (2008) support the propositions of Sampson and </w:t>
      </w:r>
      <w:proofErr w:type="spellStart"/>
      <w:r w:rsidRPr="009953B9">
        <w:rPr>
          <w:rFonts w:ascii="Arial" w:hAnsi="Arial" w:cs="Arial"/>
        </w:rPr>
        <w:t>Laub</w:t>
      </w:r>
      <w:proofErr w:type="spellEnd"/>
      <w:r w:rsidRPr="009953B9">
        <w:rPr>
          <w:rFonts w:ascii="Arial" w:hAnsi="Arial" w:cs="Arial"/>
        </w:rPr>
        <w:t xml:space="preserve"> (1997) by </w:t>
      </w:r>
      <w:r w:rsidRPr="009953B9">
        <w:rPr>
          <w:rFonts w:ascii="Arial" w:hAnsi="Arial" w:cs="Arial"/>
        </w:rPr>
        <w:lastRenderedPageBreak/>
        <w:t>concluding through research that black defendants are more likely to be given harsh sentences than white defendants who have committed the same crime.</w:t>
      </w:r>
    </w:p>
    <w:p w14:paraId="598D1643" w14:textId="64E5814F" w:rsidR="009953B9" w:rsidRPr="009953B9" w:rsidRDefault="009953B9" w:rsidP="00A63611">
      <w:pPr>
        <w:pStyle w:val="NormalWeb"/>
        <w:shd w:val="clear" w:color="auto" w:fill="FFFFFF"/>
        <w:spacing w:before="0" w:beforeAutospacing="0" w:after="384" w:afterAutospacing="0" w:line="480" w:lineRule="auto"/>
        <w:jc w:val="both"/>
        <w:textAlignment w:val="baseline"/>
        <w:rPr>
          <w:rFonts w:ascii="Arial" w:hAnsi="Arial" w:cs="Arial"/>
        </w:rPr>
      </w:pPr>
      <w:r w:rsidRPr="009953B9">
        <w:rPr>
          <w:rFonts w:ascii="Arial" w:hAnsi="Arial" w:cs="Arial"/>
        </w:rPr>
        <w:t>The Black Lives Matter [BLM] movement, a globally decentralised movement that started in response to several instances of police brutality and targeting of members of the black community, is arguably one of the largest social movements in recent times (Joseph, 2020). At the core of the movement is the belief is held that black people are disproportionately labelled as criminals by society and government agencies, which has led to the inequitable use of force by police services on a transnational basis (Joseph, 2020).   </w:t>
      </w:r>
      <w:r w:rsidR="001212D9" w:rsidRPr="001212D9">
        <w:rPr>
          <w:rFonts w:ascii="Arial" w:hAnsi="Arial" w:cs="Arial"/>
        </w:rPr>
        <w:t xml:space="preserve">According to Hawkins, </w:t>
      </w:r>
      <w:proofErr w:type="spellStart"/>
      <w:r w:rsidR="001212D9" w:rsidRPr="001212D9">
        <w:rPr>
          <w:rFonts w:ascii="Arial" w:hAnsi="Arial" w:cs="Arial"/>
        </w:rPr>
        <w:t>Laub</w:t>
      </w:r>
      <w:proofErr w:type="spellEnd"/>
      <w:r w:rsidR="001212D9" w:rsidRPr="001212D9">
        <w:rPr>
          <w:rFonts w:ascii="Arial" w:hAnsi="Arial" w:cs="Arial"/>
        </w:rPr>
        <w:t xml:space="preserve"> and Lauritsen (1998), there is a significant disparity between the likelihood of black people being arrested and incarcerated and that of white </w:t>
      </w:r>
      <w:r w:rsidR="001212D9" w:rsidRPr="001212D9">
        <w:rPr>
          <w:rFonts w:ascii="Arial" w:hAnsi="Arial" w:cs="Arial"/>
        </w:rPr>
        <w:t>people.</w:t>
      </w:r>
      <w:r w:rsidRPr="009953B9">
        <w:rPr>
          <w:rFonts w:ascii="Arial" w:hAnsi="Arial" w:cs="Arial"/>
        </w:rPr>
        <w:t xml:space="preserve">  However, Wilbanks (1987) published an explanation that contests such disparities by arguing that the race-crime relationship only exists because of the simple reality that black people simply commit more crime than white people. A key challenge encircling this debate (Chavez, </w:t>
      </w:r>
      <w:proofErr w:type="spellStart"/>
      <w:r w:rsidRPr="009953B9">
        <w:rPr>
          <w:rFonts w:ascii="Arial" w:hAnsi="Arial" w:cs="Arial"/>
        </w:rPr>
        <w:t>Rocheleau</w:t>
      </w:r>
      <w:proofErr w:type="spellEnd"/>
      <w:r w:rsidRPr="009953B9">
        <w:rPr>
          <w:rFonts w:ascii="Arial" w:hAnsi="Arial" w:cs="Arial"/>
        </w:rPr>
        <w:t xml:space="preserve">, 2017) is the notable void in published and credible literature regarding how ethnicity may shape exposure to deviant peers or the effects of social exclusion because of labelling. However, after the death of George Floyd, who was killed after white police officers knelt on his neck while arresting him despite Floyd stating over 20 times that he could not breathe, thus triggering the BLM movement. Subsequently, when incidents of civil unrest occurred in protest, the president at the time, Donald Trump, published a tweet in which he called the protestors thugs. Boris Johnson, the then British Prime Minister, also published a tweet about BLM protests in London, whereby he also referred to the protestors as thugs (Joseph, 2020). As written by Smiley and </w:t>
      </w:r>
      <w:proofErr w:type="spellStart"/>
      <w:r w:rsidRPr="009953B9">
        <w:rPr>
          <w:rFonts w:ascii="Arial" w:hAnsi="Arial" w:cs="Arial"/>
        </w:rPr>
        <w:t>Fakunle</w:t>
      </w:r>
      <w:proofErr w:type="spellEnd"/>
      <w:r w:rsidRPr="009953B9">
        <w:rPr>
          <w:rFonts w:ascii="Arial" w:hAnsi="Arial" w:cs="Arial"/>
        </w:rPr>
        <w:t xml:space="preserve"> (2016), the term ‘thug’ is used to refer to the lives of black people </w:t>
      </w:r>
      <w:r w:rsidRPr="009953B9">
        <w:rPr>
          <w:rFonts w:ascii="Arial" w:hAnsi="Arial" w:cs="Arial"/>
        </w:rPr>
        <w:lastRenderedPageBreak/>
        <w:t>as being of lesser value and plagued by criminality, acting as an alternative label allowing for prejudice and discrimination.</w:t>
      </w:r>
    </w:p>
    <w:p w14:paraId="7187F88D" w14:textId="34EC6FD9" w:rsidR="009953B9" w:rsidRPr="009953B9" w:rsidRDefault="009953B9" w:rsidP="006E56D7">
      <w:pPr>
        <w:pStyle w:val="NormalWeb"/>
        <w:shd w:val="clear" w:color="auto" w:fill="FFFFFF"/>
        <w:spacing w:before="0" w:beforeAutospacing="0" w:after="384" w:afterAutospacing="0" w:line="480" w:lineRule="auto"/>
        <w:jc w:val="both"/>
        <w:textAlignment w:val="baseline"/>
        <w:rPr>
          <w:rFonts w:ascii="Arial" w:hAnsi="Arial" w:cs="Arial"/>
        </w:rPr>
      </w:pPr>
      <w:r w:rsidRPr="009953B9">
        <w:rPr>
          <w:rFonts w:ascii="Arial" w:hAnsi="Arial" w:cs="Arial"/>
        </w:rPr>
        <w:t>A prime example of how labelling influences police responses and encourages disparity is shown by the different responses and approaches taken by law enforcement agencies during the Capitol Riots and Black Lives Matter protests. The Capitol Riots, which occurred on the 6</w:t>
      </w:r>
      <w:r w:rsidRPr="009953B9">
        <w:rPr>
          <w:rFonts w:ascii="Arial" w:hAnsi="Arial" w:cs="Arial"/>
          <w:vertAlign w:val="superscript"/>
        </w:rPr>
        <w:t>th</w:t>
      </w:r>
      <w:r w:rsidRPr="009953B9">
        <w:rPr>
          <w:rFonts w:ascii="Arial" w:hAnsi="Arial" w:cs="Arial"/>
        </w:rPr>
        <w:t xml:space="preserve"> of January 2021, consisted of over 2,000 pro-Trump rioters storming the US Congress, during which they ransacked, vandalised, and looted the Capitol to prevent a session of Congress from sitting to formalise the victory of the now President, Joe Biden (</w:t>
      </w:r>
      <w:proofErr w:type="spellStart"/>
      <w:r w:rsidRPr="009953B9">
        <w:rPr>
          <w:rFonts w:ascii="Arial" w:hAnsi="Arial" w:cs="Arial"/>
        </w:rPr>
        <w:t>Duginan</w:t>
      </w:r>
      <w:proofErr w:type="spellEnd"/>
      <w:r w:rsidRPr="009953B9">
        <w:rPr>
          <w:rFonts w:ascii="Arial" w:hAnsi="Arial" w:cs="Arial"/>
        </w:rPr>
        <w:t xml:space="preserve">, 2023). Notably, Johnson (2022) highlights that although the police were aware of the riot plans to disrupt Congress, the rioters were met with significantly less police retaliation and force, and there were fewer arrests made than those that occurred at previous peaceful BLM demonstrations—despite a significantly larger amount of violence and damage taking place at the Capitol Riots. Williams (2021) writes that there is considerable belief that police had sympathy for the rioters, and this clouded their judgement—the rioters did not consist of individuals who, beforehand, had been categorised as deviants by society for decades due to racial factors. Furthermore, Williams (2021) indirectly suggests that the rioters consisted of what society would perceive as perfectly normal and mostly law-abiding white people. The important take-home information for Williams’ (2021) article is that the Capitol Police response was different and arguably less </w:t>
      </w:r>
      <w:r w:rsidR="001212D9">
        <w:rPr>
          <w:rFonts w:ascii="Arial" w:hAnsi="Arial" w:cs="Arial"/>
        </w:rPr>
        <w:t>forceful</w:t>
      </w:r>
      <w:r w:rsidRPr="009953B9">
        <w:rPr>
          <w:rFonts w:ascii="Arial" w:hAnsi="Arial" w:cs="Arial"/>
        </w:rPr>
        <w:t xml:space="preserve"> than BLM protests because of perception and labelling.</w:t>
      </w:r>
    </w:p>
    <w:p w14:paraId="2029D782" w14:textId="77777777" w:rsidR="009953B9" w:rsidRPr="009953B9" w:rsidRDefault="009953B9" w:rsidP="00211096">
      <w:pPr>
        <w:pStyle w:val="NormalWeb"/>
        <w:shd w:val="clear" w:color="auto" w:fill="FFFFFF"/>
        <w:spacing w:before="0" w:beforeAutospacing="0" w:after="384" w:afterAutospacing="0" w:line="480" w:lineRule="auto"/>
        <w:jc w:val="both"/>
        <w:textAlignment w:val="baseline"/>
        <w:rPr>
          <w:rFonts w:ascii="Arial" w:hAnsi="Arial" w:cs="Arial"/>
        </w:rPr>
      </w:pPr>
      <w:r w:rsidRPr="009953B9">
        <w:rPr>
          <w:rFonts w:ascii="Arial" w:hAnsi="Arial" w:cs="Arial"/>
        </w:rPr>
        <w:t xml:space="preserve">Although there is significant support for the credibility of the Labelling Theory (Huebner and Bynum, 2008), it has received a substantial amount of criticism as the theory fails to clarify whether it is pursuing the matter of deviant behaviour itself or if it encircles </w:t>
      </w:r>
      <w:r w:rsidRPr="009953B9">
        <w:rPr>
          <w:rFonts w:ascii="Arial" w:hAnsi="Arial" w:cs="Arial"/>
        </w:rPr>
        <w:lastRenderedPageBreak/>
        <w:t xml:space="preserve">social reactions to deviancy as acknowledged by Gay (2000). Consequently, as identified by </w:t>
      </w:r>
      <w:proofErr w:type="spellStart"/>
      <w:r w:rsidRPr="009953B9">
        <w:rPr>
          <w:rFonts w:ascii="Arial" w:hAnsi="Arial" w:cs="Arial"/>
        </w:rPr>
        <w:t>Broadwater</w:t>
      </w:r>
      <w:proofErr w:type="spellEnd"/>
      <w:r w:rsidRPr="009953B9">
        <w:rPr>
          <w:rFonts w:ascii="Arial" w:hAnsi="Arial" w:cs="Arial"/>
        </w:rPr>
        <w:t xml:space="preserve"> (2021), the criticisms allow for questions to arise as to whether varying police responses, which admittedly are disproportionate, are a simple by-product of inconsistent police practises and institutional racism due to white supremacy. However, Adams et al. (1998) suggest that racism and labelling are interlinked—the labelling of black people as deviants is a result of racism.</w:t>
      </w:r>
    </w:p>
    <w:p w14:paraId="33D9F5D1" w14:textId="77777777" w:rsidR="00AA713D" w:rsidRPr="00AA713D" w:rsidRDefault="00AA713D" w:rsidP="007A3B94">
      <w:pPr>
        <w:pStyle w:val="NormalWeb"/>
        <w:spacing w:line="480" w:lineRule="auto"/>
        <w:jc w:val="both"/>
        <w:rPr>
          <w:rFonts w:ascii="Arial" w:hAnsi="Arial" w:cs="Arial"/>
        </w:rPr>
      </w:pPr>
      <w:r w:rsidRPr="00AA713D">
        <w:rPr>
          <w:rFonts w:ascii="Arial" w:hAnsi="Arial" w:cs="Arial"/>
        </w:rPr>
        <w:t xml:space="preserve">Although there is significant support for the credibility of the Labelling Theory (Huebner and Bynum, 2008), it has received a substantial amount of criticism as the theory fails to clarify whether it is pursuing the matter of deviant behaviour itself or if it encircles social reactions to deviancy as acknowledged by Gay (2000). Consequently, as identified by </w:t>
      </w:r>
      <w:proofErr w:type="spellStart"/>
      <w:r w:rsidRPr="00AA713D">
        <w:rPr>
          <w:rFonts w:ascii="Arial" w:hAnsi="Arial" w:cs="Arial"/>
        </w:rPr>
        <w:t>Broadwater</w:t>
      </w:r>
      <w:proofErr w:type="spellEnd"/>
      <w:r w:rsidRPr="00AA713D">
        <w:rPr>
          <w:rFonts w:ascii="Arial" w:hAnsi="Arial" w:cs="Arial"/>
        </w:rPr>
        <w:t xml:space="preserve"> (2021), the criticisms allow for questions to arise as to whether varying police responses, which are admittedly disproportionate, are a simple by-product of inconsistent police practises and institutional racism due to white supremacy. However, Adams et al. (1998) suggest that racism and labelling are interlinked—the labelling of black people as deviants is a result of racism.</w:t>
      </w:r>
    </w:p>
    <w:p w14:paraId="7AC71850" w14:textId="16940BA6" w:rsidR="00AA713D" w:rsidRDefault="00AA713D" w:rsidP="007A3B94">
      <w:pPr>
        <w:pStyle w:val="NormalWeb"/>
        <w:spacing w:line="480" w:lineRule="auto"/>
        <w:jc w:val="both"/>
        <w:rPr>
          <w:rFonts w:ascii="Arial" w:hAnsi="Arial" w:cs="Arial"/>
        </w:rPr>
      </w:pPr>
      <w:r>
        <w:rPr>
          <w:rFonts w:ascii="Arial" w:hAnsi="Arial" w:cs="Arial"/>
        </w:rPr>
        <w:t xml:space="preserve">Walsh (2020) says that since crime is socially made, moral panics about crime rates might be less about a real rise in crime and more about how perceptions and media coverage of the problem make it seem worse. The increase in reports of crimes and, consequently, the rise in police arrests can be attributed to an increase in public awareness of negative behaviours that meet the definition of criminality (Weisburd and </w:t>
      </w:r>
      <w:proofErr w:type="spellStart"/>
      <w:r>
        <w:rPr>
          <w:rFonts w:ascii="Arial" w:hAnsi="Arial" w:cs="Arial"/>
        </w:rPr>
        <w:t>Majmundar</w:t>
      </w:r>
      <w:proofErr w:type="spellEnd"/>
      <w:r>
        <w:rPr>
          <w:rFonts w:ascii="Arial" w:hAnsi="Arial" w:cs="Arial"/>
        </w:rPr>
        <w:t xml:space="preserve">, 2018). Real trends in crime seem to be challenging to identify because crime is socially constructed. Additionally, data regarding the breakdown of crimes committed by certain groups is equally inaccurate due to the evident disparity in perceptions of criminals. Both the publications by Walsh (2020) and Weisburd and </w:t>
      </w:r>
      <w:proofErr w:type="spellStart"/>
      <w:r>
        <w:rPr>
          <w:rFonts w:ascii="Arial" w:hAnsi="Arial" w:cs="Arial"/>
        </w:rPr>
        <w:lastRenderedPageBreak/>
        <w:t>Majmundar</w:t>
      </w:r>
      <w:proofErr w:type="spellEnd"/>
      <w:r>
        <w:rPr>
          <w:rFonts w:ascii="Arial" w:hAnsi="Arial" w:cs="Arial"/>
        </w:rPr>
        <w:t xml:space="preserve"> (2018) identify that, as a result of the increase in crime reports and the disparity in perceptions of criminals, this will unquestionably lead to a concerning </w:t>
      </w:r>
      <w:proofErr w:type="gramStart"/>
      <w:r>
        <w:rPr>
          <w:rFonts w:ascii="Arial" w:hAnsi="Arial" w:cs="Arial"/>
        </w:rPr>
        <w:t>amount</w:t>
      </w:r>
      <w:proofErr w:type="gramEnd"/>
      <w:r>
        <w:rPr>
          <w:rFonts w:ascii="Arial" w:hAnsi="Arial" w:cs="Arial"/>
        </w:rPr>
        <w:t xml:space="preserve"> of arrests made against marginalised individuals. Therefore, this allows for further debate about the police’s institutional racism. However, there appears to be a vicious cycle that stems from the issue of perception. As identified, the labelling theory has been developed in the matter of perception. Though confusion arises as to whether crime and who is considered a criminal—or most likely to be one—are perceived by society, when the police are targeting specific groups, are they not simply following the perceptions held by </w:t>
      </w:r>
      <w:proofErr w:type="gramStart"/>
      <w:r>
        <w:rPr>
          <w:rFonts w:ascii="Arial" w:hAnsi="Arial" w:cs="Arial"/>
        </w:rPr>
        <w:t>the majority of</w:t>
      </w:r>
      <w:proofErr w:type="gramEnd"/>
      <w:r>
        <w:rPr>
          <w:rFonts w:ascii="Arial" w:hAnsi="Arial" w:cs="Arial"/>
        </w:rPr>
        <w:t xml:space="preserve"> society about who and what is criminal? (Joseph, 2020). The matter of institutional racism presents itself as a topic and discussion in its own right; however, it is heavily intertwined with the topic of this essay in relation to how social constructionism influences policing responses and the matter of unjust responses and racial profiling (</w:t>
      </w:r>
      <w:proofErr w:type="spellStart"/>
      <w:r>
        <w:rPr>
          <w:rFonts w:ascii="Arial" w:hAnsi="Arial" w:cs="Arial"/>
        </w:rPr>
        <w:t>Legewie</w:t>
      </w:r>
      <w:proofErr w:type="spellEnd"/>
      <w:r>
        <w:rPr>
          <w:rFonts w:ascii="Arial" w:hAnsi="Arial" w:cs="Arial"/>
        </w:rPr>
        <w:t>, 2016). The Labelling theory</w:t>
      </w:r>
      <w:r w:rsidR="001212D9">
        <w:rPr>
          <w:rFonts w:ascii="Arial" w:hAnsi="Arial" w:cs="Arial"/>
        </w:rPr>
        <w:t xml:space="preserve"> </w:t>
      </w:r>
      <w:r>
        <w:rPr>
          <w:rFonts w:ascii="Arial" w:hAnsi="Arial" w:cs="Arial"/>
        </w:rPr>
        <w:t>highlights</w:t>
      </w:r>
      <w:r w:rsidR="001212D9">
        <w:rPr>
          <w:rFonts w:ascii="Arial" w:hAnsi="Arial" w:cs="Arial"/>
        </w:rPr>
        <w:t xml:space="preserve"> </w:t>
      </w:r>
      <w:r>
        <w:rPr>
          <w:rFonts w:ascii="Arial" w:hAnsi="Arial" w:cs="Arial"/>
        </w:rPr>
        <w:t>how perception shapes our understanding of crime and who is deemed a criminal. However, this perception can also be influenced by institutional racism, leading to unjust policing responses and racial profiling. As such, it is important to consider the complex interplay between social constructionism, perception, and institutional racism in discussions around policing (</w:t>
      </w:r>
      <w:proofErr w:type="spellStart"/>
      <w:r>
        <w:rPr>
          <w:rFonts w:ascii="Arial" w:hAnsi="Arial" w:cs="Arial"/>
        </w:rPr>
        <w:t>Legewie</w:t>
      </w:r>
      <w:proofErr w:type="spellEnd"/>
      <w:r>
        <w:rPr>
          <w:rFonts w:ascii="Arial" w:hAnsi="Arial" w:cs="Arial"/>
        </w:rPr>
        <w:t>, 2016).</w:t>
      </w:r>
    </w:p>
    <w:p w14:paraId="7AB03DB2" w14:textId="77777777" w:rsidR="00AA713D" w:rsidRDefault="00AA713D" w:rsidP="006F7F3D">
      <w:pPr>
        <w:pStyle w:val="NormalWeb"/>
        <w:spacing w:line="480" w:lineRule="auto"/>
        <w:jc w:val="both"/>
        <w:rPr>
          <w:rFonts w:ascii="Arial" w:hAnsi="Arial" w:cs="Arial"/>
        </w:rPr>
      </w:pPr>
      <w:r>
        <w:rPr>
          <w:rFonts w:ascii="Arial" w:hAnsi="Arial" w:cs="Arial"/>
        </w:rPr>
        <w:t xml:space="preserve">The different ways the police dealt with BLM protests and the Capitol Riots show that social constructionism lets the police be inconsistent and unfair. Under Section 60 of the Criminal Justice and Public Order Act of 1984, which permits police officers to search a person in a location without the need for reasonable grounds, statistics show that black people were 18 times more likely than white people to be searched in 2019–20 (Her Majesty's Inspectorate of Constabulary and Fire &amp; Rescue Services, 2021). A report published by the Independent Office for Police Conduct (2022) admits that </w:t>
      </w:r>
      <w:r>
        <w:rPr>
          <w:rFonts w:ascii="Arial" w:hAnsi="Arial" w:cs="Arial"/>
        </w:rPr>
        <w:lastRenderedPageBreak/>
        <w:t>although stop and search powers are a legitimate and valuable policing tactic, they remain a contentious one due to their disproportionate use against people from marginalised communities. These systemic issues highlight the need for a critical examination of policing practises and the impact they have on different communities. Social justice advocates argue for the creation of fairer policies that do more to address racial bias and systemic discrimination in law enforcement. Ultimately, greater transparency, accountability, and training are essential to prevent further harm to historically marginalised groups (Walsh, 2021).</w:t>
      </w:r>
    </w:p>
    <w:p w14:paraId="5878E9EB" w14:textId="2A087A32" w:rsidR="00AA713D" w:rsidRDefault="00AA713D" w:rsidP="00AA713D">
      <w:pPr>
        <w:pStyle w:val="NormalWeb"/>
        <w:spacing w:line="480" w:lineRule="auto"/>
        <w:jc w:val="both"/>
      </w:pPr>
      <w:r>
        <w:rPr>
          <w:rFonts w:ascii="Arial" w:hAnsi="Arial" w:cs="Arial"/>
        </w:rPr>
        <w:t xml:space="preserve">Ramirez, McDevitt, and Farrell's (2000) government publication on racial profiling is interesting because it seems to feel the need to make it clear that law enforcement agencies are not to support or use stereotypical, discriminatory, or racist bias or be led by the idea that any of a person's individual characteristics will make them more likely to act. This shows the problem of racial bias in law enforcement and how training and rules are needed to stop it. It also raises the question of how much progress has been made in addressing this issue since the publication of the guidance in 2000. The lack of research discrediting the </w:t>
      </w:r>
      <w:proofErr w:type="spellStart"/>
      <w:r>
        <w:rPr>
          <w:rFonts w:ascii="Arial" w:hAnsi="Arial" w:cs="Arial"/>
        </w:rPr>
        <w:t>Labeling</w:t>
      </w:r>
      <w:proofErr w:type="spellEnd"/>
      <w:r>
        <w:rPr>
          <w:rFonts w:ascii="Arial" w:hAnsi="Arial" w:cs="Arial"/>
        </w:rPr>
        <w:t xml:space="preserve"> Theory in relation to racist stereotyping and police racism raises concerns about the credibility of this theory. </w:t>
      </w:r>
      <w:r w:rsidR="00EC0F55" w:rsidRPr="00EC0F55">
        <w:rPr>
          <w:rFonts w:ascii="Arial" w:hAnsi="Arial" w:cs="Arial"/>
        </w:rPr>
        <w:t xml:space="preserve">It remains unclear whether the shortage of studies is due to the fear of being perceived as racist or if the hypothesis simply lacks </w:t>
      </w:r>
      <w:proofErr w:type="gramStart"/>
      <w:r w:rsidR="00EC0F55" w:rsidRPr="00EC0F55">
        <w:rPr>
          <w:rFonts w:ascii="Arial" w:hAnsi="Arial" w:cs="Arial"/>
        </w:rPr>
        <w:t>credibility.</w:t>
      </w:r>
      <w:r>
        <w:rPr>
          <w:rFonts w:ascii="Arial" w:hAnsi="Arial" w:cs="Arial"/>
        </w:rPr>
        <w:t>.</w:t>
      </w:r>
      <w:proofErr w:type="gramEnd"/>
      <w:r>
        <w:rPr>
          <w:rFonts w:ascii="Arial" w:hAnsi="Arial" w:cs="Arial"/>
        </w:rPr>
        <w:t xml:space="preserve"> Regardless, </w:t>
      </w:r>
      <w:proofErr w:type="gramStart"/>
      <w:r>
        <w:rPr>
          <w:rFonts w:ascii="Arial" w:hAnsi="Arial" w:cs="Arial"/>
        </w:rPr>
        <w:t>it is clear that law</w:t>
      </w:r>
      <w:proofErr w:type="gramEnd"/>
      <w:r>
        <w:rPr>
          <w:rFonts w:ascii="Arial" w:hAnsi="Arial" w:cs="Arial"/>
        </w:rPr>
        <w:t xml:space="preserve"> enforcement agencies must address racial bias through training and policies to prevent discrimination.</w:t>
      </w:r>
    </w:p>
    <w:p w14:paraId="31B2B7DC" w14:textId="0604A6FD" w:rsidR="00AA713D" w:rsidRDefault="00AA713D" w:rsidP="00AA713D">
      <w:pPr>
        <w:pStyle w:val="NormalWeb"/>
        <w:spacing w:line="480" w:lineRule="auto"/>
        <w:jc w:val="both"/>
      </w:pPr>
      <w:r>
        <w:rPr>
          <w:rFonts w:ascii="Arial" w:hAnsi="Arial" w:cs="Arial"/>
        </w:rPr>
        <w:t xml:space="preserve">In conclusion, it appears evident that it is imperative that further research be conducted to fully understand the relationship between </w:t>
      </w:r>
      <w:proofErr w:type="spellStart"/>
      <w:r>
        <w:rPr>
          <w:rFonts w:ascii="Arial" w:hAnsi="Arial" w:cs="Arial"/>
        </w:rPr>
        <w:t>Labeling</w:t>
      </w:r>
      <w:proofErr w:type="spellEnd"/>
      <w:r>
        <w:rPr>
          <w:rFonts w:ascii="Arial" w:hAnsi="Arial" w:cs="Arial"/>
        </w:rPr>
        <w:t xml:space="preserve"> Theory, racist stereotyping, and police racism. </w:t>
      </w:r>
      <w:r>
        <w:rPr>
          <w:rFonts w:ascii="Arial" w:hAnsi="Arial" w:cs="Arial"/>
          <w:color w:val="252525"/>
        </w:rPr>
        <w:t xml:space="preserve">As Joseph (2020) claims, the Black Lives Matter movement is arguably </w:t>
      </w:r>
      <w:r>
        <w:rPr>
          <w:rFonts w:ascii="Arial" w:hAnsi="Arial" w:cs="Arial"/>
          <w:color w:val="252525"/>
        </w:rPr>
        <w:lastRenderedPageBreak/>
        <w:t xml:space="preserve">one of the largest contemporary social movements, and therefore, there is an even greater reason for further research to explore the relationship between race, crime, and policing. Without further research, concerns arise that there will be a complete break in relationships between social groups that feel unjustly targeted by mainly white police forces (Hurwitz &amp; </w:t>
      </w:r>
      <w:proofErr w:type="spellStart"/>
      <w:r>
        <w:rPr>
          <w:rFonts w:ascii="Arial" w:hAnsi="Arial" w:cs="Arial"/>
          <w:color w:val="252525"/>
        </w:rPr>
        <w:t>Peffley</w:t>
      </w:r>
      <w:proofErr w:type="spellEnd"/>
      <w:r>
        <w:rPr>
          <w:rFonts w:ascii="Arial" w:hAnsi="Arial" w:cs="Arial"/>
          <w:color w:val="252525"/>
        </w:rPr>
        <w:t xml:space="preserve">, 1997). </w:t>
      </w:r>
      <w:r>
        <w:rPr>
          <w:rFonts w:ascii="Arial" w:hAnsi="Arial" w:cs="Arial"/>
        </w:rPr>
        <w:t>Law enforcement agencies must also actively work towards addressing and eliminating any racial biases within their practises to ensure fair and just treatment for all individuals. Constructionism includes many different theories, but the Labelling Theory remains one of the most contentious topics of discussion due to the ongoing awareness of institutional police racism (</w:t>
      </w:r>
      <w:proofErr w:type="spellStart"/>
      <w:r>
        <w:rPr>
          <w:rFonts w:ascii="Arial" w:hAnsi="Arial" w:cs="Arial"/>
        </w:rPr>
        <w:t>Legewie</w:t>
      </w:r>
      <w:proofErr w:type="spellEnd"/>
      <w:r>
        <w:rPr>
          <w:rFonts w:ascii="Arial" w:hAnsi="Arial" w:cs="Arial"/>
        </w:rPr>
        <w:t xml:space="preserve">, 2016). Consequently, it appears that the fear of appearing racist or advocating unacceptable policing has meant that there is an unequal amount of research and publications that contribute to balancing the argument by arguing that possibly black people are more involved in crime than white people (Joseph, 2020). </w:t>
      </w:r>
      <w:proofErr w:type="spellStart"/>
      <w:r>
        <w:rPr>
          <w:rFonts w:ascii="Arial" w:hAnsi="Arial" w:cs="Arial"/>
        </w:rPr>
        <w:t>Besmer</w:t>
      </w:r>
      <w:proofErr w:type="spellEnd"/>
      <w:r>
        <w:rPr>
          <w:rFonts w:ascii="Arial" w:hAnsi="Arial" w:cs="Arial"/>
        </w:rPr>
        <w:t xml:space="preserve">, Farrington, and </w:t>
      </w:r>
      <w:proofErr w:type="spellStart"/>
      <w:r>
        <w:rPr>
          <w:rFonts w:ascii="Arial" w:hAnsi="Arial" w:cs="Arial"/>
        </w:rPr>
        <w:t>Bijleveld's</w:t>
      </w:r>
      <w:proofErr w:type="spellEnd"/>
      <w:r>
        <w:rPr>
          <w:rFonts w:ascii="Arial" w:hAnsi="Arial" w:cs="Arial"/>
        </w:rPr>
        <w:t xml:space="preserve"> (2017) publication indirectly suggests that it is important for future research to delve deeper into the relationship between </w:t>
      </w:r>
      <w:proofErr w:type="spellStart"/>
      <w:r>
        <w:rPr>
          <w:rFonts w:ascii="Arial" w:hAnsi="Arial" w:cs="Arial"/>
        </w:rPr>
        <w:t>Labeling</w:t>
      </w:r>
      <w:proofErr w:type="spellEnd"/>
      <w:r>
        <w:rPr>
          <w:rFonts w:ascii="Arial" w:hAnsi="Arial" w:cs="Arial"/>
        </w:rPr>
        <w:t xml:space="preserve"> Theory and police racism, especially </w:t>
      </w:r>
      <w:proofErr w:type="gramStart"/>
      <w:r>
        <w:rPr>
          <w:rFonts w:ascii="Arial" w:hAnsi="Arial" w:cs="Arial"/>
        </w:rPr>
        <w:t>in light of</w:t>
      </w:r>
      <w:proofErr w:type="gramEnd"/>
      <w:r>
        <w:rPr>
          <w:rFonts w:ascii="Arial" w:hAnsi="Arial" w:cs="Arial"/>
        </w:rPr>
        <w:t xml:space="preserve"> ongoing issues with institutional racism within law enforcement agencies. </w:t>
      </w:r>
      <w:r w:rsidR="00EC0F55" w:rsidRPr="00EC0F55">
        <w:rPr>
          <w:rFonts w:ascii="Arial" w:hAnsi="Arial" w:cs="Arial"/>
        </w:rPr>
        <w:t xml:space="preserve">However, it is also crucial for the discussion to acknowledge other social factors that may contribute to racial disparities in crime rates, </w:t>
      </w:r>
      <w:proofErr w:type="gramStart"/>
      <w:r w:rsidR="00EC0F55" w:rsidRPr="00EC0F55">
        <w:rPr>
          <w:rFonts w:ascii="Arial" w:hAnsi="Arial" w:cs="Arial"/>
        </w:rPr>
        <w:t>in order to</w:t>
      </w:r>
      <w:proofErr w:type="gramEnd"/>
      <w:r w:rsidR="00EC0F55" w:rsidRPr="00EC0F55">
        <w:rPr>
          <w:rFonts w:ascii="Arial" w:hAnsi="Arial" w:cs="Arial"/>
        </w:rPr>
        <w:t xml:space="preserve"> present a more balanced argument.</w:t>
      </w:r>
      <w:r w:rsidR="00EC0F55">
        <w:rPr>
          <w:rFonts w:ascii="Arial" w:hAnsi="Arial" w:cs="Arial"/>
        </w:rPr>
        <w:t xml:space="preserve"> </w:t>
      </w:r>
      <w:r w:rsidR="00EC0F55" w:rsidRPr="00EC0F55">
        <w:rPr>
          <w:rFonts w:ascii="Arial" w:hAnsi="Arial" w:cs="Arial"/>
        </w:rPr>
        <w:t>Furthermore, it is important to consider the impact of historical and systemic racism on the criminal justice system and its practices, such as redlining, discriminatory policing, and mass incarceration. These factors may contribute to the over-representation of Black and other minority people in the criminal justice system, which may influence the apparent relationship between race and crime rates (Alexander, 2010).</w:t>
      </w:r>
      <w:r w:rsidR="00EC0F55">
        <w:rPr>
          <w:rFonts w:ascii="Arial" w:hAnsi="Arial" w:cs="Arial"/>
        </w:rPr>
        <w:t xml:space="preserve"> </w:t>
      </w:r>
      <w:r w:rsidR="00EC0F55" w:rsidRPr="00EC0F55">
        <w:rPr>
          <w:rFonts w:ascii="Arial" w:hAnsi="Arial" w:cs="Arial"/>
        </w:rPr>
        <w:t xml:space="preserve">Thus, future research should aim to address these complex and multifaceted issues </w:t>
      </w:r>
      <w:proofErr w:type="gramStart"/>
      <w:r w:rsidR="00EC0F55" w:rsidRPr="00EC0F55">
        <w:rPr>
          <w:rFonts w:ascii="Arial" w:hAnsi="Arial" w:cs="Arial"/>
        </w:rPr>
        <w:t>in order to</w:t>
      </w:r>
      <w:proofErr w:type="gramEnd"/>
      <w:r w:rsidR="00EC0F55" w:rsidRPr="00EC0F55">
        <w:rPr>
          <w:rFonts w:ascii="Arial" w:hAnsi="Arial" w:cs="Arial"/>
        </w:rPr>
        <w:t xml:space="preserve"> provide a more comprehensive understanding of </w:t>
      </w:r>
      <w:r w:rsidR="00EC0F55" w:rsidRPr="00EC0F55">
        <w:rPr>
          <w:rFonts w:ascii="Arial" w:hAnsi="Arial" w:cs="Arial"/>
        </w:rPr>
        <w:lastRenderedPageBreak/>
        <w:t>the relationship between race, crime, and policing, and to inform effective policy solutions that promote equity and justice for all individuals.</w:t>
      </w:r>
    </w:p>
    <w:p w14:paraId="66E3C663" w14:textId="77777777" w:rsidR="001D7CAD" w:rsidRDefault="001D7CAD" w:rsidP="00835C2E">
      <w:pPr>
        <w:pStyle w:val="NormalWeb"/>
        <w:spacing w:line="480" w:lineRule="auto"/>
        <w:jc w:val="both"/>
      </w:pPr>
    </w:p>
    <w:p w14:paraId="398BCC7C" w14:textId="7B86DFB2" w:rsidR="00A24B75" w:rsidRDefault="00A24B75" w:rsidP="00835C2E">
      <w:pPr>
        <w:pStyle w:val="NormalWeb"/>
        <w:spacing w:line="480" w:lineRule="auto"/>
        <w:jc w:val="both"/>
      </w:pPr>
    </w:p>
    <w:p w14:paraId="00409AD1" w14:textId="497FEDCF" w:rsidR="00EC0F55" w:rsidRDefault="00EC0F55" w:rsidP="00835C2E">
      <w:pPr>
        <w:pStyle w:val="NormalWeb"/>
        <w:spacing w:line="480" w:lineRule="auto"/>
        <w:jc w:val="both"/>
      </w:pPr>
    </w:p>
    <w:p w14:paraId="4BD30CA5" w14:textId="7A98F41F" w:rsidR="00EC0F55" w:rsidRDefault="00EC0F55" w:rsidP="00835C2E">
      <w:pPr>
        <w:pStyle w:val="NormalWeb"/>
        <w:spacing w:line="480" w:lineRule="auto"/>
        <w:jc w:val="both"/>
      </w:pPr>
    </w:p>
    <w:p w14:paraId="58DA55D3" w14:textId="4B1B7690" w:rsidR="00EC0F55" w:rsidRDefault="00EC0F55" w:rsidP="00835C2E">
      <w:pPr>
        <w:pStyle w:val="NormalWeb"/>
        <w:spacing w:line="480" w:lineRule="auto"/>
        <w:jc w:val="both"/>
      </w:pPr>
    </w:p>
    <w:p w14:paraId="77A05644" w14:textId="5D1A5461" w:rsidR="00EC0F55" w:rsidRDefault="00EC0F55" w:rsidP="00835C2E">
      <w:pPr>
        <w:pStyle w:val="NormalWeb"/>
        <w:spacing w:line="480" w:lineRule="auto"/>
        <w:jc w:val="both"/>
      </w:pPr>
    </w:p>
    <w:p w14:paraId="5623F9CF" w14:textId="3D335B9B" w:rsidR="00EC0F55" w:rsidRDefault="00EC0F55" w:rsidP="00835C2E">
      <w:pPr>
        <w:pStyle w:val="NormalWeb"/>
        <w:spacing w:line="480" w:lineRule="auto"/>
        <w:jc w:val="both"/>
      </w:pPr>
    </w:p>
    <w:p w14:paraId="764E283D" w14:textId="2F6AB1AF" w:rsidR="00EC0F55" w:rsidRDefault="00EC0F55" w:rsidP="00835C2E">
      <w:pPr>
        <w:pStyle w:val="NormalWeb"/>
        <w:spacing w:line="480" w:lineRule="auto"/>
        <w:jc w:val="both"/>
      </w:pPr>
    </w:p>
    <w:p w14:paraId="2B2F546D" w14:textId="51C6A8DF" w:rsidR="00EC0F55" w:rsidRDefault="00EC0F55" w:rsidP="00835C2E">
      <w:pPr>
        <w:pStyle w:val="NormalWeb"/>
        <w:spacing w:line="480" w:lineRule="auto"/>
        <w:jc w:val="both"/>
      </w:pPr>
    </w:p>
    <w:p w14:paraId="4D495398" w14:textId="1118CD3B" w:rsidR="00EC0F55" w:rsidRDefault="00EC0F55" w:rsidP="00835C2E">
      <w:pPr>
        <w:pStyle w:val="NormalWeb"/>
        <w:spacing w:line="480" w:lineRule="auto"/>
        <w:jc w:val="both"/>
      </w:pPr>
    </w:p>
    <w:p w14:paraId="7F861032" w14:textId="55283E1B" w:rsidR="00EC0F55" w:rsidRDefault="00EC0F55" w:rsidP="00835C2E">
      <w:pPr>
        <w:pStyle w:val="NormalWeb"/>
        <w:spacing w:line="480" w:lineRule="auto"/>
        <w:jc w:val="both"/>
      </w:pPr>
    </w:p>
    <w:p w14:paraId="03E37A0A" w14:textId="48CD7825" w:rsidR="00EC0F55" w:rsidRDefault="00EC0F55" w:rsidP="00835C2E">
      <w:pPr>
        <w:pStyle w:val="NormalWeb"/>
        <w:spacing w:line="480" w:lineRule="auto"/>
        <w:jc w:val="both"/>
      </w:pPr>
    </w:p>
    <w:p w14:paraId="0D870B38" w14:textId="10C62CC7" w:rsidR="00EC0F55" w:rsidRDefault="00EC0F55" w:rsidP="00835C2E">
      <w:pPr>
        <w:pStyle w:val="NormalWeb"/>
        <w:spacing w:line="480" w:lineRule="auto"/>
        <w:jc w:val="both"/>
      </w:pPr>
    </w:p>
    <w:p w14:paraId="1DB08212" w14:textId="177AB3B9" w:rsidR="00EC0F55" w:rsidRDefault="00EC0F55" w:rsidP="00835C2E">
      <w:pPr>
        <w:pStyle w:val="NormalWeb"/>
        <w:spacing w:line="480" w:lineRule="auto"/>
        <w:jc w:val="both"/>
      </w:pPr>
    </w:p>
    <w:p w14:paraId="2D72C00A" w14:textId="69FDBD4D" w:rsidR="00A42D27" w:rsidRDefault="00A42D27" w:rsidP="00DA4A9C">
      <w:pPr>
        <w:spacing w:line="240" w:lineRule="auto"/>
      </w:pPr>
    </w:p>
    <w:p w14:paraId="46542490" w14:textId="77777777" w:rsidR="00EC0F55" w:rsidRDefault="00EC0F55" w:rsidP="00DA4A9C">
      <w:pPr>
        <w:spacing w:line="240" w:lineRule="auto"/>
      </w:pPr>
    </w:p>
    <w:p w14:paraId="3A815B90" w14:textId="5DB4DE8F" w:rsidR="00DA4A9C" w:rsidRPr="002A684E" w:rsidRDefault="005A5A04" w:rsidP="00DA4A9C">
      <w:pPr>
        <w:spacing w:line="240" w:lineRule="auto"/>
        <w:rPr>
          <w:b/>
          <w:bCs/>
        </w:rPr>
      </w:pPr>
      <w:r>
        <w:lastRenderedPageBreak/>
        <w:t xml:space="preserve">Reference List </w:t>
      </w:r>
    </w:p>
    <w:p w14:paraId="4F2BC51A" w14:textId="617B3082" w:rsidR="00EC0F55" w:rsidRDefault="00EC0F55" w:rsidP="00DA4A9C">
      <w:pPr>
        <w:spacing w:line="240" w:lineRule="auto"/>
      </w:pPr>
      <w:r>
        <w:t xml:space="preserve"> </w:t>
      </w:r>
    </w:p>
    <w:p w14:paraId="4E00DBC5" w14:textId="406446AD" w:rsidR="00EC0F55" w:rsidRDefault="00EC0F55" w:rsidP="00EC0F55">
      <w:pPr>
        <w:spacing w:line="240" w:lineRule="auto"/>
        <w:ind w:left="360"/>
      </w:pPr>
      <w:r>
        <w:t xml:space="preserve">Alexander, M. (2010). The Jim Crow: Mass Incarceration in the Age of </w:t>
      </w:r>
      <w:proofErr w:type="spellStart"/>
      <w:r>
        <w:t>Color</w:t>
      </w:r>
      <w:proofErr w:type="spellEnd"/>
      <w:r>
        <w:t xml:space="preserve">-blindness. Available at: </w:t>
      </w:r>
      <w:hyperlink r:id="rId7" w:history="1">
        <w:r w:rsidRPr="00575723">
          <w:rPr>
            <w:rStyle w:val="Hyperlink"/>
          </w:rPr>
          <w:t>https://www.ojp.gov/ncjrs/virtual-library/abstracts/new-jim-crow-mass-incarceration-age-colorblindness</w:t>
        </w:r>
      </w:hyperlink>
      <w:r>
        <w:t xml:space="preserve"> </w:t>
      </w:r>
      <w:r>
        <w:t>(</w:t>
      </w:r>
      <w:r w:rsidRPr="001F62AC">
        <w:t>Accessed: 2</w:t>
      </w:r>
      <w:r>
        <w:t>8</w:t>
      </w:r>
      <w:r w:rsidRPr="001F62AC">
        <w:t xml:space="preserve"> February 2023</w:t>
      </w:r>
      <w:r>
        <w:t>).</w:t>
      </w:r>
    </w:p>
    <w:p w14:paraId="599089CB" w14:textId="0E91ED43" w:rsidR="005A5A04" w:rsidRDefault="005A5A04" w:rsidP="005A5A04">
      <w:pPr>
        <w:spacing w:line="240" w:lineRule="auto"/>
        <w:ind w:left="360"/>
      </w:pPr>
      <w:r>
        <w:t xml:space="preserve">Adams, M. S., Johnson, J. D. and Evans, D. T. (1998). ‘Racial Differences in Informal </w:t>
      </w:r>
      <w:proofErr w:type="spellStart"/>
      <w:r>
        <w:t>Labeling</w:t>
      </w:r>
      <w:proofErr w:type="spellEnd"/>
      <w:r>
        <w:t xml:space="preserve"> Effects’, </w:t>
      </w:r>
      <w:r w:rsidRPr="005A5A04">
        <w:rPr>
          <w:i/>
          <w:iCs/>
        </w:rPr>
        <w:t xml:space="preserve">Deviant Behaviour, </w:t>
      </w:r>
      <w:r>
        <w:t xml:space="preserve">19(2), pp. 157-171. Available at: </w:t>
      </w:r>
      <w:hyperlink r:id="rId8" w:history="1">
        <w:r w:rsidRPr="0046324F">
          <w:rPr>
            <w:rStyle w:val="Hyperlink"/>
          </w:rPr>
          <w:t>https://www.tandfonline.com/doi/abs/10.1080/01639625.1998.9968081</w:t>
        </w:r>
      </w:hyperlink>
      <w:r>
        <w:t xml:space="preserve"> (</w:t>
      </w:r>
      <w:r w:rsidRPr="001F62AC">
        <w:t>Accessed: 22 February 2023</w:t>
      </w:r>
      <w:r>
        <w:t xml:space="preserve">). </w:t>
      </w:r>
    </w:p>
    <w:p w14:paraId="19031514" w14:textId="77777777" w:rsidR="005A5A04" w:rsidRDefault="005A5A04" w:rsidP="005A5A04">
      <w:pPr>
        <w:spacing w:line="240" w:lineRule="auto"/>
        <w:ind w:left="360"/>
      </w:pPr>
      <w:r>
        <w:t xml:space="preserve">Bernburg, J. G. (2009). </w:t>
      </w:r>
      <w:proofErr w:type="spellStart"/>
      <w:r>
        <w:t>Labeling</w:t>
      </w:r>
      <w:proofErr w:type="spellEnd"/>
      <w:r>
        <w:t xml:space="preserve"> Theory. Available at: </w:t>
      </w:r>
      <w:hyperlink r:id="rId9" w:history="1">
        <w:r w:rsidRPr="00982D15">
          <w:rPr>
            <w:rStyle w:val="Hyperlink"/>
          </w:rPr>
          <w:t>https://www.researchgate.net/publication/226795096_Labeling_Theory</w:t>
        </w:r>
      </w:hyperlink>
      <w:r>
        <w:t xml:space="preserve"> (Accessed: 20 February 2023).</w:t>
      </w:r>
    </w:p>
    <w:p w14:paraId="264C5C0F" w14:textId="77777777" w:rsidR="005A5A04" w:rsidRDefault="005A5A04" w:rsidP="005A5A04">
      <w:pPr>
        <w:spacing w:line="240" w:lineRule="auto"/>
        <w:ind w:left="360"/>
      </w:pPr>
      <w:proofErr w:type="spellStart"/>
      <w:r>
        <w:t>Besemer</w:t>
      </w:r>
      <w:proofErr w:type="spellEnd"/>
      <w:r>
        <w:t xml:space="preserve">, S., Farrington, D. and </w:t>
      </w:r>
      <w:proofErr w:type="spellStart"/>
      <w:r>
        <w:t>Bijleveld</w:t>
      </w:r>
      <w:proofErr w:type="spellEnd"/>
      <w:r>
        <w:t xml:space="preserve">, C. (2017). ‘Labelling and Intergenerational Transmission of Crime: The Interaction Between Criminal Justice Intervention and a Convicted Parent’, </w:t>
      </w:r>
      <w:proofErr w:type="spellStart"/>
      <w:r w:rsidRPr="005A5A04">
        <w:rPr>
          <w:i/>
          <w:iCs/>
        </w:rPr>
        <w:t>PLoS</w:t>
      </w:r>
      <w:proofErr w:type="spellEnd"/>
      <w:r w:rsidRPr="005A5A04">
        <w:rPr>
          <w:i/>
          <w:iCs/>
        </w:rPr>
        <w:t xml:space="preserve"> One, </w:t>
      </w:r>
      <w:r>
        <w:t xml:space="preserve">12(3). Available at: </w:t>
      </w:r>
      <w:hyperlink r:id="rId10" w:history="1">
        <w:r w:rsidRPr="00F249C7">
          <w:rPr>
            <w:rStyle w:val="Hyperlink"/>
          </w:rPr>
          <w:t>https://www.ncbi.nlm.nih.gov/pmc/articles/PMC5342201/pdf/pone.0172419.pdf</w:t>
        </w:r>
      </w:hyperlink>
      <w:r>
        <w:t xml:space="preserve"> (</w:t>
      </w:r>
      <w:r w:rsidRPr="001F62AC">
        <w:t>Accessed: 22 February 2023</w:t>
      </w:r>
      <w:r>
        <w:t xml:space="preserve">). </w:t>
      </w:r>
    </w:p>
    <w:p w14:paraId="5A748357" w14:textId="77777777" w:rsidR="005A5A04" w:rsidRDefault="005A5A04" w:rsidP="005A5A04">
      <w:pPr>
        <w:spacing w:line="240" w:lineRule="auto"/>
        <w:ind w:left="360"/>
      </w:pPr>
      <w:r>
        <w:t xml:space="preserve">Black, J. (2018). ‘The Subjective and Objective Violence of Terrorism: Analysing “British Values” in Newspaper Coverage of the 2017 London Bridge Attack’, </w:t>
      </w:r>
      <w:r w:rsidRPr="005A5A04">
        <w:rPr>
          <w:i/>
          <w:iCs/>
        </w:rPr>
        <w:t xml:space="preserve">Critical Studies on Terrorism, </w:t>
      </w:r>
      <w:r>
        <w:t xml:space="preserve">2(12), pp. 228-249. Available at: </w:t>
      </w:r>
      <w:hyperlink r:id="rId11" w:anchor=":~:text=%5BGoogle%20Scholar%5D%2C%2059),against%20members%20of%20the%20public" w:history="1">
        <w:r w:rsidRPr="00F249C7">
          <w:rPr>
            <w:rStyle w:val="Hyperlink"/>
          </w:rPr>
          <w:t>https://www.tandfonline.com/doi/abs/10.1080/17539153.2018.1498191?journalCode=rter20#:~:text=%5BGoogle%20Scholar%5D%2C%2059),against%20members%20of%20the%20public</w:t>
        </w:r>
      </w:hyperlink>
      <w:r w:rsidRPr="0081671A">
        <w:t>.</w:t>
      </w:r>
      <w:r>
        <w:t xml:space="preserve"> (</w:t>
      </w:r>
      <w:r w:rsidRPr="001F62AC">
        <w:t>Accessed: 22 February 2023</w:t>
      </w:r>
      <w:r>
        <w:t xml:space="preserve">). </w:t>
      </w:r>
    </w:p>
    <w:p w14:paraId="42DF7CEB" w14:textId="77777777" w:rsidR="005A5A04" w:rsidRDefault="005A5A04" w:rsidP="005A5A04">
      <w:pPr>
        <w:spacing w:line="240" w:lineRule="auto"/>
        <w:ind w:left="360"/>
      </w:pPr>
      <w:proofErr w:type="spellStart"/>
      <w:r>
        <w:t>Broadwater</w:t>
      </w:r>
      <w:proofErr w:type="spellEnd"/>
      <w:r>
        <w:t xml:space="preserve">, L. (2021). Lack of Training Led Capitol Police to Temper Riot Response, Watchdog Says. Available at: </w:t>
      </w:r>
      <w:hyperlink r:id="rId12" w:history="1">
        <w:r w:rsidRPr="0046324F">
          <w:rPr>
            <w:rStyle w:val="Hyperlink"/>
          </w:rPr>
          <w:t>https://www.nytimes.com/2021/04/15/us/capitol-police-riot-training.html</w:t>
        </w:r>
      </w:hyperlink>
      <w:r>
        <w:t xml:space="preserve"> (</w:t>
      </w:r>
      <w:r w:rsidRPr="001F62AC">
        <w:t>Accessed: 22 February 2023</w:t>
      </w:r>
      <w:r>
        <w:t>).</w:t>
      </w:r>
    </w:p>
    <w:p w14:paraId="12C814D2" w14:textId="77777777" w:rsidR="005A5A04" w:rsidRDefault="005A5A04" w:rsidP="005A5A04">
      <w:pPr>
        <w:spacing w:line="240" w:lineRule="auto"/>
        <w:ind w:left="360"/>
      </w:pPr>
      <w:r w:rsidRPr="001F62AC">
        <w:t xml:space="preserve">Chavez, J. M. and </w:t>
      </w:r>
      <w:proofErr w:type="spellStart"/>
      <w:r w:rsidRPr="001F62AC">
        <w:t>Rocheleau</w:t>
      </w:r>
      <w:proofErr w:type="spellEnd"/>
      <w:r w:rsidRPr="001F62AC">
        <w:t>, G. C. (2020) ‘</w:t>
      </w:r>
      <w:r w:rsidRPr="005A5A04">
        <w:rPr>
          <w:shd w:val="clear" w:color="auto" w:fill="FFFFFF"/>
        </w:rPr>
        <w:t xml:space="preserve">Formal </w:t>
      </w:r>
      <w:proofErr w:type="spellStart"/>
      <w:r w:rsidRPr="005A5A04">
        <w:rPr>
          <w:shd w:val="clear" w:color="auto" w:fill="FFFFFF"/>
        </w:rPr>
        <w:t>Labeling</w:t>
      </w:r>
      <w:proofErr w:type="spellEnd"/>
      <w:r w:rsidRPr="005A5A04">
        <w:rPr>
          <w:shd w:val="clear" w:color="auto" w:fill="FFFFFF"/>
        </w:rPr>
        <w:t>, Deviant Peers, and Race/Ethnicity: An Examination of Racial and Ethnic Differences in the Process of Secondary Deviance’, </w:t>
      </w:r>
      <w:r w:rsidRPr="005A5A04">
        <w:rPr>
          <w:i/>
          <w:iCs/>
          <w:shd w:val="clear" w:color="auto" w:fill="FFFFFF"/>
        </w:rPr>
        <w:t>Race and Justice</w:t>
      </w:r>
      <w:r w:rsidRPr="005A5A04">
        <w:rPr>
          <w:shd w:val="clear" w:color="auto" w:fill="FFFFFF"/>
        </w:rPr>
        <w:t>, </w:t>
      </w:r>
      <w:r w:rsidRPr="005A5A04">
        <w:rPr>
          <w:i/>
          <w:iCs/>
          <w:shd w:val="clear" w:color="auto" w:fill="FFFFFF"/>
        </w:rPr>
        <w:t>10</w:t>
      </w:r>
      <w:r w:rsidRPr="005A5A04">
        <w:rPr>
          <w:shd w:val="clear" w:color="auto" w:fill="FFFFFF"/>
        </w:rPr>
        <w:t xml:space="preserve">(1), pp. 62–86. Available at: </w:t>
      </w:r>
      <w:hyperlink r:id="rId13" w:history="1">
        <w:r w:rsidRPr="005A5A04">
          <w:rPr>
            <w:rStyle w:val="Hyperlink"/>
            <w:shd w:val="clear" w:color="auto" w:fill="FFFFFF"/>
          </w:rPr>
          <w:t>https://journals.sagepub.com/doi/full/10.1177/2153368717727122</w:t>
        </w:r>
      </w:hyperlink>
      <w:r w:rsidRPr="005A5A04">
        <w:rPr>
          <w:color w:val="333333"/>
          <w:shd w:val="clear" w:color="auto" w:fill="FFFFFF"/>
        </w:rPr>
        <w:t xml:space="preserve"> </w:t>
      </w:r>
      <w:r w:rsidRPr="001F62AC">
        <w:t>(Accessed: 22 February 2023</w:t>
      </w:r>
      <w:r>
        <w:t>).</w:t>
      </w:r>
    </w:p>
    <w:p w14:paraId="20D380C7" w14:textId="77777777" w:rsidR="005A5A04" w:rsidRDefault="005A5A04" w:rsidP="005A5A04">
      <w:pPr>
        <w:spacing w:line="240" w:lineRule="auto"/>
        <w:ind w:left="360"/>
      </w:pPr>
      <w:r>
        <w:t xml:space="preserve">Duignan, B. (2023) ‘January 6 U.S. Capitol Attack’, </w:t>
      </w:r>
      <w:r w:rsidRPr="005A5A04">
        <w:rPr>
          <w:i/>
          <w:iCs/>
        </w:rPr>
        <w:t xml:space="preserve">Encyclopaedia Britannica. </w:t>
      </w:r>
      <w:r>
        <w:t xml:space="preserve">Available at: </w:t>
      </w:r>
      <w:hyperlink r:id="rId14" w:history="1">
        <w:r w:rsidRPr="0046324F">
          <w:rPr>
            <w:rStyle w:val="Hyperlink"/>
          </w:rPr>
          <w:t>https://www.britannica.com/event/January-6-U-S-Capitol-attack</w:t>
        </w:r>
      </w:hyperlink>
      <w:r>
        <w:t xml:space="preserve"> </w:t>
      </w:r>
      <w:r w:rsidRPr="001F62AC">
        <w:t>(Accessed: 22 February 2023</w:t>
      </w:r>
      <w:r>
        <w:t>).</w:t>
      </w:r>
    </w:p>
    <w:p w14:paraId="6D000684" w14:textId="77777777" w:rsidR="005A5A04" w:rsidRDefault="005A5A04" w:rsidP="005A5A04">
      <w:pPr>
        <w:spacing w:line="240" w:lineRule="auto"/>
        <w:ind w:left="360"/>
      </w:pPr>
      <w:r>
        <w:t>Gay, D. (2000). ‘</w:t>
      </w:r>
      <w:proofErr w:type="spellStart"/>
      <w:r>
        <w:t>Labeling</w:t>
      </w:r>
      <w:proofErr w:type="spellEnd"/>
      <w:r>
        <w:t xml:space="preserve"> Theory: The New Perspective’, </w:t>
      </w:r>
      <w:r w:rsidRPr="005A5A04">
        <w:rPr>
          <w:i/>
          <w:iCs/>
        </w:rPr>
        <w:t xml:space="preserve">The Corinthian, </w:t>
      </w:r>
      <w:r>
        <w:t xml:space="preserve">2(1), pp. 1-18. Available at: </w:t>
      </w:r>
      <w:hyperlink r:id="rId15" w:history="1">
        <w:r w:rsidRPr="00982D15">
          <w:rPr>
            <w:rStyle w:val="Hyperlink"/>
          </w:rPr>
          <w:t>https://kb.gcsu.edu/cgi/viewcontent.cgi?article=1130&amp;context=thecorinthian</w:t>
        </w:r>
      </w:hyperlink>
      <w:r>
        <w:t xml:space="preserve"> (Accessed: 20 February 2023). </w:t>
      </w:r>
    </w:p>
    <w:p w14:paraId="3506E6F2" w14:textId="77777777" w:rsidR="005A5A04" w:rsidRDefault="005A5A04" w:rsidP="005A5A04">
      <w:pPr>
        <w:spacing w:line="240" w:lineRule="auto"/>
        <w:ind w:left="360"/>
      </w:pPr>
      <w:r>
        <w:t>Goode, E. (2015). Deviant Behaviour: 10</w:t>
      </w:r>
      <w:r w:rsidRPr="005A5A04">
        <w:rPr>
          <w:vertAlign w:val="superscript"/>
        </w:rPr>
        <w:t>th</w:t>
      </w:r>
      <w:r>
        <w:t xml:space="preserve"> Edition. Available at: </w:t>
      </w:r>
      <w:hyperlink r:id="rId16" w:anchor="citations" w:history="1">
        <w:r w:rsidRPr="00982D15">
          <w:rPr>
            <w:rStyle w:val="Hyperlink"/>
          </w:rPr>
          <w:t>https://www.researchgate.net/publication/283871630_Deviant_behavior_10th_edition#citations</w:t>
        </w:r>
      </w:hyperlink>
      <w:r>
        <w:t xml:space="preserve"> (Accessed: 20 February 2023).</w:t>
      </w:r>
    </w:p>
    <w:p w14:paraId="64D6A874" w14:textId="77777777" w:rsidR="005A5A04" w:rsidRDefault="005A5A04" w:rsidP="005A5A04">
      <w:pPr>
        <w:spacing w:line="240" w:lineRule="auto"/>
        <w:ind w:left="360"/>
      </w:pPr>
      <w:proofErr w:type="spellStart"/>
      <w:r>
        <w:lastRenderedPageBreak/>
        <w:t>Harned</w:t>
      </w:r>
      <w:proofErr w:type="spellEnd"/>
      <w:r>
        <w:t xml:space="preserve">, L. S. (2021). ‘The US is falling apart’: How Russian Media is Portraying the US Capitol Siege. Available at: </w:t>
      </w:r>
      <w:hyperlink r:id="rId17" w:history="1">
        <w:r w:rsidRPr="0046324F">
          <w:rPr>
            <w:rStyle w:val="Hyperlink"/>
          </w:rPr>
          <w:t>https://theconversation.com/the-us-is-falling-apart-how-russian-media-is-portraying-the-us-capitol-siege-153158</w:t>
        </w:r>
      </w:hyperlink>
      <w:r>
        <w:t xml:space="preserve"> </w:t>
      </w:r>
      <w:r w:rsidRPr="001F62AC">
        <w:t>(Accessed: 22 February 2023</w:t>
      </w:r>
      <w:r>
        <w:t>).</w:t>
      </w:r>
    </w:p>
    <w:p w14:paraId="1A09627A" w14:textId="77777777" w:rsidR="005A5A04" w:rsidRDefault="005A5A04" w:rsidP="005A5A04">
      <w:pPr>
        <w:spacing w:line="240" w:lineRule="auto"/>
        <w:ind w:left="360"/>
      </w:pPr>
      <w:r>
        <w:t xml:space="preserve">Hawkins, D. </w:t>
      </w:r>
      <w:proofErr w:type="gramStart"/>
      <w:r>
        <w:t>F.</w:t>
      </w:r>
      <w:proofErr w:type="gramEnd"/>
      <w:r>
        <w:t xml:space="preserve"> and </w:t>
      </w:r>
      <w:proofErr w:type="spellStart"/>
      <w:r>
        <w:t>Laub</w:t>
      </w:r>
      <w:proofErr w:type="spellEnd"/>
      <w:r>
        <w:t xml:space="preserve"> K. H., and Lauritsen, J. L. (1998) ‘Race, Ethnicity and Serious Juvenile Offending’, in </w:t>
      </w:r>
      <w:proofErr w:type="spellStart"/>
      <w:r>
        <w:t>Loeber</w:t>
      </w:r>
      <w:proofErr w:type="spellEnd"/>
      <w:r>
        <w:t xml:space="preserve">, R. and Farrington, D. P. </w:t>
      </w:r>
      <w:r w:rsidRPr="005A5A04">
        <w:rPr>
          <w:i/>
          <w:iCs/>
        </w:rPr>
        <w:t xml:space="preserve">Serious and Violent Juvenile Offenders: Risk Factors and Successful Interventions. Thousand Oaks, </w:t>
      </w:r>
      <w:r>
        <w:t xml:space="preserve">California: Sage Publications. Available at: </w:t>
      </w:r>
      <w:hyperlink r:id="rId18" w:anchor="v=onepage&amp;q&amp;f=false" w:history="1">
        <w:r w:rsidRPr="00500005">
          <w:rPr>
            <w:rStyle w:val="Hyperlink"/>
          </w:rPr>
          <w:t>https://books.google.co.uk/books?hl=en&amp;lr=&amp;id=dkZ2AwAAQBAJ&amp;oi=fnd&amp;pg=PP1&amp;ots=pA0H5lqnro&amp;sig=k8SZCex0fasH5XmVm7nPie8UBWI&amp;redir_esc=y#v=onepage&amp;q&amp;f=false</w:t>
        </w:r>
      </w:hyperlink>
      <w:r>
        <w:t xml:space="preserve"> (Accessed: 22 February 2023).</w:t>
      </w:r>
    </w:p>
    <w:p w14:paraId="7513B138" w14:textId="77777777" w:rsidR="005A5A04" w:rsidRDefault="005A5A04" w:rsidP="005A5A04">
      <w:pPr>
        <w:spacing w:line="240" w:lineRule="auto"/>
        <w:ind w:left="360"/>
      </w:pPr>
      <w:r w:rsidRPr="000C4969">
        <w:t>Her Majesty's Inspectorate of Constabulary and Fire &amp; Rescue Services</w:t>
      </w:r>
      <w:r>
        <w:t xml:space="preserve"> (2021). Disproportionate Use of Police Powers. A Spotlight on Stop and Search and the Use of Force. Available at: </w:t>
      </w:r>
      <w:hyperlink r:id="rId19" w:history="1">
        <w:r w:rsidRPr="00D87B50">
          <w:rPr>
            <w:rStyle w:val="Hyperlink"/>
          </w:rPr>
          <w:t>https://www.justiceinspectorates.gov.uk/hmicfrs/wp-content/uploads/disproportionate-use-of-police-powers-spotlight-on-stop-search-and-use-of-force.pdf</w:t>
        </w:r>
      </w:hyperlink>
      <w:r>
        <w:t xml:space="preserve"> (</w:t>
      </w:r>
      <w:r w:rsidRPr="001F62AC">
        <w:t>Accessed: 2</w:t>
      </w:r>
      <w:r>
        <w:t>8</w:t>
      </w:r>
      <w:r w:rsidRPr="001F62AC">
        <w:t xml:space="preserve"> February 2023</w:t>
      </w:r>
      <w:r>
        <w:t>).</w:t>
      </w:r>
    </w:p>
    <w:p w14:paraId="0F829574" w14:textId="77777777" w:rsidR="005A5A04" w:rsidRDefault="005A5A04" w:rsidP="005A5A04">
      <w:pPr>
        <w:spacing w:line="240" w:lineRule="auto"/>
        <w:ind w:left="360"/>
      </w:pPr>
      <w:r>
        <w:t xml:space="preserve">Hinton, E., Henderson, L. and Reed, C. (2018). An Unjust Burden: The Disparate Treatment of Black Americans in The Criminal Justice System. Available at: </w:t>
      </w:r>
      <w:hyperlink r:id="rId20" w:history="1">
        <w:r w:rsidRPr="00F249C7">
          <w:rPr>
            <w:rStyle w:val="Hyperlink"/>
          </w:rPr>
          <w:t>https://www.vera.org/downloads/publications/for-the-record-unjust-burden-racial-disparities.pdf</w:t>
        </w:r>
      </w:hyperlink>
      <w:r>
        <w:t xml:space="preserve"> (</w:t>
      </w:r>
      <w:r w:rsidRPr="001F62AC">
        <w:t>Accessed: 22 February 2023</w:t>
      </w:r>
      <w:r>
        <w:t xml:space="preserve">). </w:t>
      </w:r>
    </w:p>
    <w:p w14:paraId="1FAC2A08" w14:textId="77777777" w:rsidR="005A5A04" w:rsidRDefault="005A5A04" w:rsidP="005A5A04">
      <w:pPr>
        <w:spacing w:line="240" w:lineRule="auto"/>
        <w:ind w:left="360"/>
      </w:pPr>
      <w:r>
        <w:t>Huebner, B. M. and Bynum, T. S. (2008). ‘The Role of Race and Ethnicity in Parole Decisions’¸</w:t>
      </w:r>
      <w:r w:rsidRPr="005A5A04">
        <w:rPr>
          <w:i/>
          <w:iCs/>
        </w:rPr>
        <w:t xml:space="preserve"> Criminology</w:t>
      </w:r>
      <w:r>
        <w:t xml:space="preserve">, 46(4), pp. 907-938. Available at: </w:t>
      </w:r>
      <w:hyperlink r:id="rId21" w:history="1">
        <w:r w:rsidRPr="003A6853">
          <w:rPr>
            <w:rStyle w:val="Hyperlink"/>
          </w:rPr>
          <w:t>https://onlinelibrary.wiley.com/doi/abs/10.1111/j.1745-9125.2008.00130.x</w:t>
        </w:r>
      </w:hyperlink>
      <w:r>
        <w:t xml:space="preserve"> (Accessed: 22 February 2023). </w:t>
      </w:r>
    </w:p>
    <w:p w14:paraId="2AD532CC" w14:textId="77777777" w:rsidR="005A5A04" w:rsidRDefault="005A5A04" w:rsidP="005A5A04">
      <w:pPr>
        <w:spacing w:line="240" w:lineRule="auto"/>
        <w:ind w:left="360"/>
      </w:pPr>
      <w:r>
        <w:t xml:space="preserve">Hurwitz, J. and </w:t>
      </w:r>
      <w:proofErr w:type="spellStart"/>
      <w:r>
        <w:t>Peffley</w:t>
      </w:r>
      <w:proofErr w:type="spellEnd"/>
      <w:r>
        <w:t xml:space="preserve">, M. (1997). ‘Public Perceptions of Race and Crime: The Role of Racial Stereotypes’, </w:t>
      </w:r>
      <w:r w:rsidRPr="005A5A04">
        <w:rPr>
          <w:i/>
          <w:iCs/>
        </w:rPr>
        <w:t xml:space="preserve">American Journal of Political Science, 41(2) </w:t>
      </w:r>
      <w:r>
        <w:t xml:space="preserve">pp. 375-401. Available at: </w:t>
      </w:r>
      <w:hyperlink r:id="rId22" w:history="1">
        <w:r w:rsidRPr="00F249C7">
          <w:rPr>
            <w:rStyle w:val="Hyperlink"/>
          </w:rPr>
          <w:t>https://www.jstor.org/stable/2111769</w:t>
        </w:r>
      </w:hyperlink>
      <w:r>
        <w:t xml:space="preserve"> (</w:t>
      </w:r>
      <w:r w:rsidRPr="001F62AC">
        <w:t>Accessed: 22 February 2023</w:t>
      </w:r>
      <w:r>
        <w:t xml:space="preserve">). </w:t>
      </w:r>
    </w:p>
    <w:p w14:paraId="500A974C" w14:textId="77777777" w:rsidR="005A5A04" w:rsidRDefault="005A5A04" w:rsidP="005A5A04">
      <w:pPr>
        <w:spacing w:line="240" w:lineRule="auto"/>
        <w:ind w:left="360"/>
      </w:pPr>
      <w:r>
        <w:t xml:space="preserve">Independent Officer for Police Conduct (2022). National Stop and Search Learning Report. Available at: </w:t>
      </w:r>
      <w:hyperlink r:id="rId23" w:history="1">
        <w:r w:rsidRPr="00024D66">
          <w:rPr>
            <w:rStyle w:val="Hyperlink"/>
          </w:rPr>
          <w:t>https://www.policeconduct.gov.uk/sites/default/files/Documents/publications/OFFICIAL%20IOPC%20National%20stop%20and%20search%20learning%20report%2020%20April%202022.pdf</w:t>
        </w:r>
      </w:hyperlink>
      <w:r>
        <w:t xml:space="preserve">  (</w:t>
      </w:r>
      <w:r w:rsidRPr="001F62AC">
        <w:t>Accessed: 2</w:t>
      </w:r>
      <w:r>
        <w:t>8</w:t>
      </w:r>
      <w:r w:rsidRPr="001F62AC">
        <w:t xml:space="preserve"> February 2023</w:t>
      </w:r>
      <w:r>
        <w:t>).</w:t>
      </w:r>
    </w:p>
    <w:p w14:paraId="415B1A9F" w14:textId="77777777" w:rsidR="005A5A04" w:rsidRDefault="005A5A04" w:rsidP="005A5A04">
      <w:pPr>
        <w:spacing w:line="240" w:lineRule="auto"/>
        <w:ind w:left="360"/>
      </w:pPr>
      <w:r>
        <w:t xml:space="preserve">Joseph, K. (2020). ‘Re-Presenting Protestors as Thugs: The Politics of Labelling Dissenting Voices’, </w:t>
      </w:r>
      <w:proofErr w:type="spellStart"/>
      <w:r w:rsidRPr="005A5A04">
        <w:rPr>
          <w:i/>
          <w:iCs/>
        </w:rPr>
        <w:t>Rupkatha</w:t>
      </w:r>
      <w:proofErr w:type="spellEnd"/>
      <w:r w:rsidRPr="005A5A04">
        <w:rPr>
          <w:i/>
          <w:iCs/>
        </w:rPr>
        <w:t xml:space="preserve"> Journal on Interdisciplinary Studies in Humanities, </w:t>
      </w:r>
      <w:r>
        <w:t xml:space="preserve">12(5), pp. 1-6. Available at: </w:t>
      </w:r>
      <w:hyperlink r:id="rId24" w:history="1">
        <w:r w:rsidRPr="00500005">
          <w:rPr>
            <w:rStyle w:val="Hyperlink"/>
          </w:rPr>
          <w:t>https://rupkatha.com/V12/n5/rioc1s2n4.pdf</w:t>
        </w:r>
      </w:hyperlink>
      <w:r>
        <w:t xml:space="preserve"> </w:t>
      </w:r>
      <w:r w:rsidRPr="001F62AC">
        <w:t>(Accessed: 22 February 2023</w:t>
      </w:r>
      <w:r>
        <w:t>).</w:t>
      </w:r>
    </w:p>
    <w:p w14:paraId="5F1921B2" w14:textId="77777777" w:rsidR="005A5A04" w:rsidRDefault="005A5A04" w:rsidP="005A5A04">
      <w:pPr>
        <w:spacing w:line="240" w:lineRule="auto"/>
        <w:ind w:left="360"/>
      </w:pPr>
      <w:r>
        <w:t xml:space="preserve">Knutsson, J. (1977). </w:t>
      </w:r>
      <w:r w:rsidRPr="005A5A04">
        <w:rPr>
          <w:i/>
          <w:iCs/>
        </w:rPr>
        <w:t xml:space="preserve">Labelling Theory. </w:t>
      </w:r>
      <w:r>
        <w:t xml:space="preserve">Scientific Reference Group: Sweden. Available at: </w:t>
      </w:r>
      <w:hyperlink r:id="rId25" w:history="1">
        <w:r>
          <w:rPr>
            <w:rStyle w:val="Hyperlink"/>
          </w:rPr>
          <w:t>47664NCJRS.pdf (ojp.gov)</w:t>
        </w:r>
      </w:hyperlink>
      <w:r>
        <w:t xml:space="preserve"> (Accessed: 22 February 2023). </w:t>
      </w:r>
    </w:p>
    <w:p w14:paraId="622EA4FF" w14:textId="77777777" w:rsidR="005A5A04" w:rsidRDefault="005A5A04" w:rsidP="005A5A04">
      <w:pPr>
        <w:spacing w:line="240" w:lineRule="auto"/>
        <w:ind w:left="360"/>
      </w:pPr>
      <w:proofErr w:type="spellStart"/>
      <w:r>
        <w:t>Legewie</w:t>
      </w:r>
      <w:proofErr w:type="spellEnd"/>
      <w:r>
        <w:t xml:space="preserve">, J. (2016). ‘Racial Profiling and Use of Force in Police Stops: How Local Events Trigger Periods of Increased Discrimination’, </w:t>
      </w:r>
      <w:r w:rsidRPr="005A5A04">
        <w:rPr>
          <w:i/>
          <w:iCs/>
        </w:rPr>
        <w:t xml:space="preserve">American Journal of Sociology, </w:t>
      </w:r>
      <w:r>
        <w:t>122(2), pp. 325-659. (</w:t>
      </w:r>
      <w:r w:rsidRPr="001F62AC">
        <w:t>Accessed: 2</w:t>
      </w:r>
      <w:r>
        <w:t>8</w:t>
      </w:r>
      <w:r w:rsidRPr="001F62AC">
        <w:t xml:space="preserve"> February 2023</w:t>
      </w:r>
      <w:r>
        <w:t xml:space="preserve">). </w:t>
      </w:r>
    </w:p>
    <w:p w14:paraId="327CA3BA" w14:textId="77777777" w:rsidR="005A5A04" w:rsidRDefault="005A5A04" w:rsidP="005A5A04">
      <w:pPr>
        <w:spacing w:line="240" w:lineRule="auto"/>
        <w:ind w:left="360"/>
      </w:pPr>
      <w:r>
        <w:lastRenderedPageBreak/>
        <w:t xml:space="preserve">Lever, A. (2015). Race and Racial Profiling. Available at: </w:t>
      </w:r>
      <w:hyperlink r:id="rId26" w:history="1">
        <w:r w:rsidRPr="00F249C7">
          <w:rPr>
            <w:rStyle w:val="Hyperlink"/>
          </w:rPr>
          <w:t>https://www.researchgate.net/publication/314467743_Race_and_Racial_Profiling</w:t>
        </w:r>
      </w:hyperlink>
      <w:r>
        <w:t xml:space="preserve"> (</w:t>
      </w:r>
      <w:r w:rsidRPr="001F62AC">
        <w:t>Accessed: 22 February 2023</w:t>
      </w:r>
      <w:r>
        <w:t xml:space="preserve">). </w:t>
      </w:r>
    </w:p>
    <w:p w14:paraId="72A1EF48" w14:textId="77777777" w:rsidR="005A5A04" w:rsidRDefault="005A5A04" w:rsidP="005A5A04">
      <w:pPr>
        <w:spacing w:line="240" w:lineRule="auto"/>
        <w:ind w:left="360"/>
      </w:pPr>
      <w:proofErr w:type="spellStart"/>
      <w:r>
        <w:t>Matsueda</w:t>
      </w:r>
      <w:proofErr w:type="spellEnd"/>
      <w:r>
        <w:t xml:space="preserve">, R. L. (1992). ‘Reflected Appraisals, Parental Labelling and Delinquency: Specifying a Symbolic Interactionist Theory’, </w:t>
      </w:r>
      <w:r w:rsidRPr="005A5A04">
        <w:rPr>
          <w:i/>
          <w:iCs/>
        </w:rPr>
        <w:t xml:space="preserve">American Journal of Sociology, </w:t>
      </w:r>
      <w:r>
        <w:t xml:space="preserve">97(6), pp.1577-166. Available at:  </w:t>
      </w:r>
      <w:hyperlink r:id="rId27" w:history="1">
        <w:r w:rsidRPr="007A5D61">
          <w:rPr>
            <w:rStyle w:val="Hyperlink"/>
          </w:rPr>
          <w:t>https://www.journals.uchicago.edu/doi/abs/10.1086/229940</w:t>
        </w:r>
      </w:hyperlink>
      <w:r>
        <w:t xml:space="preserve"> (Accessed: 22 February 2023). </w:t>
      </w:r>
    </w:p>
    <w:p w14:paraId="49659FC2" w14:textId="77777777" w:rsidR="005A5A04" w:rsidRDefault="005A5A04" w:rsidP="005A5A04">
      <w:pPr>
        <w:spacing w:line="240" w:lineRule="auto"/>
        <w:ind w:left="360"/>
      </w:pPr>
      <w:r w:rsidRPr="002E7B6B">
        <w:t xml:space="preserve">Mogul, J. L., Ritchie, A. J., &amp; Whitlock, K. (2011). Queer injustice: The criminalization of </w:t>
      </w:r>
      <w:proofErr w:type="spellStart"/>
      <w:r w:rsidRPr="002E7B6B">
        <w:t>lgbt</w:t>
      </w:r>
      <w:proofErr w:type="spellEnd"/>
      <w:r w:rsidRPr="002E7B6B">
        <w:t xml:space="preserve"> people in the United States. Boston, MA: Beacon Press.</w:t>
      </w:r>
    </w:p>
    <w:p w14:paraId="5AAEA007" w14:textId="77777777" w:rsidR="005A5A04" w:rsidRDefault="005A5A04" w:rsidP="005A5A04">
      <w:pPr>
        <w:spacing w:line="240" w:lineRule="auto"/>
        <w:ind w:left="360"/>
      </w:pPr>
      <w:r>
        <w:t xml:space="preserve">Nunn, K. B. (2002). ‘Race, Crime and the Pool of Surplus Criminality of Why the “Wart on Drugs” Was a “War on Blacks”, </w:t>
      </w:r>
      <w:r w:rsidRPr="005A5A04">
        <w:rPr>
          <w:i/>
          <w:iCs/>
        </w:rPr>
        <w:t xml:space="preserve">Gender, Race and Justice, </w:t>
      </w:r>
      <w:r>
        <w:t xml:space="preserve">6(2), pp. 381-473. Available at: </w:t>
      </w:r>
      <w:hyperlink r:id="rId28" w:history="1">
        <w:r w:rsidRPr="00F249C7">
          <w:rPr>
            <w:rStyle w:val="Hyperlink"/>
          </w:rPr>
          <w:t>https://mronline.org/wp-content/uploads/2019/06/nunn_2002.pdf</w:t>
        </w:r>
      </w:hyperlink>
      <w:r>
        <w:t xml:space="preserve"> (</w:t>
      </w:r>
      <w:r w:rsidRPr="001F62AC">
        <w:t>Accessed: 22 February 2023</w:t>
      </w:r>
      <w:r>
        <w:t xml:space="preserve">). </w:t>
      </w:r>
    </w:p>
    <w:p w14:paraId="783E227A" w14:textId="77777777" w:rsidR="005A5A04" w:rsidRPr="00EF61A7" w:rsidRDefault="005A5A04" w:rsidP="005A5A04">
      <w:pPr>
        <w:spacing w:line="240" w:lineRule="auto"/>
        <w:ind w:left="360"/>
      </w:pPr>
      <w:r>
        <w:t xml:space="preserve">Ramirez, D., McDevitt, J. and Farrell, A. (2000). A Resource Guide on Racial Profiling Data Collection Systems. Available at: </w:t>
      </w:r>
      <w:hyperlink r:id="rId29" w:history="1">
        <w:r w:rsidRPr="0009214B">
          <w:rPr>
            <w:rStyle w:val="Hyperlink"/>
          </w:rPr>
          <w:t>https://www.ojp.gov/pdffiles1/bja/184768.pdf</w:t>
        </w:r>
      </w:hyperlink>
      <w:r>
        <w:t xml:space="preserve"> (</w:t>
      </w:r>
      <w:r w:rsidRPr="001F62AC">
        <w:t>Accessed: 2</w:t>
      </w:r>
      <w:r>
        <w:t>8</w:t>
      </w:r>
      <w:r w:rsidRPr="001F62AC">
        <w:t xml:space="preserve"> February 2023</w:t>
      </w:r>
      <w:r>
        <w:t>).</w:t>
      </w:r>
    </w:p>
    <w:p w14:paraId="02BD9EC8" w14:textId="77777777" w:rsidR="005A5A04" w:rsidRDefault="005A5A04" w:rsidP="005A5A04">
      <w:pPr>
        <w:spacing w:line="240" w:lineRule="auto"/>
        <w:ind w:left="360"/>
      </w:pPr>
      <w:r>
        <w:t xml:space="preserve">Reid, J. A. (2011). ‘Crime and Personality: Personality Theory and Criminality Examined, </w:t>
      </w:r>
      <w:r w:rsidRPr="005A5A04">
        <w:rPr>
          <w:i/>
          <w:iCs/>
        </w:rPr>
        <w:t xml:space="preserve">Inquiries Journal, </w:t>
      </w:r>
      <w:r>
        <w:t xml:space="preserve">3(1). Available at: </w:t>
      </w:r>
      <w:hyperlink r:id="rId30" w:history="1">
        <w:r w:rsidRPr="00F249C7">
          <w:rPr>
            <w:rStyle w:val="Hyperlink"/>
          </w:rPr>
          <w:t>http://www.inquiriesjournal.com/articles/1690/crime-and-personality-personality-theory-and-criminality-examined</w:t>
        </w:r>
      </w:hyperlink>
      <w:r>
        <w:t xml:space="preserve"> (</w:t>
      </w:r>
      <w:r w:rsidRPr="001F62AC">
        <w:t>Accessed: 22 February 2023</w:t>
      </w:r>
      <w:r>
        <w:t xml:space="preserve">). </w:t>
      </w:r>
    </w:p>
    <w:p w14:paraId="3F8106E5" w14:textId="77777777" w:rsidR="005A5A04" w:rsidRDefault="005A5A04" w:rsidP="005A5A04">
      <w:pPr>
        <w:spacing w:line="240" w:lineRule="auto"/>
        <w:ind w:left="360"/>
      </w:pPr>
      <w:r>
        <w:t xml:space="preserve">Sampson, R. J. and </w:t>
      </w:r>
      <w:proofErr w:type="spellStart"/>
      <w:r>
        <w:t>Laub</w:t>
      </w:r>
      <w:proofErr w:type="spellEnd"/>
      <w:r>
        <w:t xml:space="preserve">, J.H. (1997). ‘A Life-Course Theory of Cumulative Disadvantage and the Stability of Delinquency’, </w:t>
      </w:r>
      <w:r w:rsidRPr="005A5A04">
        <w:rPr>
          <w:i/>
          <w:iCs/>
        </w:rPr>
        <w:t xml:space="preserve">Developmental Theories of Crime and Delinquency, </w:t>
      </w:r>
      <w:r>
        <w:t xml:space="preserve">7, pp. 133-161. Available at:  </w:t>
      </w:r>
      <w:hyperlink r:id="rId31" w:history="1">
        <w:r w:rsidRPr="003A6853">
          <w:rPr>
            <w:rStyle w:val="Hyperlink"/>
          </w:rPr>
          <w:t>https://www.taylorfrancis.com/chapters/edit/10.4324/9780203793350-4/life-course-theory-cumulative-disadvantage-stability-delinquency-sampson-robert-laub-john</w:t>
        </w:r>
      </w:hyperlink>
      <w:r>
        <w:t xml:space="preserve"> (Accessed: 22 February 2023). </w:t>
      </w:r>
    </w:p>
    <w:p w14:paraId="53F2476C" w14:textId="77777777" w:rsidR="005A5A04" w:rsidRDefault="005A5A04" w:rsidP="005A5A04">
      <w:pPr>
        <w:spacing w:line="240" w:lineRule="auto"/>
        <w:ind w:left="360"/>
      </w:pPr>
      <w:r>
        <w:t xml:space="preserve">Savopoulos, </w:t>
      </w:r>
      <w:proofErr w:type="gramStart"/>
      <w:r>
        <w:t>P.</w:t>
      </w:r>
      <w:proofErr w:type="gramEnd"/>
      <w:r>
        <w:t xml:space="preserve"> and Lindell A. (2018). ‘Born Criminal? Differences in Structural, Functional and Behavioural Lateralization Between Criminals and </w:t>
      </w:r>
      <w:proofErr w:type="spellStart"/>
      <w:r>
        <w:t>Noncriminals</w:t>
      </w:r>
      <w:proofErr w:type="spellEnd"/>
      <w:r>
        <w:t xml:space="preserve">’, </w:t>
      </w:r>
      <w:r w:rsidRPr="005A5A04">
        <w:rPr>
          <w:i/>
          <w:iCs/>
        </w:rPr>
        <w:t xml:space="preserve">Laterality, </w:t>
      </w:r>
      <w:r>
        <w:t xml:space="preserve">23(6), pp. 738-760. Available at:  </w:t>
      </w:r>
      <w:hyperlink r:id="rId32" w:history="1">
        <w:r w:rsidRPr="00F249C7">
          <w:rPr>
            <w:rStyle w:val="Hyperlink"/>
          </w:rPr>
          <w:t>https://www.tandfonline.com/doi/abs/10.1080/1357650X.2018.1432631?journalCode=plat20</w:t>
        </w:r>
      </w:hyperlink>
      <w:r>
        <w:t xml:space="preserve"> (</w:t>
      </w:r>
      <w:r w:rsidRPr="001F62AC">
        <w:t>Accessed: 22 February 2023</w:t>
      </w:r>
      <w:r>
        <w:t>).</w:t>
      </w:r>
    </w:p>
    <w:p w14:paraId="10AAEEFA" w14:textId="77777777" w:rsidR="005A5A04" w:rsidRDefault="005A5A04" w:rsidP="005A5A04">
      <w:pPr>
        <w:spacing w:line="240" w:lineRule="auto"/>
        <w:ind w:left="360"/>
      </w:pPr>
      <w:r>
        <w:t xml:space="preserve">Smiley, C. J. and </w:t>
      </w:r>
      <w:proofErr w:type="spellStart"/>
      <w:r>
        <w:t>Fakunle</w:t>
      </w:r>
      <w:proofErr w:type="spellEnd"/>
      <w:r>
        <w:t xml:space="preserve">, D. (2016). ‘From brute to thug: the demonization and criminalization of unarmed black male victims in America’, </w:t>
      </w:r>
      <w:r w:rsidRPr="005A5A04">
        <w:rPr>
          <w:i/>
          <w:iCs/>
        </w:rPr>
        <w:t xml:space="preserve">Journal of Human </w:t>
      </w:r>
      <w:proofErr w:type="spellStart"/>
      <w:r w:rsidRPr="005A5A04">
        <w:rPr>
          <w:i/>
          <w:iCs/>
        </w:rPr>
        <w:t>Behavior</w:t>
      </w:r>
      <w:proofErr w:type="spellEnd"/>
      <w:r w:rsidRPr="005A5A04">
        <w:rPr>
          <w:i/>
          <w:iCs/>
        </w:rPr>
        <w:t xml:space="preserve"> in the Social Environment, </w:t>
      </w:r>
      <w:r>
        <w:t xml:space="preserve">26(4), pp. 350-366. Available at: </w:t>
      </w:r>
      <w:hyperlink r:id="rId33" w:history="1">
        <w:r w:rsidRPr="00500005">
          <w:rPr>
            <w:rStyle w:val="Hyperlink"/>
          </w:rPr>
          <w:t>https://www.tandfonline.com/doi/full/10.1080/10911359.2015.1129256</w:t>
        </w:r>
      </w:hyperlink>
      <w:r>
        <w:t xml:space="preserve">  </w:t>
      </w:r>
      <w:r w:rsidRPr="001F62AC">
        <w:t>(Accessed: 22 February 2023</w:t>
      </w:r>
      <w:r>
        <w:t>).</w:t>
      </w:r>
    </w:p>
    <w:p w14:paraId="089EA026" w14:textId="77777777" w:rsidR="005A5A04" w:rsidRDefault="005A5A04" w:rsidP="005A5A04">
      <w:pPr>
        <w:spacing w:line="240" w:lineRule="auto"/>
        <w:ind w:left="360"/>
      </w:pPr>
      <w:r>
        <w:t xml:space="preserve">Walsh, C. (2021). Solving Racial Disparities in Policing. Available at: </w:t>
      </w:r>
      <w:hyperlink r:id="rId34" w:history="1">
        <w:r w:rsidRPr="0009214B">
          <w:rPr>
            <w:rStyle w:val="Hyperlink"/>
          </w:rPr>
          <w:t>https://news.harvard.edu/gazette/story/2021/02/solving-racial-disparities-in-policing/</w:t>
        </w:r>
      </w:hyperlink>
      <w:r>
        <w:t xml:space="preserve"> (</w:t>
      </w:r>
      <w:r w:rsidRPr="001F62AC">
        <w:t>Accessed: 2</w:t>
      </w:r>
      <w:r>
        <w:t>8</w:t>
      </w:r>
      <w:r w:rsidRPr="001F62AC">
        <w:t xml:space="preserve"> February 2023</w:t>
      </w:r>
      <w:r>
        <w:t>).</w:t>
      </w:r>
    </w:p>
    <w:p w14:paraId="4872958A" w14:textId="77777777" w:rsidR="005A5A04" w:rsidRDefault="005A5A04" w:rsidP="005A5A04">
      <w:pPr>
        <w:spacing w:line="240" w:lineRule="auto"/>
        <w:ind w:left="360"/>
      </w:pPr>
      <w:r>
        <w:t xml:space="preserve"> Walsh, J. P. (2020). ‘Social Media and Moral Panics: Assessing the Effects of Technological Change on Societal Reaction’, </w:t>
      </w:r>
      <w:r w:rsidRPr="005A5A04">
        <w:rPr>
          <w:i/>
          <w:iCs/>
        </w:rPr>
        <w:t xml:space="preserve">International Journal of Cultural Studies, </w:t>
      </w:r>
      <w:r>
        <w:t xml:space="preserve">23(6), pp. 840-859. Available at: </w:t>
      </w:r>
      <w:hyperlink r:id="rId35" w:history="1">
        <w:r w:rsidRPr="000300B9">
          <w:rPr>
            <w:rStyle w:val="Hyperlink"/>
          </w:rPr>
          <w:t>https://journals.sagepub.com/doi/full/10.1177/1367877920912257</w:t>
        </w:r>
      </w:hyperlink>
      <w:r>
        <w:t xml:space="preserve"> (</w:t>
      </w:r>
      <w:r w:rsidRPr="001F62AC">
        <w:t>Accessed: 2</w:t>
      </w:r>
      <w:r>
        <w:t>8</w:t>
      </w:r>
      <w:r w:rsidRPr="001F62AC">
        <w:t xml:space="preserve"> February 2023</w:t>
      </w:r>
      <w:r>
        <w:t xml:space="preserve">). </w:t>
      </w:r>
    </w:p>
    <w:p w14:paraId="6EDFB0C3" w14:textId="77777777" w:rsidR="005A5A04" w:rsidRDefault="005A5A04" w:rsidP="005A5A04">
      <w:pPr>
        <w:spacing w:line="240" w:lineRule="auto"/>
        <w:ind w:left="360"/>
      </w:pPr>
      <w:r>
        <w:t xml:space="preserve">Weisburd, D. and Majmundar, M. K. (2018). Policing: Effects on Crime and Communities. Washington, </w:t>
      </w:r>
      <w:proofErr w:type="spellStart"/>
      <w:proofErr w:type="gramStart"/>
      <w:r>
        <w:t>DC:The</w:t>
      </w:r>
      <w:proofErr w:type="spellEnd"/>
      <w:proofErr w:type="gramEnd"/>
      <w:r>
        <w:t xml:space="preserve"> National Academies Press. Available at: </w:t>
      </w:r>
      <w:hyperlink r:id="rId36" w:anchor="ii" w:history="1">
        <w:r w:rsidRPr="00AA4294">
          <w:rPr>
            <w:rStyle w:val="Hyperlink"/>
          </w:rPr>
          <w:t>https://nap.nationalacademies.org/read/24928/chapter/1#ii</w:t>
        </w:r>
      </w:hyperlink>
      <w:r>
        <w:t xml:space="preserve"> (</w:t>
      </w:r>
      <w:r w:rsidRPr="001F62AC">
        <w:t>Accessed: 2</w:t>
      </w:r>
      <w:r>
        <w:t>8</w:t>
      </w:r>
      <w:r w:rsidRPr="001F62AC">
        <w:t xml:space="preserve"> February 2023</w:t>
      </w:r>
      <w:r>
        <w:t xml:space="preserve">). </w:t>
      </w:r>
    </w:p>
    <w:p w14:paraId="168D1CAF" w14:textId="77777777" w:rsidR="005A5A04" w:rsidRDefault="005A5A04" w:rsidP="005A5A04">
      <w:pPr>
        <w:spacing w:line="240" w:lineRule="auto"/>
        <w:ind w:left="360"/>
      </w:pPr>
      <w:r>
        <w:t xml:space="preserve">Wilbanks, W. (1987). </w:t>
      </w:r>
      <w:r w:rsidRPr="005A5A04">
        <w:rPr>
          <w:i/>
          <w:iCs/>
        </w:rPr>
        <w:t>The Myth if a Racist Criminal Justice System.</w:t>
      </w:r>
      <w:r w:rsidRPr="006B678D">
        <w:t xml:space="preserve"> Monterey, California</w:t>
      </w:r>
      <w:r>
        <w:t xml:space="preserve">: Brooks/Cole. Available at: </w:t>
      </w:r>
      <w:hyperlink r:id="rId37" w:history="1">
        <w:r w:rsidRPr="00500005">
          <w:rPr>
            <w:rStyle w:val="Hyperlink"/>
          </w:rPr>
          <w:t>https://journals.sagepub.com/doi/abs/10.1177/104398628700300209?journalCode=ccja</w:t>
        </w:r>
      </w:hyperlink>
      <w:r>
        <w:t xml:space="preserve"> (Accessed: 22 February 2023).</w:t>
      </w:r>
    </w:p>
    <w:p w14:paraId="3E921228" w14:textId="77777777" w:rsidR="005A5A04" w:rsidRDefault="005A5A04" w:rsidP="005A5A04">
      <w:pPr>
        <w:spacing w:line="240" w:lineRule="auto"/>
        <w:ind w:left="360"/>
      </w:pPr>
      <w:r>
        <w:t xml:space="preserve">Williams, R. T. (2021). ‘The Capitol Riot, Racism and the Future of American Democracy’, </w:t>
      </w:r>
      <w:r w:rsidRPr="005A5A04">
        <w:rPr>
          <w:i/>
          <w:iCs/>
        </w:rPr>
        <w:t xml:space="preserve">American University National Security Law Brief, </w:t>
      </w:r>
      <w:r>
        <w:t xml:space="preserve">11(2). Available at: </w:t>
      </w:r>
      <w:hyperlink r:id="rId38" w:history="1">
        <w:r w:rsidRPr="0046324F">
          <w:rPr>
            <w:rStyle w:val="Hyperlink"/>
          </w:rPr>
          <w:t>https://digitalcommons.wcl.american.edu/cgi/viewcontent.cgi?article=1128&amp;context=nslb</w:t>
        </w:r>
      </w:hyperlink>
      <w:r>
        <w:t xml:space="preserve"> </w:t>
      </w:r>
      <w:r w:rsidRPr="001F62AC">
        <w:t>(Accessed: 22 February 2023</w:t>
      </w:r>
      <w:r>
        <w:t>).</w:t>
      </w:r>
    </w:p>
    <w:sectPr w:rsidR="005A5A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C4A40"/>
    <w:multiLevelType w:val="hybridMultilevel"/>
    <w:tmpl w:val="7DB859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7001FB"/>
    <w:multiLevelType w:val="hybridMultilevel"/>
    <w:tmpl w:val="4010F0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1712E2"/>
    <w:multiLevelType w:val="hybridMultilevel"/>
    <w:tmpl w:val="2B189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8E4CF3"/>
    <w:multiLevelType w:val="hybridMultilevel"/>
    <w:tmpl w:val="B964E2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3D72E6"/>
    <w:multiLevelType w:val="hybridMultilevel"/>
    <w:tmpl w:val="178CDB88"/>
    <w:lvl w:ilvl="0" w:tplc="C14C177A">
      <w:start w:val="38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00799D"/>
    <w:multiLevelType w:val="hybridMultilevel"/>
    <w:tmpl w:val="9C02A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3787499">
    <w:abstractNumId w:val="5"/>
  </w:num>
  <w:num w:numId="2" w16cid:durableId="1259095576">
    <w:abstractNumId w:val="2"/>
  </w:num>
  <w:num w:numId="3" w16cid:durableId="1620722353">
    <w:abstractNumId w:val="3"/>
  </w:num>
  <w:num w:numId="4" w16cid:durableId="72162868">
    <w:abstractNumId w:val="4"/>
  </w:num>
  <w:num w:numId="5" w16cid:durableId="1102261086">
    <w:abstractNumId w:val="0"/>
  </w:num>
  <w:num w:numId="6" w16cid:durableId="5485398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E41"/>
    <w:rsid w:val="00007183"/>
    <w:rsid w:val="0001081A"/>
    <w:rsid w:val="000119AC"/>
    <w:rsid w:val="00013099"/>
    <w:rsid w:val="00022FD1"/>
    <w:rsid w:val="0002442F"/>
    <w:rsid w:val="00034353"/>
    <w:rsid w:val="0004237F"/>
    <w:rsid w:val="00042764"/>
    <w:rsid w:val="000428BF"/>
    <w:rsid w:val="000449B5"/>
    <w:rsid w:val="0005564F"/>
    <w:rsid w:val="00056549"/>
    <w:rsid w:val="00063771"/>
    <w:rsid w:val="00076386"/>
    <w:rsid w:val="0008020C"/>
    <w:rsid w:val="00082844"/>
    <w:rsid w:val="0008474B"/>
    <w:rsid w:val="00087435"/>
    <w:rsid w:val="000874CC"/>
    <w:rsid w:val="00087793"/>
    <w:rsid w:val="0009536E"/>
    <w:rsid w:val="000B2907"/>
    <w:rsid w:val="000C4969"/>
    <w:rsid w:val="000C51D5"/>
    <w:rsid w:val="000C5715"/>
    <w:rsid w:val="000D000E"/>
    <w:rsid w:val="000D256B"/>
    <w:rsid w:val="000D456E"/>
    <w:rsid w:val="000D5B1A"/>
    <w:rsid w:val="000D60D1"/>
    <w:rsid w:val="000E13BC"/>
    <w:rsid w:val="000E419C"/>
    <w:rsid w:val="000F0257"/>
    <w:rsid w:val="000F025B"/>
    <w:rsid w:val="000F22A1"/>
    <w:rsid w:val="000F50FA"/>
    <w:rsid w:val="000F57FA"/>
    <w:rsid w:val="0010774C"/>
    <w:rsid w:val="0010778A"/>
    <w:rsid w:val="00107AF1"/>
    <w:rsid w:val="001100C8"/>
    <w:rsid w:val="001141D4"/>
    <w:rsid w:val="001212D9"/>
    <w:rsid w:val="00123318"/>
    <w:rsid w:val="00123A68"/>
    <w:rsid w:val="001279B1"/>
    <w:rsid w:val="00136CFE"/>
    <w:rsid w:val="00137A5C"/>
    <w:rsid w:val="00141691"/>
    <w:rsid w:val="00145248"/>
    <w:rsid w:val="001456D4"/>
    <w:rsid w:val="001541F2"/>
    <w:rsid w:val="001616DD"/>
    <w:rsid w:val="0016536F"/>
    <w:rsid w:val="0017097E"/>
    <w:rsid w:val="00171CDF"/>
    <w:rsid w:val="00172F59"/>
    <w:rsid w:val="001915E0"/>
    <w:rsid w:val="001A2CA5"/>
    <w:rsid w:val="001A31F8"/>
    <w:rsid w:val="001A5707"/>
    <w:rsid w:val="001B3B47"/>
    <w:rsid w:val="001B6399"/>
    <w:rsid w:val="001C5310"/>
    <w:rsid w:val="001C5661"/>
    <w:rsid w:val="001D1F35"/>
    <w:rsid w:val="001D3456"/>
    <w:rsid w:val="001D4526"/>
    <w:rsid w:val="001D7CAD"/>
    <w:rsid w:val="001E128F"/>
    <w:rsid w:val="001E52C1"/>
    <w:rsid w:val="001E58C7"/>
    <w:rsid w:val="001F4E41"/>
    <w:rsid w:val="001F62AC"/>
    <w:rsid w:val="00201E24"/>
    <w:rsid w:val="00204D2A"/>
    <w:rsid w:val="002076D5"/>
    <w:rsid w:val="00211096"/>
    <w:rsid w:val="00212882"/>
    <w:rsid w:val="00215894"/>
    <w:rsid w:val="002208EA"/>
    <w:rsid w:val="00226214"/>
    <w:rsid w:val="00234401"/>
    <w:rsid w:val="002401BD"/>
    <w:rsid w:val="0024579D"/>
    <w:rsid w:val="00245FBC"/>
    <w:rsid w:val="00247838"/>
    <w:rsid w:val="0025185B"/>
    <w:rsid w:val="00253799"/>
    <w:rsid w:val="00261A85"/>
    <w:rsid w:val="0028429B"/>
    <w:rsid w:val="0029103B"/>
    <w:rsid w:val="002A07FA"/>
    <w:rsid w:val="002A684E"/>
    <w:rsid w:val="002B77D0"/>
    <w:rsid w:val="002C4403"/>
    <w:rsid w:val="002D4058"/>
    <w:rsid w:val="002E7B6B"/>
    <w:rsid w:val="002F73AD"/>
    <w:rsid w:val="00300F97"/>
    <w:rsid w:val="0030240B"/>
    <w:rsid w:val="00302DE7"/>
    <w:rsid w:val="00306095"/>
    <w:rsid w:val="00310B76"/>
    <w:rsid w:val="00315E82"/>
    <w:rsid w:val="00334A0E"/>
    <w:rsid w:val="003405FB"/>
    <w:rsid w:val="003549FF"/>
    <w:rsid w:val="0036349F"/>
    <w:rsid w:val="00381BC4"/>
    <w:rsid w:val="00386839"/>
    <w:rsid w:val="003933B0"/>
    <w:rsid w:val="003A1758"/>
    <w:rsid w:val="003A2B6A"/>
    <w:rsid w:val="003B1990"/>
    <w:rsid w:val="003C455A"/>
    <w:rsid w:val="003D7D50"/>
    <w:rsid w:val="003F16EB"/>
    <w:rsid w:val="003F4471"/>
    <w:rsid w:val="00400632"/>
    <w:rsid w:val="00401179"/>
    <w:rsid w:val="00404D9E"/>
    <w:rsid w:val="00406E98"/>
    <w:rsid w:val="00413ED6"/>
    <w:rsid w:val="0041656E"/>
    <w:rsid w:val="00421666"/>
    <w:rsid w:val="0043309E"/>
    <w:rsid w:val="00433145"/>
    <w:rsid w:val="0044066F"/>
    <w:rsid w:val="00451371"/>
    <w:rsid w:val="00464928"/>
    <w:rsid w:val="00472299"/>
    <w:rsid w:val="004754BE"/>
    <w:rsid w:val="004766D9"/>
    <w:rsid w:val="00481EB7"/>
    <w:rsid w:val="004855E7"/>
    <w:rsid w:val="00486FD9"/>
    <w:rsid w:val="004878E8"/>
    <w:rsid w:val="00487FF6"/>
    <w:rsid w:val="00496911"/>
    <w:rsid w:val="004B3A10"/>
    <w:rsid w:val="004B4354"/>
    <w:rsid w:val="004B7A4B"/>
    <w:rsid w:val="004C0476"/>
    <w:rsid w:val="004D1694"/>
    <w:rsid w:val="004D2223"/>
    <w:rsid w:val="004D4823"/>
    <w:rsid w:val="004D6765"/>
    <w:rsid w:val="004D76FA"/>
    <w:rsid w:val="004D79F4"/>
    <w:rsid w:val="004E7A17"/>
    <w:rsid w:val="004F5578"/>
    <w:rsid w:val="004F5877"/>
    <w:rsid w:val="004F5D68"/>
    <w:rsid w:val="004F5DB4"/>
    <w:rsid w:val="00517973"/>
    <w:rsid w:val="005430B5"/>
    <w:rsid w:val="00544E2E"/>
    <w:rsid w:val="005527AA"/>
    <w:rsid w:val="0055297C"/>
    <w:rsid w:val="00570CEE"/>
    <w:rsid w:val="00580198"/>
    <w:rsid w:val="00581AA8"/>
    <w:rsid w:val="005A57C6"/>
    <w:rsid w:val="005A5A04"/>
    <w:rsid w:val="005A68E9"/>
    <w:rsid w:val="005B0C9E"/>
    <w:rsid w:val="005B148A"/>
    <w:rsid w:val="005B1D81"/>
    <w:rsid w:val="005B265F"/>
    <w:rsid w:val="005B5E3A"/>
    <w:rsid w:val="005C25B9"/>
    <w:rsid w:val="005C2C48"/>
    <w:rsid w:val="005D189C"/>
    <w:rsid w:val="005D30C7"/>
    <w:rsid w:val="005E1A19"/>
    <w:rsid w:val="005E2AF7"/>
    <w:rsid w:val="005F1E83"/>
    <w:rsid w:val="005F2E91"/>
    <w:rsid w:val="00616B65"/>
    <w:rsid w:val="00635372"/>
    <w:rsid w:val="006371BD"/>
    <w:rsid w:val="00653133"/>
    <w:rsid w:val="00657C3F"/>
    <w:rsid w:val="00672A4D"/>
    <w:rsid w:val="0067604C"/>
    <w:rsid w:val="00680F5F"/>
    <w:rsid w:val="00682FDA"/>
    <w:rsid w:val="0068513E"/>
    <w:rsid w:val="006865BC"/>
    <w:rsid w:val="006B030F"/>
    <w:rsid w:val="006B255D"/>
    <w:rsid w:val="006B678D"/>
    <w:rsid w:val="006D23DD"/>
    <w:rsid w:val="006E168B"/>
    <w:rsid w:val="006E56D7"/>
    <w:rsid w:val="006F4C9E"/>
    <w:rsid w:val="006F7F3D"/>
    <w:rsid w:val="0070368B"/>
    <w:rsid w:val="00713010"/>
    <w:rsid w:val="0071516F"/>
    <w:rsid w:val="00716420"/>
    <w:rsid w:val="00717D69"/>
    <w:rsid w:val="00722B29"/>
    <w:rsid w:val="00723CD9"/>
    <w:rsid w:val="007559F9"/>
    <w:rsid w:val="00762861"/>
    <w:rsid w:val="00771838"/>
    <w:rsid w:val="00772C84"/>
    <w:rsid w:val="00773605"/>
    <w:rsid w:val="00775594"/>
    <w:rsid w:val="00776104"/>
    <w:rsid w:val="00777B5F"/>
    <w:rsid w:val="0079574E"/>
    <w:rsid w:val="00795B26"/>
    <w:rsid w:val="007A3B94"/>
    <w:rsid w:val="007A526D"/>
    <w:rsid w:val="007A6682"/>
    <w:rsid w:val="007B3976"/>
    <w:rsid w:val="007C10E0"/>
    <w:rsid w:val="007C6FFF"/>
    <w:rsid w:val="007D2899"/>
    <w:rsid w:val="007D69AE"/>
    <w:rsid w:val="007E0E53"/>
    <w:rsid w:val="007E2315"/>
    <w:rsid w:val="007E66A4"/>
    <w:rsid w:val="007F084C"/>
    <w:rsid w:val="007F17F4"/>
    <w:rsid w:val="00801511"/>
    <w:rsid w:val="00802C08"/>
    <w:rsid w:val="008032C8"/>
    <w:rsid w:val="00814FCB"/>
    <w:rsid w:val="0081671A"/>
    <w:rsid w:val="0081718F"/>
    <w:rsid w:val="00823455"/>
    <w:rsid w:val="00835C2E"/>
    <w:rsid w:val="008457E2"/>
    <w:rsid w:val="008546F5"/>
    <w:rsid w:val="00857BE7"/>
    <w:rsid w:val="008629E9"/>
    <w:rsid w:val="00863B5E"/>
    <w:rsid w:val="008649FA"/>
    <w:rsid w:val="0086512E"/>
    <w:rsid w:val="00870FF9"/>
    <w:rsid w:val="00876405"/>
    <w:rsid w:val="00885D68"/>
    <w:rsid w:val="0088705E"/>
    <w:rsid w:val="00890315"/>
    <w:rsid w:val="0089299D"/>
    <w:rsid w:val="008931CB"/>
    <w:rsid w:val="008A2540"/>
    <w:rsid w:val="008A7A5F"/>
    <w:rsid w:val="008C6463"/>
    <w:rsid w:val="008D099A"/>
    <w:rsid w:val="008D2F46"/>
    <w:rsid w:val="008D48A0"/>
    <w:rsid w:val="008D560B"/>
    <w:rsid w:val="008D65D7"/>
    <w:rsid w:val="008E2D9C"/>
    <w:rsid w:val="008F205C"/>
    <w:rsid w:val="008F7A17"/>
    <w:rsid w:val="00900148"/>
    <w:rsid w:val="00905615"/>
    <w:rsid w:val="00906566"/>
    <w:rsid w:val="009111B5"/>
    <w:rsid w:val="00923658"/>
    <w:rsid w:val="00931F81"/>
    <w:rsid w:val="00932826"/>
    <w:rsid w:val="00937F2D"/>
    <w:rsid w:val="0094163D"/>
    <w:rsid w:val="00942393"/>
    <w:rsid w:val="0094351F"/>
    <w:rsid w:val="009445B6"/>
    <w:rsid w:val="00970988"/>
    <w:rsid w:val="00976D22"/>
    <w:rsid w:val="00982A24"/>
    <w:rsid w:val="00986FAD"/>
    <w:rsid w:val="009953B9"/>
    <w:rsid w:val="00995697"/>
    <w:rsid w:val="009970B1"/>
    <w:rsid w:val="009A39BD"/>
    <w:rsid w:val="009A623B"/>
    <w:rsid w:val="009B2F2B"/>
    <w:rsid w:val="009D205E"/>
    <w:rsid w:val="009D4C46"/>
    <w:rsid w:val="009D5A6E"/>
    <w:rsid w:val="009D5AD4"/>
    <w:rsid w:val="009D65AD"/>
    <w:rsid w:val="009D71A1"/>
    <w:rsid w:val="009E0BAC"/>
    <w:rsid w:val="009E128B"/>
    <w:rsid w:val="009E54CE"/>
    <w:rsid w:val="009E6170"/>
    <w:rsid w:val="009F0464"/>
    <w:rsid w:val="00A01905"/>
    <w:rsid w:val="00A019CA"/>
    <w:rsid w:val="00A04304"/>
    <w:rsid w:val="00A10ABC"/>
    <w:rsid w:val="00A1462A"/>
    <w:rsid w:val="00A20AED"/>
    <w:rsid w:val="00A24B75"/>
    <w:rsid w:val="00A25BE1"/>
    <w:rsid w:val="00A318B6"/>
    <w:rsid w:val="00A42D27"/>
    <w:rsid w:val="00A613C5"/>
    <w:rsid w:val="00A6168E"/>
    <w:rsid w:val="00A63611"/>
    <w:rsid w:val="00A64ABE"/>
    <w:rsid w:val="00A7247D"/>
    <w:rsid w:val="00A7398C"/>
    <w:rsid w:val="00A7541E"/>
    <w:rsid w:val="00A80468"/>
    <w:rsid w:val="00A84F6E"/>
    <w:rsid w:val="00A92F0F"/>
    <w:rsid w:val="00A95724"/>
    <w:rsid w:val="00AA31BC"/>
    <w:rsid w:val="00AA713D"/>
    <w:rsid w:val="00AB1EEF"/>
    <w:rsid w:val="00AC12FF"/>
    <w:rsid w:val="00AC1D12"/>
    <w:rsid w:val="00AF6A4E"/>
    <w:rsid w:val="00B02F64"/>
    <w:rsid w:val="00B10B74"/>
    <w:rsid w:val="00B1119E"/>
    <w:rsid w:val="00B17F35"/>
    <w:rsid w:val="00B20D05"/>
    <w:rsid w:val="00B20FF6"/>
    <w:rsid w:val="00B21455"/>
    <w:rsid w:val="00B27470"/>
    <w:rsid w:val="00B30047"/>
    <w:rsid w:val="00B32C62"/>
    <w:rsid w:val="00B379D1"/>
    <w:rsid w:val="00B43402"/>
    <w:rsid w:val="00B44050"/>
    <w:rsid w:val="00B55449"/>
    <w:rsid w:val="00B554EE"/>
    <w:rsid w:val="00B557A9"/>
    <w:rsid w:val="00B56BFE"/>
    <w:rsid w:val="00B6218D"/>
    <w:rsid w:val="00B677BB"/>
    <w:rsid w:val="00B820AD"/>
    <w:rsid w:val="00B84D65"/>
    <w:rsid w:val="00B84DFE"/>
    <w:rsid w:val="00B86042"/>
    <w:rsid w:val="00B91EDA"/>
    <w:rsid w:val="00BB0499"/>
    <w:rsid w:val="00BB37F1"/>
    <w:rsid w:val="00BB39E9"/>
    <w:rsid w:val="00BB4954"/>
    <w:rsid w:val="00BB67FC"/>
    <w:rsid w:val="00BB6A6C"/>
    <w:rsid w:val="00BE151A"/>
    <w:rsid w:val="00BF1F00"/>
    <w:rsid w:val="00C04659"/>
    <w:rsid w:val="00C05DED"/>
    <w:rsid w:val="00C107D7"/>
    <w:rsid w:val="00C2012E"/>
    <w:rsid w:val="00C25F5E"/>
    <w:rsid w:val="00C319B9"/>
    <w:rsid w:val="00C3401A"/>
    <w:rsid w:val="00C54E73"/>
    <w:rsid w:val="00C556C6"/>
    <w:rsid w:val="00C61B26"/>
    <w:rsid w:val="00C623FB"/>
    <w:rsid w:val="00C73CCA"/>
    <w:rsid w:val="00C852DA"/>
    <w:rsid w:val="00C85B7F"/>
    <w:rsid w:val="00C93CC9"/>
    <w:rsid w:val="00CA4329"/>
    <w:rsid w:val="00CA6213"/>
    <w:rsid w:val="00CA68F9"/>
    <w:rsid w:val="00CA7A9F"/>
    <w:rsid w:val="00CB6328"/>
    <w:rsid w:val="00CC23BB"/>
    <w:rsid w:val="00CC29C7"/>
    <w:rsid w:val="00CE6C32"/>
    <w:rsid w:val="00CF05FE"/>
    <w:rsid w:val="00CF16FA"/>
    <w:rsid w:val="00CF6338"/>
    <w:rsid w:val="00CF70FB"/>
    <w:rsid w:val="00D01746"/>
    <w:rsid w:val="00D01E01"/>
    <w:rsid w:val="00D03B96"/>
    <w:rsid w:val="00D114D8"/>
    <w:rsid w:val="00D1388C"/>
    <w:rsid w:val="00D1488E"/>
    <w:rsid w:val="00D22A86"/>
    <w:rsid w:val="00D321F0"/>
    <w:rsid w:val="00D3631F"/>
    <w:rsid w:val="00D36CF4"/>
    <w:rsid w:val="00D36ED9"/>
    <w:rsid w:val="00D40AF2"/>
    <w:rsid w:val="00D41F35"/>
    <w:rsid w:val="00D44CA1"/>
    <w:rsid w:val="00D50E9E"/>
    <w:rsid w:val="00D57246"/>
    <w:rsid w:val="00D57464"/>
    <w:rsid w:val="00D5793B"/>
    <w:rsid w:val="00D65F0A"/>
    <w:rsid w:val="00D66B13"/>
    <w:rsid w:val="00D67047"/>
    <w:rsid w:val="00D802A3"/>
    <w:rsid w:val="00D802B7"/>
    <w:rsid w:val="00D926CE"/>
    <w:rsid w:val="00D960CA"/>
    <w:rsid w:val="00DA18DD"/>
    <w:rsid w:val="00DA231E"/>
    <w:rsid w:val="00DA4A9C"/>
    <w:rsid w:val="00DB0567"/>
    <w:rsid w:val="00DB4384"/>
    <w:rsid w:val="00DC0D45"/>
    <w:rsid w:val="00DC5602"/>
    <w:rsid w:val="00DD34D7"/>
    <w:rsid w:val="00DD40D4"/>
    <w:rsid w:val="00DE20FA"/>
    <w:rsid w:val="00DE34C2"/>
    <w:rsid w:val="00DE55E9"/>
    <w:rsid w:val="00DF1BCA"/>
    <w:rsid w:val="00DF61C0"/>
    <w:rsid w:val="00E0293F"/>
    <w:rsid w:val="00E10464"/>
    <w:rsid w:val="00E17EE1"/>
    <w:rsid w:val="00E379DD"/>
    <w:rsid w:val="00E37ABA"/>
    <w:rsid w:val="00E450F9"/>
    <w:rsid w:val="00E45DBF"/>
    <w:rsid w:val="00E63F21"/>
    <w:rsid w:val="00E65C32"/>
    <w:rsid w:val="00E85CBE"/>
    <w:rsid w:val="00E85DE6"/>
    <w:rsid w:val="00E907EA"/>
    <w:rsid w:val="00E9192B"/>
    <w:rsid w:val="00E95F5B"/>
    <w:rsid w:val="00EA2F57"/>
    <w:rsid w:val="00EA302F"/>
    <w:rsid w:val="00EB28D8"/>
    <w:rsid w:val="00EB31E9"/>
    <w:rsid w:val="00EC0F55"/>
    <w:rsid w:val="00EC3261"/>
    <w:rsid w:val="00EC3443"/>
    <w:rsid w:val="00EC5965"/>
    <w:rsid w:val="00EE1B6B"/>
    <w:rsid w:val="00EE2652"/>
    <w:rsid w:val="00EF12EE"/>
    <w:rsid w:val="00EF319B"/>
    <w:rsid w:val="00EF61A7"/>
    <w:rsid w:val="00F03E90"/>
    <w:rsid w:val="00F278A8"/>
    <w:rsid w:val="00F300A9"/>
    <w:rsid w:val="00F3538A"/>
    <w:rsid w:val="00F40D85"/>
    <w:rsid w:val="00F56915"/>
    <w:rsid w:val="00F572F5"/>
    <w:rsid w:val="00F6565C"/>
    <w:rsid w:val="00F82C20"/>
    <w:rsid w:val="00F85A50"/>
    <w:rsid w:val="00F87D83"/>
    <w:rsid w:val="00F92B19"/>
    <w:rsid w:val="00F96414"/>
    <w:rsid w:val="00FB1D6E"/>
    <w:rsid w:val="00FB425C"/>
    <w:rsid w:val="00FC46DB"/>
    <w:rsid w:val="00FE52F5"/>
    <w:rsid w:val="00FE724C"/>
    <w:rsid w:val="00FF102E"/>
    <w:rsid w:val="00FF106E"/>
    <w:rsid w:val="00FF4F6B"/>
    <w:rsid w:val="00FF6D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9F3E80"/>
  <w15:chartTrackingRefBased/>
  <w15:docId w15:val="{6D653B58-0A6A-4E67-9328-1DFC61DAB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CA621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1D1F35"/>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A6213"/>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CA6213"/>
    <w:pPr>
      <w:spacing w:before="100" w:beforeAutospacing="1" w:after="100" w:afterAutospacing="1" w:line="240" w:lineRule="auto"/>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CA6213"/>
    <w:rPr>
      <w:color w:val="0000FF"/>
      <w:u w:val="single"/>
    </w:rPr>
  </w:style>
  <w:style w:type="character" w:styleId="UnresolvedMention">
    <w:name w:val="Unresolved Mention"/>
    <w:basedOn w:val="DefaultParagraphFont"/>
    <w:uiPriority w:val="99"/>
    <w:semiHidden/>
    <w:unhideWhenUsed/>
    <w:rsid w:val="0010778A"/>
    <w:rPr>
      <w:color w:val="605E5C"/>
      <w:shd w:val="clear" w:color="auto" w:fill="E1DFDD"/>
    </w:rPr>
  </w:style>
  <w:style w:type="paragraph" w:styleId="ListParagraph">
    <w:name w:val="List Paragraph"/>
    <w:basedOn w:val="Normal"/>
    <w:uiPriority w:val="34"/>
    <w:qFormat/>
    <w:rsid w:val="001915E0"/>
    <w:pPr>
      <w:ind w:left="720"/>
      <w:contextualSpacing/>
    </w:pPr>
  </w:style>
  <w:style w:type="character" w:customStyle="1" w:styleId="Heading3Char">
    <w:name w:val="Heading 3 Char"/>
    <w:basedOn w:val="DefaultParagraphFont"/>
    <w:link w:val="Heading3"/>
    <w:uiPriority w:val="9"/>
    <w:semiHidden/>
    <w:rsid w:val="001D1F35"/>
    <w:rPr>
      <w:rFonts w:asciiTheme="majorHAnsi" w:eastAsiaTheme="majorEastAsia" w:hAnsiTheme="majorHAnsi" w:cstheme="majorBidi"/>
      <w:color w:val="1F3763" w:themeColor="accent1" w:themeShade="7F"/>
    </w:rPr>
  </w:style>
  <w:style w:type="character" w:styleId="FollowedHyperlink">
    <w:name w:val="FollowedHyperlink"/>
    <w:basedOn w:val="DefaultParagraphFont"/>
    <w:uiPriority w:val="99"/>
    <w:semiHidden/>
    <w:unhideWhenUsed/>
    <w:rsid w:val="00BB049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592483">
      <w:bodyDiv w:val="1"/>
      <w:marLeft w:val="0"/>
      <w:marRight w:val="0"/>
      <w:marTop w:val="0"/>
      <w:marBottom w:val="0"/>
      <w:divBdr>
        <w:top w:val="none" w:sz="0" w:space="0" w:color="auto"/>
        <w:left w:val="none" w:sz="0" w:space="0" w:color="auto"/>
        <w:bottom w:val="none" w:sz="0" w:space="0" w:color="auto"/>
        <w:right w:val="none" w:sz="0" w:space="0" w:color="auto"/>
      </w:divBdr>
    </w:div>
    <w:div w:id="175000553">
      <w:bodyDiv w:val="1"/>
      <w:marLeft w:val="0"/>
      <w:marRight w:val="0"/>
      <w:marTop w:val="0"/>
      <w:marBottom w:val="0"/>
      <w:divBdr>
        <w:top w:val="none" w:sz="0" w:space="0" w:color="auto"/>
        <w:left w:val="none" w:sz="0" w:space="0" w:color="auto"/>
        <w:bottom w:val="none" w:sz="0" w:space="0" w:color="auto"/>
        <w:right w:val="none" w:sz="0" w:space="0" w:color="auto"/>
      </w:divBdr>
    </w:div>
    <w:div w:id="183637858">
      <w:bodyDiv w:val="1"/>
      <w:marLeft w:val="0"/>
      <w:marRight w:val="0"/>
      <w:marTop w:val="0"/>
      <w:marBottom w:val="0"/>
      <w:divBdr>
        <w:top w:val="none" w:sz="0" w:space="0" w:color="auto"/>
        <w:left w:val="none" w:sz="0" w:space="0" w:color="auto"/>
        <w:bottom w:val="none" w:sz="0" w:space="0" w:color="auto"/>
        <w:right w:val="none" w:sz="0" w:space="0" w:color="auto"/>
      </w:divBdr>
    </w:div>
    <w:div w:id="209191222">
      <w:bodyDiv w:val="1"/>
      <w:marLeft w:val="0"/>
      <w:marRight w:val="0"/>
      <w:marTop w:val="0"/>
      <w:marBottom w:val="0"/>
      <w:divBdr>
        <w:top w:val="none" w:sz="0" w:space="0" w:color="auto"/>
        <w:left w:val="none" w:sz="0" w:space="0" w:color="auto"/>
        <w:bottom w:val="none" w:sz="0" w:space="0" w:color="auto"/>
        <w:right w:val="none" w:sz="0" w:space="0" w:color="auto"/>
      </w:divBdr>
      <w:divsChild>
        <w:div w:id="1327440933">
          <w:marLeft w:val="0"/>
          <w:marRight w:val="0"/>
          <w:marTop w:val="0"/>
          <w:marBottom w:val="0"/>
          <w:divBdr>
            <w:top w:val="none" w:sz="0" w:space="0" w:color="auto"/>
            <w:left w:val="none" w:sz="0" w:space="0" w:color="auto"/>
            <w:bottom w:val="none" w:sz="0" w:space="0" w:color="auto"/>
            <w:right w:val="none" w:sz="0" w:space="0" w:color="auto"/>
          </w:divBdr>
          <w:divsChild>
            <w:div w:id="1843006048">
              <w:marLeft w:val="0"/>
              <w:marRight w:val="0"/>
              <w:marTop w:val="375"/>
              <w:marBottom w:val="375"/>
              <w:divBdr>
                <w:top w:val="none" w:sz="0" w:space="0" w:color="auto"/>
                <w:left w:val="none" w:sz="0" w:space="0" w:color="auto"/>
                <w:bottom w:val="none" w:sz="0" w:space="0" w:color="auto"/>
                <w:right w:val="none" w:sz="0" w:space="0" w:color="auto"/>
              </w:divBdr>
              <w:divsChild>
                <w:div w:id="1217158468">
                  <w:marLeft w:val="0"/>
                  <w:marRight w:val="75"/>
                  <w:marTop w:val="0"/>
                  <w:marBottom w:val="0"/>
                  <w:divBdr>
                    <w:top w:val="none" w:sz="0" w:space="0" w:color="auto"/>
                    <w:left w:val="none" w:sz="0" w:space="0" w:color="auto"/>
                    <w:bottom w:val="none" w:sz="0" w:space="0" w:color="auto"/>
                    <w:right w:val="none" w:sz="0" w:space="0" w:color="auto"/>
                  </w:divBdr>
                  <w:divsChild>
                    <w:div w:id="1715109472">
                      <w:marLeft w:val="0"/>
                      <w:marRight w:val="0"/>
                      <w:marTop w:val="0"/>
                      <w:marBottom w:val="0"/>
                      <w:divBdr>
                        <w:top w:val="none" w:sz="0" w:space="0" w:color="auto"/>
                        <w:left w:val="none" w:sz="0" w:space="0" w:color="auto"/>
                        <w:bottom w:val="none" w:sz="0" w:space="0" w:color="auto"/>
                        <w:right w:val="none" w:sz="0" w:space="0" w:color="auto"/>
                      </w:divBdr>
                    </w:div>
                  </w:divsChild>
                </w:div>
                <w:div w:id="1810855569">
                  <w:marLeft w:val="0"/>
                  <w:marRight w:val="75"/>
                  <w:marTop w:val="0"/>
                  <w:marBottom w:val="0"/>
                  <w:divBdr>
                    <w:top w:val="none" w:sz="0" w:space="0" w:color="auto"/>
                    <w:left w:val="none" w:sz="0" w:space="0" w:color="auto"/>
                    <w:bottom w:val="none" w:sz="0" w:space="0" w:color="auto"/>
                    <w:right w:val="none" w:sz="0" w:space="0" w:color="auto"/>
                  </w:divBdr>
                  <w:divsChild>
                    <w:div w:id="251664855">
                      <w:marLeft w:val="0"/>
                      <w:marRight w:val="0"/>
                      <w:marTop w:val="0"/>
                      <w:marBottom w:val="0"/>
                      <w:divBdr>
                        <w:top w:val="none" w:sz="0" w:space="0" w:color="auto"/>
                        <w:left w:val="none" w:sz="0" w:space="0" w:color="auto"/>
                        <w:bottom w:val="none" w:sz="0" w:space="0" w:color="auto"/>
                        <w:right w:val="none" w:sz="0" w:space="0" w:color="auto"/>
                      </w:divBdr>
                    </w:div>
                  </w:divsChild>
                </w:div>
                <w:div w:id="1578857580">
                  <w:marLeft w:val="0"/>
                  <w:marRight w:val="75"/>
                  <w:marTop w:val="0"/>
                  <w:marBottom w:val="0"/>
                  <w:divBdr>
                    <w:top w:val="none" w:sz="0" w:space="0" w:color="auto"/>
                    <w:left w:val="none" w:sz="0" w:space="0" w:color="auto"/>
                    <w:bottom w:val="none" w:sz="0" w:space="0" w:color="auto"/>
                    <w:right w:val="none" w:sz="0" w:space="0" w:color="auto"/>
                  </w:divBdr>
                  <w:divsChild>
                    <w:div w:id="857932442">
                      <w:marLeft w:val="0"/>
                      <w:marRight w:val="0"/>
                      <w:marTop w:val="0"/>
                      <w:marBottom w:val="0"/>
                      <w:divBdr>
                        <w:top w:val="none" w:sz="0" w:space="0" w:color="auto"/>
                        <w:left w:val="none" w:sz="0" w:space="0" w:color="auto"/>
                        <w:bottom w:val="none" w:sz="0" w:space="0" w:color="auto"/>
                        <w:right w:val="none" w:sz="0" w:space="0" w:color="auto"/>
                      </w:divBdr>
                    </w:div>
                  </w:divsChild>
                </w:div>
                <w:div w:id="86973521">
                  <w:marLeft w:val="0"/>
                  <w:marRight w:val="75"/>
                  <w:marTop w:val="0"/>
                  <w:marBottom w:val="0"/>
                  <w:divBdr>
                    <w:top w:val="none" w:sz="0" w:space="0" w:color="auto"/>
                    <w:left w:val="none" w:sz="0" w:space="0" w:color="auto"/>
                    <w:bottom w:val="none" w:sz="0" w:space="0" w:color="auto"/>
                    <w:right w:val="none" w:sz="0" w:space="0" w:color="auto"/>
                  </w:divBdr>
                  <w:divsChild>
                    <w:div w:id="1871407488">
                      <w:marLeft w:val="0"/>
                      <w:marRight w:val="0"/>
                      <w:marTop w:val="0"/>
                      <w:marBottom w:val="0"/>
                      <w:divBdr>
                        <w:top w:val="none" w:sz="0" w:space="0" w:color="auto"/>
                        <w:left w:val="none" w:sz="0" w:space="0" w:color="auto"/>
                        <w:bottom w:val="none" w:sz="0" w:space="0" w:color="auto"/>
                        <w:right w:val="none" w:sz="0" w:space="0" w:color="auto"/>
                      </w:divBdr>
                    </w:div>
                  </w:divsChild>
                </w:div>
                <w:div w:id="514878265">
                  <w:marLeft w:val="0"/>
                  <w:marRight w:val="75"/>
                  <w:marTop w:val="0"/>
                  <w:marBottom w:val="0"/>
                  <w:divBdr>
                    <w:top w:val="none" w:sz="0" w:space="0" w:color="auto"/>
                    <w:left w:val="none" w:sz="0" w:space="0" w:color="auto"/>
                    <w:bottom w:val="none" w:sz="0" w:space="0" w:color="auto"/>
                    <w:right w:val="none" w:sz="0" w:space="0" w:color="auto"/>
                  </w:divBdr>
                  <w:divsChild>
                    <w:div w:id="1800954741">
                      <w:marLeft w:val="0"/>
                      <w:marRight w:val="0"/>
                      <w:marTop w:val="0"/>
                      <w:marBottom w:val="0"/>
                      <w:divBdr>
                        <w:top w:val="none" w:sz="0" w:space="0" w:color="auto"/>
                        <w:left w:val="none" w:sz="0" w:space="0" w:color="auto"/>
                        <w:bottom w:val="none" w:sz="0" w:space="0" w:color="auto"/>
                        <w:right w:val="none" w:sz="0" w:space="0" w:color="auto"/>
                      </w:divBdr>
                    </w:div>
                  </w:divsChild>
                </w:div>
                <w:div w:id="2112624431">
                  <w:marLeft w:val="0"/>
                  <w:marRight w:val="75"/>
                  <w:marTop w:val="0"/>
                  <w:marBottom w:val="0"/>
                  <w:divBdr>
                    <w:top w:val="none" w:sz="0" w:space="0" w:color="auto"/>
                    <w:left w:val="none" w:sz="0" w:space="0" w:color="auto"/>
                    <w:bottom w:val="none" w:sz="0" w:space="0" w:color="auto"/>
                    <w:right w:val="none" w:sz="0" w:space="0" w:color="auto"/>
                  </w:divBdr>
                  <w:divsChild>
                    <w:div w:id="111563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5368993">
              <w:marLeft w:val="0"/>
              <w:marRight w:val="0"/>
              <w:marTop w:val="0"/>
              <w:marBottom w:val="0"/>
              <w:divBdr>
                <w:top w:val="none" w:sz="0" w:space="0" w:color="auto"/>
                <w:left w:val="none" w:sz="0" w:space="0" w:color="auto"/>
                <w:bottom w:val="none" w:sz="0" w:space="0" w:color="auto"/>
                <w:right w:val="none" w:sz="0" w:space="0" w:color="auto"/>
              </w:divBdr>
              <w:divsChild>
                <w:div w:id="42291375">
                  <w:marLeft w:val="0"/>
                  <w:marRight w:val="0"/>
                  <w:marTop w:val="0"/>
                  <w:marBottom w:val="336"/>
                  <w:divBdr>
                    <w:top w:val="none" w:sz="0" w:space="0" w:color="auto"/>
                    <w:left w:val="none" w:sz="0" w:space="0" w:color="auto"/>
                    <w:bottom w:val="none" w:sz="0" w:space="0" w:color="auto"/>
                    <w:right w:val="none" w:sz="0" w:space="0" w:color="auto"/>
                  </w:divBdr>
                </w:div>
              </w:divsChild>
            </w:div>
            <w:div w:id="995183930">
              <w:marLeft w:val="0"/>
              <w:marRight w:val="0"/>
              <w:marTop w:val="600"/>
              <w:marBottom w:val="600"/>
              <w:divBdr>
                <w:top w:val="none" w:sz="0" w:space="0" w:color="auto"/>
                <w:left w:val="none" w:sz="0" w:space="0" w:color="auto"/>
                <w:bottom w:val="none" w:sz="0" w:space="0" w:color="auto"/>
                <w:right w:val="none" w:sz="0" w:space="0" w:color="auto"/>
              </w:divBdr>
            </w:div>
          </w:divsChild>
        </w:div>
        <w:div w:id="1396900961">
          <w:marLeft w:val="0"/>
          <w:marRight w:val="0"/>
          <w:marTop w:val="0"/>
          <w:marBottom w:val="0"/>
          <w:divBdr>
            <w:top w:val="none" w:sz="0" w:space="0" w:color="auto"/>
            <w:left w:val="none" w:sz="0" w:space="0" w:color="auto"/>
            <w:bottom w:val="none" w:sz="0" w:space="0" w:color="auto"/>
            <w:right w:val="none" w:sz="0" w:space="0" w:color="auto"/>
          </w:divBdr>
        </w:div>
        <w:div w:id="2083142815">
          <w:marLeft w:val="0"/>
          <w:marRight w:val="0"/>
          <w:marTop w:val="0"/>
          <w:marBottom w:val="0"/>
          <w:divBdr>
            <w:top w:val="none" w:sz="0" w:space="0" w:color="auto"/>
            <w:left w:val="none" w:sz="0" w:space="0" w:color="auto"/>
            <w:bottom w:val="none" w:sz="0" w:space="0" w:color="auto"/>
            <w:right w:val="none" w:sz="0" w:space="0" w:color="auto"/>
          </w:divBdr>
        </w:div>
        <w:div w:id="1979459767">
          <w:marLeft w:val="0"/>
          <w:marRight w:val="0"/>
          <w:marTop w:val="0"/>
          <w:marBottom w:val="0"/>
          <w:divBdr>
            <w:top w:val="none" w:sz="0" w:space="0" w:color="auto"/>
            <w:left w:val="none" w:sz="0" w:space="0" w:color="auto"/>
            <w:bottom w:val="none" w:sz="0" w:space="0" w:color="auto"/>
            <w:right w:val="none" w:sz="0" w:space="0" w:color="auto"/>
          </w:divBdr>
          <w:divsChild>
            <w:div w:id="1376735527">
              <w:marLeft w:val="0"/>
              <w:marRight w:val="0"/>
              <w:marTop w:val="0"/>
              <w:marBottom w:val="0"/>
              <w:divBdr>
                <w:top w:val="none" w:sz="0" w:space="0" w:color="auto"/>
                <w:left w:val="none" w:sz="0" w:space="0" w:color="auto"/>
                <w:bottom w:val="none" w:sz="0" w:space="0" w:color="auto"/>
                <w:right w:val="none" w:sz="0" w:space="0" w:color="auto"/>
              </w:divBdr>
            </w:div>
          </w:divsChild>
        </w:div>
        <w:div w:id="1975137267">
          <w:marLeft w:val="0"/>
          <w:marRight w:val="0"/>
          <w:marTop w:val="0"/>
          <w:marBottom w:val="0"/>
          <w:divBdr>
            <w:top w:val="none" w:sz="0" w:space="0" w:color="auto"/>
            <w:left w:val="none" w:sz="0" w:space="0" w:color="auto"/>
            <w:bottom w:val="none" w:sz="0" w:space="0" w:color="auto"/>
            <w:right w:val="none" w:sz="0" w:space="0" w:color="auto"/>
          </w:divBdr>
        </w:div>
      </w:divsChild>
    </w:div>
    <w:div w:id="233249741">
      <w:bodyDiv w:val="1"/>
      <w:marLeft w:val="0"/>
      <w:marRight w:val="0"/>
      <w:marTop w:val="0"/>
      <w:marBottom w:val="0"/>
      <w:divBdr>
        <w:top w:val="none" w:sz="0" w:space="0" w:color="auto"/>
        <w:left w:val="none" w:sz="0" w:space="0" w:color="auto"/>
        <w:bottom w:val="none" w:sz="0" w:space="0" w:color="auto"/>
        <w:right w:val="none" w:sz="0" w:space="0" w:color="auto"/>
      </w:divBdr>
    </w:div>
    <w:div w:id="408161544">
      <w:bodyDiv w:val="1"/>
      <w:marLeft w:val="0"/>
      <w:marRight w:val="0"/>
      <w:marTop w:val="0"/>
      <w:marBottom w:val="0"/>
      <w:divBdr>
        <w:top w:val="none" w:sz="0" w:space="0" w:color="auto"/>
        <w:left w:val="none" w:sz="0" w:space="0" w:color="auto"/>
        <w:bottom w:val="none" w:sz="0" w:space="0" w:color="auto"/>
        <w:right w:val="none" w:sz="0" w:space="0" w:color="auto"/>
      </w:divBdr>
    </w:div>
    <w:div w:id="492917360">
      <w:bodyDiv w:val="1"/>
      <w:marLeft w:val="0"/>
      <w:marRight w:val="0"/>
      <w:marTop w:val="0"/>
      <w:marBottom w:val="0"/>
      <w:divBdr>
        <w:top w:val="none" w:sz="0" w:space="0" w:color="auto"/>
        <w:left w:val="none" w:sz="0" w:space="0" w:color="auto"/>
        <w:bottom w:val="none" w:sz="0" w:space="0" w:color="auto"/>
        <w:right w:val="none" w:sz="0" w:space="0" w:color="auto"/>
      </w:divBdr>
    </w:div>
    <w:div w:id="556400790">
      <w:bodyDiv w:val="1"/>
      <w:marLeft w:val="0"/>
      <w:marRight w:val="0"/>
      <w:marTop w:val="0"/>
      <w:marBottom w:val="0"/>
      <w:divBdr>
        <w:top w:val="none" w:sz="0" w:space="0" w:color="auto"/>
        <w:left w:val="none" w:sz="0" w:space="0" w:color="auto"/>
        <w:bottom w:val="none" w:sz="0" w:space="0" w:color="auto"/>
        <w:right w:val="none" w:sz="0" w:space="0" w:color="auto"/>
      </w:divBdr>
    </w:div>
    <w:div w:id="839856734">
      <w:bodyDiv w:val="1"/>
      <w:marLeft w:val="0"/>
      <w:marRight w:val="0"/>
      <w:marTop w:val="0"/>
      <w:marBottom w:val="0"/>
      <w:divBdr>
        <w:top w:val="none" w:sz="0" w:space="0" w:color="auto"/>
        <w:left w:val="none" w:sz="0" w:space="0" w:color="auto"/>
        <w:bottom w:val="none" w:sz="0" w:space="0" w:color="auto"/>
        <w:right w:val="none" w:sz="0" w:space="0" w:color="auto"/>
      </w:divBdr>
    </w:div>
    <w:div w:id="1564365757">
      <w:bodyDiv w:val="1"/>
      <w:marLeft w:val="0"/>
      <w:marRight w:val="0"/>
      <w:marTop w:val="0"/>
      <w:marBottom w:val="0"/>
      <w:divBdr>
        <w:top w:val="none" w:sz="0" w:space="0" w:color="auto"/>
        <w:left w:val="none" w:sz="0" w:space="0" w:color="auto"/>
        <w:bottom w:val="none" w:sz="0" w:space="0" w:color="auto"/>
        <w:right w:val="none" w:sz="0" w:space="0" w:color="auto"/>
      </w:divBdr>
    </w:div>
    <w:div w:id="2019231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full/10.1177/2153368717727122" TargetMode="External"/><Relationship Id="rId18" Type="http://schemas.openxmlformats.org/officeDocument/2006/relationships/hyperlink" Target="https://books.google.co.uk/books?hl=en&amp;lr=&amp;id=dkZ2AwAAQBAJ&amp;oi=fnd&amp;pg=PP1&amp;ots=pA0H5lqnro&amp;sig=k8SZCex0fasH5XmVm7nPie8UBWI&amp;redir_esc=y" TargetMode="External"/><Relationship Id="rId26" Type="http://schemas.openxmlformats.org/officeDocument/2006/relationships/hyperlink" Target="https://www.researchgate.net/publication/314467743_Race_and_Racial_Profiling" TargetMode="External"/><Relationship Id="rId39" Type="http://schemas.openxmlformats.org/officeDocument/2006/relationships/fontTable" Target="fontTable.xml"/><Relationship Id="rId21" Type="http://schemas.openxmlformats.org/officeDocument/2006/relationships/hyperlink" Target="https://onlinelibrary.wiley.com/doi/abs/10.1111/j.1745-9125.2008.00130.x" TargetMode="External"/><Relationship Id="rId34" Type="http://schemas.openxmlformats.org/officeDocument/2006/relationships/hyperlink" Target="https://news.harvard.edu/gazette/story/2021/02/solving-racial-disparities-in-policing/" TargetMode="External"/><Relationship Id="rId7" Type="http://schemas.openxmlformats.org/officeDocument/2006/relationships/hyperlink" Target="https://www.ojp.gov/ncjrs/virtual-library/abstracts/new-jim-crow-mass-incarceration-age-colorblindness" TargetMode="External"/><Relationship Id="rId12" Type="http://schemas.openxmlformats.org/officeDocument/2006/relationships/hyperlink" Target="https://www.nytimes.com/2021/04/15/us/capitol-police-riot-training.html" TargetMode="External"/><Relationship Id="rId17" Type="http://schemas.openxmlformats.org/officeDocument/2006/relationships/hyperlink" Target="https://theconversation.com/the-us-is-falling-apart-how-russian-media-is-portraying-the-us-capitol-siege-153158" TargetMode="External"/><Relationship Id="rId25" Type="http://schemas.openxmlformats.org/officeDocument/2006/relationships/hyperlink" Target="https://www.ojp.gov/pdffiles1/Digitization/47664NCJRS.pdf" TargetMode="External"/><Relationship Id="rId33" Type="http://schemas.openxmlformats.org/officeDocument/2006/relationships/hyperlink" Target="https://www.tandfonline.com/doi/full/10.1080/10911359.2015.1129256" TargetMode="External"/><Relationship Id="rId38" Type="http://schemas.openxmlformats.org/officeDocument/2006/relationships/hyperlink" Target="https://digitalcommons.wcl.american.edu/cgi/viewcontent.cgi?article=1128&amp;context=nslb" TargetMode="External"/><Relationship Id="rId2" Type="http://schemas.openxmlformats.org/officeDocument/2006/relationships/numbering" Target="numbering.xml"/><Relationship Id="rId16" Type="http://schemas.openxmlformats.org/officeDocument/2006/relationships/hyperlink" Target="https://www.researchgate.net/publication/283871630_Deviant_behavior_10th_edition" TargetMode="External"/><Relationship Id="rId20" Type="http://schemas.openxmlformats.org/officeDocument/2006/relationships/hyperlink" Target="https://www.vera.org/downloads/publications/for-the-record-unjust-burden-racial-disparities.pdf" TargetMode="External"/><Relationship Id="rId29" Type="http://schemas.openxmlformats.org/officeDocument/2006/relationships/hyperlink" Target="https://www.ojp.gov/pdffiles1/bja/184768.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tandfonline.com/doi/abs/10.1080/17539153.2018.1498191?journalCode=rter20" TargetMode="External"/><Relationship Id="rId24" Type="http://schemas.openxmlformats.org/officeDocument/2006/relationships/hyperlink" Target="https://rupkatha.com/V12/n5/rioc1s2n4.pdf" TargetMode="External"/><Relationship Id="rId32" Type="http://schemas.openxmlformats.org/officeDocument/2006/relationships/hyperlink" Target="https://www.tandfonline.com/doi/abs/10.1080/1357650X.2018.1432631?journalCode=plat20" TargetMode="External"/><Relationship Id="rId37" Type="http://schemas.openxmlformats.org/officeDocument/2006/relationships/hyperlink" Target="https://journals.sagepub.com/doi/abs/10.1177/104398628700300209?journalCode=ccja"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kb.gcsu.edu/cgi/viewcontent.cgi?article=1130&amp;context=thecorinthian" TargetMode="External"/><Relationship Id="rId23" Type="http://schemas.openxmlformats.org/officeDocument/2006/relationships/hyperlink" Target="https://www.policeconduct.gov.uk/sites/default/files/Documents/publications/OFFICIAL%20IOPC%20National%20stop%20and%20search%20learning%20report%2020%20April%202022.pdf" TargetMode="External"/><Relationship Id="rId28" Type="http://schemas.openxmlformats.org/officeDocument/2006/relationships/hyperlink" Target="https://mronline.org/wp-content/uploads/2019/06/nunn_2002.pdf" TargetMode="External"/><Relationship Id="rId36" Type="http://schemas.openxmlformats.org/officeDocument/2006/relationships/hyperlink" Target="https://nap.nationalacademies.org/read/24928/chapter/1" TargetMode="External"/><Relationship Id="rId10" Type="http://schemas.openxmlformats.org/officeDocument/2006/relationships/hyperlink" Target="https://www.ncbi.nlm.nih.gov/pmc/articles/PMC5342201/pdf/pone.0172419.pdf" TargetMode="External"/><Relationship Id="rId19" Type="http://schemas.openxmlformats.org/officeDocument/2006/relationships/hyperlink" Target="https://www.justiceinspectorates.gov.uk/hmicfrs/wp-content/uploads/disproportionate-use-of-police-powers-spotlight-on-stop-search-and-use-of-force.pdf" TargetMode="External"/><Relationship Id="rId31" Type="http://schemas.openxmlformats.org/officeDocument/2006/relationships/hyperlink" Target="https://www.taylorfrancis.com/chapters/edit/10.4324/9780203793350-4/life-course-theory-cumulative-disadvantage-stability-delinquency-sampson-robert-laub-john" TargetMode="External"/><Relationship Id="rId4" Type="http://schemas.openxmlformats.org/officeDocument/2006/relationships/settings" Target="settings.xml"/><Relationship Id="rId9" Type="http://schemas.openxmlformats.org/officeDocument/2006/relationships/hyperlink" Target="https://www.researchgate.net/publication/226795096_Labeling_Theory" TargetMode="External"/><Relationship Id="rId14" Type="http://schemas.openxmlformats.org/officeDocument/2006/relationships/hyperlink" Target="https://www.britannica.com/event/January-6-U-S-Capitol-attack" TargetMode="External"/><Relationship Id="rId22" Type="http://schemas.openxmlformats.org/officeDocument/2006/relationships/hyperlink" Target="https://www.jstor.org/stable/2111769" TargetMode="External"/><Relationship Id="rId27" Type="http://schemas.openxmlformats.org/officeDocument/2006/relationships/hyperlink" Target="https://www.journals.uchicago.edu/doi/abs/10.1086/229940" TargetMode="External"/><Relationship Id="rId30" Type="http://schemas.openxmlformats.org/officeDocument/2006/relationships/hyperlink" Target="http://www.inquiriesjournal.com/articles/1690/crime-and-personality-personality-theory-and-criminality-examined" TargetMode="External"/><Relationship Id="rId35" Type="http://schemas.openxmlformats.org/officeDocument/2006/relationships/hyperlink" Target="https://journals.sagepub.com/doi/full/10.1177/1367877920912257" TargetMode="External"/><Relationship Id="rId8" Type="http://schemas.openxmlformats.org/officeDocument/2006/relationships/hyperlink" Target="https://www.tandfonline.com/doi/abs/10.1080/01639625.1998.9968081"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8F4E28-C62B-4ADB-9110-9841177E23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4551</Words>
  <Characters>25942</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Warwick Proctor</dc:creator>
  <cp:keywords/>
  <dc:description/>
  <cp:lastModifiedBy>Warwick Proctor</cp:lastModifiedBy>
  <cp:revision>2</cp:revision>
  <dcterms:created xsi:type="dcterms:W3CDTF">2023-03-05T21:55:00Z</dcterms:created>
  <dcterms:modified xsi:type="dcterms:W3CDTF">2023-03-05T21:55:00Z</dcterms:modified>
</cp:coreProperties>
</file>