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CD0AE" w14:textId="77777777" w:rsidR="00202F51" w:rsidRPr="00202F51" w:rsidRDefault="00AE5EDE" w:rsidP="00202F51">
      <w:pPr>
        <w:spacing w:before="240" w:after="0" w:line="562" w:lineRule="atLeast"/>
        <w:outlineLvl w:val="0"/>
        <w:rPr>
          <w:rFonts w:ascii="LinLibertine" w:eastAsia="Times New Roman" w:hAnsi="LinLibertine" w:cs="Times New Roman"/>
          <w:b/>
          <w:bCs/>
          <w:color w:val="000000"/>
          <w:kern w:val="36"/>
          <w:sz w:val="43"/>
          <w:szCs w:val="43"/>
          <w:lang w:eastAsia="en-GB"/>
        </w:rPr>
      </w:pPr>
      <w:r>
        <w:rPr>
          <w:rFonts w:ascii="LinLibertine" w:eastAsia="Times New Roman" w:hAnsi="LinLibertine" w:cs="Times New Roman"/>
          <w:b/>
          <w:bCs/>
          <w:color w:val="0000FF"/>
          <w:kern w:val="36"/>
          <w:sz w:val="43"/>
          <w:szCs w:val="43"/>
          <w:u w:val="single"/>
          <w:lang w:eastAsia="en-GB"/>
        </w:rPr>
        <w:fldChar w:fldCharType="begin"/>
      </w:r>
      <w:r>
        <w:rPr>
          <w:rFonts w:ascii="LinLibertine" w:eastAsia="Times New Roman" w:hAnsi="LinLibertine" w:cs="Times New Roman"/>
          <w:b/>
          <w:bCs/>
          <w:color w:val="0000FF"/>
          <w:kern w:val="36"/>
          <w:sz w:val="43"/>
          <w:szCs w:val="43"/>
          <w:u w:val="single"/>
          <w:lang w:eastAsia="en-GB"/>
        </w:rPr>
        <w:instrText xml:space="preserve"> HYPERLINK "https://jigsaw.vitalsource.com/books/9781317435839/epub/OEBPS/xhtml/content.xhtml" \l "bck_Ch018" </w:instrText>
      </w:r>
      <w:r>
        <w:rPr>
          <w:rFonts w:ascii="LinLibertine" w:eastAsia="Times New Roman" w:hAnsi="LinLibertine" w:cs="Times New Roman"/>
          <w:b/>
          <w:bCs/>
          <w:color w:val="0000FF"/>
          <w:kern w:val="36"/>
          <w:sz w:val="43"/>
          <w:szCs w:val="43"/>
          <w:u w:val="single"/>
          <w:lang w:eastAsia="en-GB"/>
        </w:rPr>
        <w:fldChar w:fldCharType="separate"/>
      </w:r>
      <w:r w:rsidR="00202F51" w:rsidRPr="00202F51">
        <w:rPr>
          <w:rFonts w:ascii="LinLibertine" w:eastAsia="Times New Roman" w:hAnsi="LinLibertine" w:cs="Times New Roman"/>
          <w:b/>
          <w:bCs/>
          <w:color w:val="0000FF"/>
          <w:kern w:val="36"/>
          <w:sz w:val="43"/>
          <w:szCs w:val="43"/>
          <w:u w:val="single"/>
          <w:lang w:eastAsia="en-GB"/>
        </w:rPr>
        <w:t>18</w:t>
      </w:r>
      <w:r w:rsidR="00202F51" w:rsidRPr="00202F51">
        <w:rPr>
          <w:rFonts w:ascii="LinLibertine" w:eastAsia="Times New Roman" w:hAnsi="LinLibertine" w:cs="Times New Roman"/>
          <w:b/>
          <w:bCs/>
          <w:color w:val="0000FF"/>
          <w:kern w:val="36"/>
          <w:sz w:val="43"/>
          <w:szCs w:val="43"/>
          <w:u w:val="single"/>
          <w:lang w:eastAsia="en-GB"/>
        </w:rPr>
        <w:br/>
        <w:t>Decentralized management</w:t>
      </w:r>
      <w:r>
        <w:rPr>
          <w:rFonts w:ascii="LinLibertine" w:eastAsia="Times New Roman" w:hAnsi="LinLibertine" w:cs="Times New Roman"/>
          <w:b/>
          <w:bCs/>
          <w:color w:val="0000FF"/>
          <w:kern w:val="36"/>
          <w:sz w:val="43"/>
          <w:szCs w:val="43"/>
          <w:u w:val="single"/>
          <w:lang w:eastAsia="en-GB"/>
        </w:rPr>
        <w:fldChar w:fldCharType="end"/>
      </w:r>
    </w:p>
    <w:p w14:paraId="233E6EE4" w14:textId="77777777" w:rsidR="00202F51" w:rsidRPr="00202F51" w:rsidRDefault="00F6720F" w:rsidP="00202F51">
      <w:pPr>
        <w:spacing w:after="720" w:line="499" w:lineRule="atLeast"/>
        <w:rPr>
          <w:rFonts w:ascii="LinLibertine" w:eastAsia="Times New Roman" w:hAnsi="LinLibertine" w:cs="Times New Roman"/>
          <w:color w:val="000000"/>
          <w:sz w:val="38"/>
          <w:szCs w:val="38"/>
          <w:lang w:eastAsia="en-GB"/>
        </w:rPr>
      </w:pPr>
      <w:hyperlink r:id="rId7" w:anchor="bck_Ch018" w:history="1">
        <w:r w:rsidR="00202F51" w:rsidRPr="00202F51">
          <w:rPr>
            <w:rFonts w:ascii="LinLibertine" w:eastAsia="Times New Roman" w:hAnsi="LinLibertine" w:cs="Times New Roman"/>
            <w:color w:val="0000FF"/>
            <w:sz w:val="38"/>
            <w:szCs w:val="38"/>
            <w:u w:val="single"/>
            <w:lang w:eastAsia="en-GB"/>
          </w:rPr>
          <w:t>Agencies and ‘arm’s-length’ bodies</w:t>
        </w:r>
      </w:hyperlink>
    </w:p>
    <w:p w14:paraId="2D30E5D7" w14:textId="77777777" w:rsidR="00202F51" w:rsidRPr="00202F51" w:rsidRDefault="00202F51" w:rsidP="00202F51">
      <w:pPr>
        <w:spacing w:after="720" w:line="437" w:lineRule="atLeast"/>
        <w:rPr>
          <w:rFonts w:ascii="LinLibertine" w:eastAsia="Times New Roman" w:hAnsi="LinLibertine" w:cs="Times New Roman"/>
          <w:i/>
          <w:iCs/>
          <w:color w:val="000000"/>
          <w:sz w:val="34"/>
          <w:szCs w:val="34"/>
          <w:lang w:eastAsia="en-GB"/>
        </w:rPr>
      </w:pPr>
      <w:r w:rsidRPr="00202F51">
        <w:rPr>
          <w:rFonts w:ascii="LinLibertine" w:eastAsia="Times New Roman" w:hAnsi="LinLibertine" w:cs="Times New Roman"/>
          <w:i/>
          <w:iCs/>
          <w:color w:val="000000"/>
          <w:sz w:val="34"/>
          <w:szCs w:val="34"/>
          <w:lang w:eastAsia="en-GB"/>
        </w:rPr>
        <w:t>Christopher Pollitt</w:t>
      </w:r>
    </w:p>
    <w:p w14:paraId="47EE27BF" w14:textId="77777777" w:rsidR="00202F51" w:rsidRPr="00202F51" w:rsidRDefault="00202F51" w:rsidP="00202F51">
      <w:pPr>
        <w:spacing w:before="480" w:after="240" w:line="468" w:lineRule="atLeast"/>
        <w:outlineLvl w:val="1"/>
        <w:rPr>
          <w:rFonts w:ascii="LinLibertine" w:eastAsia="Times New Roman" w:hAnsi="LinLibertine" w:cs="Times New Roman"/>
          <w:b/>
          <w:bCs/>
          <w:color w:val="000000"/>
          <w:sz w:val="36"/>
          <w:szCs w:val="36"/>
          <w:lang w:eastAsia="en-GB"/>
        </w:rPr>
      </w:pPr>
      <w:r w:rsidRPr="00202F51">
        <w:rPr>
          <w:rFonts w:ascii="LinLibertine" w:eastAsia="Times New Roman" w:hAnsi="LinLibertine" w:cs="Times New Roman"/>
          <w:b/>
          <w:bCs/>
          <w:color w:val="000000"/>
          <w:sz w:val="36"/>
          <w:szCs w:val="36"/>
          <w:lang w:eastAsia="en-GB"/>
        </w:rPr>
        <w:t>Introduction</w:t>
      </w:r>
    </w:p>
    <w:p w14:paraId="16779E89"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Decentralization is tremendously fashionable. In Western Europe and North America you can hardly hear a word against it (just think – are you really in favour of ‘</w:t>
      </w:r>
      <w:r w:rsidRPr="00202F51">
        <w:rPr>
          <w:rFonts w:ascii="LinLibertine" w:eastAsia="Times New Roman" w:hAnsi="LinLibertine" w:cs="Times New Roman"/>
          <w:i/>
          <w:iCs/>
          <w:color w:val="000000"/>
          <w:sz w:val="24"/>
          <w:szCs w:val="24"/>
          <w:lang w:eastAsia="en-GB"/>
        </w:rPr>
        <w:t>centralization</w:t>
      </w:r>
      <w:r w:rsidRPr="00202F51">
        <w:rPr>
          <w:rFonts w:ascii="LinLibertine" w:eastAsia="Times New Roman" w:hAnsi="LinLibertine" w:cs="Times New Roman"/>
          <w:color w:val="000000"/>
          <w:sz w:val="24"/>
          <w:szCs w:val="24"/>
          <w:lang w:eastAsia="en-GB"/>
        </w:rPr>
        <w:t>’?). Yet you should be aware that this is just the current turn of a wheel of fashion that has been going round for many decades. Centralization will probably be back (Hood and Jackson, 1991; Pollitt, 2005a), although not right now – or, at least, only in heavily disguised forms.</w:t>
      </w:r>
    </w:p>
    <w:p w14:paraId="0609A093" w14:textId="77777777" w:rsidR="00202F51" w:rsidRPr="00202F51" w:rsidRDefault="00202F51" w:rsidP="00202F51">
      <w:pPr>
        <w:spacing w:after="0"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So decentralization is ‘in’. And the fashion has real and important consequences, which this chapter will seek to interrogate. It expresses itself in a wide variety of forms and discourses – so many that they cannot all be examined in one chapter. So here I will focus on one particular manifestation of decentralized management – the idea that all sorts of benefits will be gained if public sector activities are put ‘at arm’s length’ from the centre of political power, whether that be the ministry or the municipality. This has been a very popular idea indeed. During the past two decades it has, for example, fuelled programmes for creating semi-autonomous agencies in Canada, Jamaica, Japan, the Netherlands, Tanzania, the UK and the USA (Pollitt and Talbot, 2004; Pollitt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2004).</w:t>
      </w:r>
    </w:p>
    <w:p w14:paraId="3A61E0B9" w14:textId="77777777" w:rsidR="00202F51" w:rsidRPr="00202F51" w:rsidRDefault="00202F51" w:rsidP="00202F51">
      <w:pPr>
        <w:shd w:val="clear" w:color="auto" w:fill="E7E7E8"/>
        <w:spacing w:after="240" w:line="240" w:lineRule="auto"/>
        <w:rPr>
          <w:rFonts w:ascii="LinLibertine" w:eastAsia="Times New Roman" w:hAnsi="LinLibertine" w:cs="Times New Roman"/>
          <w:b/>
          <w:bCs/>
          <w:color w:val="000000"/>
          <w:sz w:val="31"/>
          <w:szCs w:val="31"/>
          <w:lang w:eastAsia="en-GB"/>
        </w:rPr>
      </w:pPr>
      <w:r w:rsidRPr="00202F51">
        <w:rPr>
          <w:rFonts w:ascii="LinLibertine" w:eastAsia="Times New Roman" w:hAnsi="LinLibertine" w:cs="Times New Roman"/>
          <w:b/>
          <w:bCs/>
          <w:color w:val="000000"/>
          <w:sz w:val="31"/>
          <w:szCs w:val="31"/>
          <w:lang w:eastAsia="en-GB"/>
        </w:rPr>
        <w:t>Learning objectives</w:t>
      </w:r>
    </w:p>
    <w:p w14:paraId="57F6F152" w14:textId="77777777" w:rsidR="00202F51" w:rsidRPr="00202F51" w:rsidRDefault="00202F51" w:rsidP="00202F51">
      <w:pPr>
        <w:shd w:val="clear" w:color="auto" w:fill="E7E7E8"/>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The learning objectives for this chapter are that you should:</w:t>
      </w:r>
    </w:p>
    <w:p w14:paraId="3794C802" w14:textId="77777777" w:rsidR="00202F51" w:rsidRPr="00202F51" w:rsidRDefault="00202F51" w:rsidP="00202F51">
      <w:pPr>
        <w:numPr>
          <w:ilvl w:val="0"/>
          <w:numId w:val="1"/>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understand why the arguments for ‘arm’s-length’ public bodies have recently proved attractive in many countries;</w:t>
      </w:r>
    </w:p>
    <w:p w14:paraId="61C9B9CF" w14:textId="77777777" w:rsidR="00202F51" w:rsidRPr="00202F51" w:rsidRDefault="00202F51" w:rsidP="00202F51">
      <w:pPr>
        <w:numPr>
          <w:ilvl w:val="0"/>
          <w:numId w:val="1"/>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assess the evidence underpinning this fashion;</w:t>
      </w:r>
    </w:p>
    <w:p w14:paraId="12EA262D" w14:textId="77777777" w:rsidR="00202F51" w:rsidRPr="00202F51" w:rsidRDefault="00202F51" w:rsidP="00202F51">
      <w:pPr>
        <w:numPr>
          <w:ilvl w:val="0"/>
          <w:numId w:val="1"/>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become able to identify some of the key contextual factors that help or hinder successful decentralization;</w:t>
      </w:r>
    </w:p>
    <w:p w14:paraId="3BC73602" w14:textId="77777777" w:rsidR="00202F51" w:rsidRPr="00202F51" w:rsidRDefault="00202F51" w:rsidP="00202F51">
      <w:pPr>
        <w:numPr>
          <w:ilvl w:val="0"/>
          <w:numId w:val="1"/>
        </w:numPr>
        <w:shd w:val="clear" w:color="auto" w:fill="E7E7E8"/>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proofErr w:type="gramStart"/>
      <w:r w:rsidRPr="00202F51">
        <w:rPr>
          <w:rFonts w:ascii="LinLibertine" w:eastAsia="Times New Roman" w:hAnsi="LinLibertine" w:cs="Times New Roman"/>
          <w:color w:val="000000"/>
          <w:sz w:val="24"/>
          <w:szCs w:val="24"/>
          <w:lang w:eastAsia="en-GB"/>
        </w:rPr>
        <w:t>become</w:t>
      </w:r>
      <w:proofErr w:type="gramEnd"/>
      <w:r w:rsidRPr="00202F51">
        <w:rPr>
          <w:rFonts w:ascii="LinLibertine" w:eastAsia="Times New Roman" w:hAnsi="LinLibertine" w:cs="Times New Roman"/>
          <w:color w:val="000000"/>
          <w:sz w:val="24"/>
          <w:szCs w:val="24"/>
          <w:lang w:eastAsia="en-GB"/>
        </w:rPr>
        <w:t xml:space="preserve"> equipped with a set of useful key questions with which to interrogate proposals for the decentralization of managerial authority to arm’s-length bodies.</w:t>
      </w:r>
    </w:p>
    <w:p w14:paraId="646FC444" w14:textId="77777777" w:rsidR="00202F51" w:rsidRPr="00202F51" w:rsidRDefault="00202F51" w:rsidP="00202F51">
      <w:pPr>
        <w:spacing w:before="480" w:after="240" w:line="374" w:lineRule="atLeast"/>
        <w:outlineLvl w:val="2"/>
        <w:rPr>
          <w:rFonts w:ascii="LinLibertine" w:eastAsia="Times New Roman" w:hAnsi="LinLibertine" w:cs="Times New Roman"/>
          <w:b/>
          <w:bCs/>
          <w:i/>
          <w:iCs/>
          <w:color w:val="000000"/>
          <w:sz w:val="29"/>
          <w:szCs w:val="29"/>
          <w:lang w:eastAsia="en-GB"/>
        </w:rPr>
      </w:pPr>
      <w:r w:rsidRPr="00202F51">
        <w:rPr>
          <w:rFonts w:ascii="LinLibertine" w:eastAsia="Times New Roman" w:hAnsi="LinLibertine" w:cs="Times New Roman"/>
          <w:b/>
          <w:bCs/>
          <w:i/>
          <w:iCs/>
          <w:color w:val="000000"/>
          <w:sz w:val="29"/>
          <w:szCs w:val="29"/>
          <w:lang w:eastAsia="en-GB"/>
        </w:rPr>
        <w:t>Definitions</w:t>
      </w:r>
    </w:p>
    <w:p w14:paraId="2EC940DE"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First we need to deal with the question of definition. Let us begin with the general concept of </w:t>
      </w:r>
      <w:r w:rsidRPr="00202F51">
        <w:rPr>
          <w:rFonts w:ascii="LinLibertine" w:eastAsia="Times New Roman" w:hAnsi="LinLibertine" w:cs="Times New Roman"/>
          <w:i/>
          <w:iCs/>
          <w:color w:val="000000"/>
          <w:sz w:val="24"/>
          <w:szCs w:val="24"/>
          <w:lang w:eastAsia="en-GB"/>
        </w:rPr>
        <w:t>decentralization</w:t>
      </w:r>
      <w:r w:rsidRPr="00202F51">
        <w:rPr>
          <w:rFonts w:ascii="LinLibertine" w:eastAsia="Times New Roman" w:hAnsi="LinLibertine" w:cs="Times New Roman"/>
          <w:color w:val="000000"/>
          <w:sz w:val="24"/>
          <w:szCs w:val="24"/>
          <w:lang w:eastAsia="en-GB"/>
        </w:rPr>
        <w:t xml:space="preserve">, because it encompasses arm’s-length bodies (and much else besides). What was written half a century ago remains true </w:t>
      </w:r>
      <w:proofErr w:type="gramStart"/>
      <w:r w:rsidRPr="00202F51">
        <w:rPr>
          <w:rFonts w:ascii="LinLibertine" w:eastAsia="Times New Roman" w:hAnsi="LinLibertine" w:cs="Times New Roman"/>
          <w:color w:val="000000"/>
          <w:sz w:val="24"/>
          <w:szCs w:val="24"/>
          <w:lang w:eastAsia="en-GB"/>
        </w:rPr>
        <w:t>today:</w:t>
      </w:r>
      <w:proofErr w:type="gramEnd"/>
    </w:p>
    <w:p w14:paraId="79CA4828" w14:textId="77777777" w:rsidR="00202F51" w:rsidRPr="00202F51" w:rsidRDefault="00202F51" w:rsidP="00202F51">
      <w:pPr>
        <w:spacing w:after="0" w:line="281" w:lineRule="atLeast"/>
        <w:jc w:val="both"/>
        <w:rPr>
          <w:rFonts w:ascii="LinLibertine" w:eastAsia="Times New Roman" w:hAnsi="LinLibertine" w:cs="Times New Roman"/>
          <w:color w:val="000000"/>
          <w:lang w:eastAsia="en-GB"/>
        </w:rPr>
      </w:pPr>
      <w:r w:rsidRPr="00202F51">
        <w:rPr>
          <w:rFonts w:ascii="LinLibertine" w:eastAsia="Times New Roman" w:hAnsi="LinLibertine" w:cs="Times New Roman"/>
          <w:color w:val="000000"/>
          <w:lang w:eastAsia="en-GB"/>
        </w:rPr>
        <w:lastRenderedPageBreak/>
        <w:t>It is impossible to standardize the usage of the word decentralization by seeking to give it meanings that would be acceptable universally. The English language took the word from Latin; it shares it with the Romance languages … it is a word that is not confined to public affairs and to formal organization in government or business. It is used in every walk of life. It must be accepted as a word of innumerable applications. Throughout all of them, however, runs a common idea, which is inherent in the word’s Latin roots, meaning ‘away from the centre’.</w:t>
      </w:r>
    </w:p>
    <w:p w14:paraId="603F199F" w14:textId="77777777" w:rsidR="00202F51" w:rsidRPr="00202F51" w:rsidRDefault="00202F51" w:rsidP="00202F51">
      <w:pPr>
        <w:spacing w:before="120" w:line="281" w:lineRule="atLeast"/>
        <w:jc w:val="right"/>
        <w:rPr>
          <w:rFonts w:ascii="LinLibertine" w:eastAsia="Times New Roman" w:hAnsi="LinLibertine" w:cs="Times New Roman"/>
          <w:color w:val="000000"/>
          <w:sz w:val="19"/>
          <w:szCs w:val="19"/>
          <w:lang w:eastAsia="en-GB"/>
        </w:rPr>
      </w:pPr>
      <w:r w:rsidRPr="00202F51">
        <w:rPr>
          <w:rFonts w:ascii="LinLibertine" w:eastAsia="Times New Roman" w:hAnsi="LinLibertine" w:cs="Times New Roman"/>
          <w:color w:val="000000"/>
          <w:sz w:val="19"/>
          <w:szCs w:val="19"/>
          <w:lang w:eastAsia="en-GB"/>
        </w:rPr>
        <w:t>(</w:t>
      </w:r>
      <w:proofErr w:type="spellStart"/>
      <w:r w:rsidRPr="00202F51">
        <w:rPr>
          <w:rFonts w:ascii="LinLibertine" w:eastAsia="Times New Roman" w:hAnsi="LinLibertine" w:cs="Times New Roman"/>
          <w:color w:val="000000"/>
          <w:sz w:val="19"/>
          <w:szCs w:val="19"/>
          <w:lang w:eastAsia="en-GB"/>
        </w:rPr>
        <w:t>Macmahon</w:t>
      </w:r>
      <w:proofErr w:type="spellEnd"/>
      <w:r w:rsidRPr="00202F51">
        <w:rPr>
          <w:rFonts w:ascii="LinLibertine" w:eastAsia="Times New Roman" w:hAnsi="LinLibertine" w:cs="Times New Roman"/>
          <w:color w:val="000000"/>
          <w:sz w:val="19"/>
          <w:szCs w:val="19"/>
          <w:lang w:eastAsia="en-GB"/>
        </w:rPr>
        <w:t>, 1961: 15)</w:t>
      </w:r>
    </w:p>
    <w:p w14:paraId="6FC6C299"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Those of you who want to explore definitions in greater depth are referred to my work elsewhere (Pollitt, 2005a), but for present purposes I will short-circuit further debate by specifying the working definition that I will use in this chapter. It is that decentralization occurs when:</w:t>
      </w:r>
    </w:p>
    <w:p w14:paraId="37245F9E" w14:textId="77777777" w:rsidR="00202F51" w:rsidRPr="00202F51" w:rsidRDefault="00202F51" w:rsidP="00202F51">
      <w:pPr>
        <w:spacing w:line="281" w:lineRule="atLeast"/>
        <w:jc w:val="both"/>
        <w:rPr>
          <w:rFonts w:ascii="LinLibertine" w:eastAsia="Times New Roman" w:hAnsi="LinLibertine" w:cs="Times New Roman"/>
          <w:color w:val="000000"/>
          <w:lang w:eastAsia="en-GB"/>
        </w:rPr>
      </w:pPr>
      <w:proofErr w:type="gramStart"/>
      <w:r w:rsidRPr="00202F51">
        <w:rPr>
          <w:rFonts w:ascii="LinLibertine" w:eastAsia="Times New Roman" w:hAnsi="LinLibertine" w:cs="Times New Roman"/>
          <w:color w:val="000000"/>
          <w:lang w:eastAsia="en-GB"/>
        </w:rPr>
        <w:t>authority</w:t>
      </w:r>
      <w:proofErr w:type="gramEnd"/>
      <w:r w:rsidRPr="00202F51">
        <w:rPr>
          <w:rFonts w:ascii="LinLibertine" w:eastAsia="Times New Roman" w:hAnsi="LinLibertine" w:cs="Times New Roman"/>
          <w:color w:val="000000"/>
          <w:lang w:eastAsia="en-GB"/>
        </w:rPr>
        <w:t xml:space="preserve"> is spread out from a smaller to a larger number of actors.</w:t>
      </w:r>
    </w:p>
    <w:p w14:paraId="097509F1"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Thus, taking part of a ministry and turning it into a semi-autonomous executive agency is an act of decentralization in so far as the staff of the new agency are able to take authoritative decisions (e.g. about money, staff, cases) that previously they would have had to clear ‘up the line’ within the ministry. Of course, this </w:t>
      </w:r>
      <w:r w:rsidRPr="00202F51">
        <w:rPr>
          <w:rFonts w:ascii="LinLibertine" w:eastAsia="Times New Roman" w:hAnsi="LinLibertine" w:cs="Times New Roman"/>
          <w:i/>
          <w:iCs/>
          <w:color w:val="000000"/>
          <w:sz w:val="24"/>
          <w:szCs w:val="24"/>
          <w:lang w:eastAsia="en-GB"/>
        </w:rPr>
        <w:t>could</w:t>
      </w:r>
      <w:r w:rsidRPr="00202F51">
        <w:rPr>
          <w:rFonts w:ascii="LinLibertine" w:eastAsia="Times New Roman" w:hAnsi="LinLibertine" w:cs="Times New Roman"/>
          <w:color w:val="000000"/>
          <w:sz w:val="24"/>
          <w:szCs w:val="24"/>
          <w:lang w:eastAsia="en-GB"/>
        </w:rPr>
        <w:t> also mean that, while the chief executive of the new agency gained authority, s/he used it to exert even tighter control over rank-and-file staff. So decentralization </w:t>
      </w:r>
      <w:r w:rsidRPr="00202F51">
        <w:rPr>
          <w:rFonts w:ascii="LinLibertine" w:eastAsia="Times New Roman" w:hAnsi="LinLibertine" w:cs="Times New Roman"/>
          <w:i/>
          <w:iCs/>
          <w:color w:val="000000"/>
          <w:sz w:val="24"/>
          <w:szCs w:val="24"/>
          <w:lang w:eastAsia="en-GB"/>
        </w:rPr>
        <w:t>to</w:t>
      </w:r>
      <w:r w:rsidRPr="00202F51">
        <w:rPr>
          <w:rFonts w:ascii="LinLibertine" w:eastAsia="Times New Roman" w:hAnsi="LinLibertine" w:cs="Times New Roman"/>
          <w:color w:val="000000"/>
          <w:sz w:val="24"/>
          <w:szCs w:val="24"/>
          <w:lang w:eastAsia="en-GB"/>
        </w:rPr>
        <w:t> an arm’s-length body certainly does not automatically mean that everything </w:t>
      </w:r>
      <w:r w:rsidRPr="00202F51">
        <w:rPr>
          <w:rFonts w:ascii="LinLibertine" w:eastAsia="Times New Roman" w:hAnsi="LinLibertine" w:cs="Times New Roman"/>
          <w:i/>
          <w:iCs/>
          <w:color w:val="000000"/>
          <w:sz w:val="24"/>
          <w:szCs w:val="24"/>
          <w:lang w:eastAsia="en-GB"/>
        </w:rPr>
        <w:t>within</w:t>
      </w:r>
      <w:r w:rsidRPr="00202F51">
        <w:rPr>
          <w:rFonts w:ascii="LinLibertine" w:eastAsia="Times New Roman" w:hAnsi="LinLibertine" w:cs="Times New Roman"/>
          <w:color w:val="000000"/>
          <w:sz w:val="24"/>
          <w:szCs w:val="24"/>
          <w:lang w:eastAsia="en-GB"/>
        </w:rPr>
        <w:t> that body is decentralized. (A famous example was once Herr Franz-Josef Strauss, who lobbied German Federal Government successfully to locate many federal agencies throughout Bavaria, the state where he was Minister-President, while keeping most Bavarian state bodies located in the state capital of Munich.) Note that this definition also implies that decentralization can take place without any arm’s-length bodies being created at all. Internal decentralization can occur if a ministry (or any other organizational unit) decides to give increased spending or personnel authority to middle managers, or to give increased discretion in case-handling to desk/street-level staff. Decentralization may also take place at local levels when public services are no longer provided by the local authority but by newly founded public agencies, which enjoy managerial discretion but are still accountable to the local council. For example, in the state of North Rhine-Westphalia in Germany, the number of semi-autonomous public agencies at local level has increased from 736 in 1997 to 941 in 2007. It is important to note that the degree of decentralization does not go in hand with the legal autonomy of the new agency. Indeed, legally autonomous agencies at local level in Germany (so-called </w:t>
      </w:r>
      <w:proofErr w:type="spellStart"/>
      <w:r w:rsidRPr="00202F51">
        <w:rPr>
          <w:rFonts w:ascii="LinLibertine" w:eastAsia="Times New Roman" w:hAnsi="LinLibertine" w:cs="Times New Roman"/>
          <w:i/>
          <w:iCs/>
          <w:color w:val="000000"/>
          <w:sz w:val="24"/>
          <w:szCs w:val="24"/>
          <w:lang w:eastAsia="en-GB"/>
        </w:rPr>
        <w:t>Zweckverbände</w:t>
      </w:r>
      <w:proofErr w:type="spellEnd"/>
      <w:r w:rsidRPr="00202F51">
        <w:rPr>
          <w:rFonts w:ascii="LinLibertine" w:eastAsia="Times New Roman" w:hAnsi="LinLibertine" w:cs="Times New Roman"/>
          <w:color w:val="000000"/>
          <w:sz w:val="24"/>
          <w:szCs w:val="24"/>
          <w:lang w:eastAsia="en-GB"/>
        </w:rPr>
        <w:t> or </w:t>
      </w:r>
      <w:proofErr w:type="spellStart"/>
      <w:r w:rsidRPr="00202F51">
        <w:rPr>
          <w:rFonts w:ascii="LinLibertine" w:eastAsia="Times New Roman" w:hAnsi="LinLibertine" w:cs="Times New Roman"/>
          <w:i/>
          <w:iCs/>
          <w:color w:val="000000"/>
          <w:sz w:val="24"/>
          <w:szCs w:val="24"/>
          <w:lang w:eastAsia="en-GB"/>
        </w:rPr>
        <w:t>öffentlich-rechtliche</w:t>
      </w:r>
      <w:proofErr w:type="spellEnd"/>
      <w:r w:rsidRPr="00202F51">
        <w:rPr>
          <w:rFonts w:ascii="LinLibertine" w:eastAsia="Times New Roman" w:hAnsi="LinLibertine" w:cs="Times New Roman"/>
          <w:i/>
          <w:iCs/>
          <w:color w:val="000000"/>
          <w:sz w:val="24"/>
          <w:szCs w:val="24"/>
          <w:lang w:eastAsia="en-GB"/>
        </w:rPr>
        <w:t xml:space="preserve"> </w:t>
      </w:r>
      <w:proofErr w:type="spellStart"/>
      <w:r w:rsidRPr="00202F51">
        <w:rPr>
          <w:rFonts w:ascii="LinLibertine" w:eastAsia="Times New Roman" w:hAnsi="LinLibertine" w:cs="Times New Roman"/>
          <w:i/>
          <w:iCs/>
          <w:color w:val="000000"/>
          <w:sz w:val="24"/>
          <w:szCs w:val="24"/>
          <w:lang w:eastAsia="en-GB"/>
        </w:rPr>
        <w:t>Anstalten</w:t>
      </w:r>
      <w:proofErr w:type="spellEnd"/>
      <w:r w:rsidRPr="00202F51">
        <w:rPr>
          <w:rFonts w:ascii="LinLibertine" w:eastAsia="Times New Roman" w:hAnsi="LinLibertine" w:cs="Times New Roman"/>
          <w:color w:val="000000"/>
          <w:sz w:val="24"/>
          <w:szCs w:val="24"/>
          <w:lang w:eastAsia="en-GB"/>
        </w:rPr>
        <w:t>) may sometimes have less managerial freedom than local authority agencies without an independent legal status (so-called </w:t>
      </w:r>
      <w:r w:rsidRPr="00202F51">
        <w:rPr>
          <w:rFonts w:ascii="LinLibertine" w:eastAsia="Times New Roman" w:hAnsi="LinLibertine" w:cs="Times New Roman"/>
          <w:i/>
          <w:iCs/>
          <w:color w:val="000000"/>
          <w:sz w:val="24"/>
          <w:szCs w:val="24"/>
          <w:lang w:eastAsia="en-GB"/>
        </w:rPr>
        <w:t>Eigen</w:t>
      </w:r>
      <w:r w:rsidRPr="00202F51">
        <w:rPr>
          <w:rFonts w:ascii="LinLibertine" w:eastAsia="Times New Roman" w:hAnsi="LinLibertine" w:cs="Times New Roman"/>
          <w:color w:val="000000"/>
          <w:sz w:val="24"/>
          <w:szCs w:val="24"/>
          <w:lang w:eastAsia="en-GB"/>
        </w:rPr>
        <w:t>- or </w:t>
      </w:r>
      <w:proofErr w:type="spellStart"/>
      <w:r w:rsidRPr="00202F51">
        <w:rPr>
          <w:rFonts w:ascii="LinLibertine" w:eastAsia="Times New Roman" w:hAnsi="LinLibertine" w:cs="Times New Roman"/>
          <w:i/>
          <w:iCs/>
          <w:color w:val="000000"/>
          <w:sz w:val="24"/>
          <w:szCs w:val="24"/>
          <w:lang w:eastAsia="en-GB"/>
        </w:rPr>
        <w:t>Regiebetriebe</w:t>
      </w:r>
      <w:proofErr w:type="spellEnd"/>
      <w:r w:rsidRPr="00202F51">
        <w:rPr>
          <w:rFonts w:ascii="LinLibertine" w:eastAsia="Times New Roman" w:hAnsi="LinLibertine" w:cs="Times New Roman"/>
          <w:color w:val="000000"/>
          <w:sz w:val="24"/>
          <w:szCs w:val="24"/>
          <w:lang w:eastAsia="en-GB"/>
        </w:rPr>
        <w:t>).</w:t>
      </w:r>
    </w:p>
    <w:p w14:paraId="6A0B1859" w14:textId="77777777" w:rsidR="00202F51" w:rsidRPr="00202F51" w:rsidRDefault="00202F51" w:rsidP="00202F51">
      <w:pPr>
        <w:spacing w:after="0"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A second definitional question is, what is an ‘arm’s-length body’ (or ‘agency’, or ‘QUANGO’ – quasi-autonomous non-governmental organization)? Again, I am afraid I am largely going to dodge this, with good reason. The question has been debated endlessly, both in the academic literature (Pollitt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2004: 7–11) and in official reports at the national and international levels. But no great progress towards an agreed definition has been made. What has been revealed by these debates is a whole zoo full of differing titles, concepts and legal frameworks. In different countries, different species of arm’s-length bodies are termed agencies and non-departmental public bodies (UK), crown entities (New Zealand), special operating agencies (Canada), administrative corporations (Japan), </w:t>
      </w:r>
      <w:proofErr w:type="spellStart"/>
      <w:r w:rsidRPr="00202F51">
        <w:rPr>
          <w:rFonts w:ascii="LinLibertine" w:eastAsia="Times New Roman" w:hAnsi="LinLibertine" w:cs="Times New Roman"/>
          <w:i/>
          <w:iCs/>
          <w:color w:val="000000"/>
          <w:sz w:val="24"/>
          <w:szCs w:val="24"/>
          <w:lang w:eastAsia="en-GB"/>
        </w:rPr>
        <w:t>mydigheter</w:t>
      </w:r>
      <w:proofErr w:type="spellEnd"/>
      <w:r w:rsidRPr="00202F51">
        <w:rPr>
          <w:rFonts w:ascii="LinLibertine" w:eastAsia="Times New Roman" w:hAnsi="LinLibertine" w:cs="Times New Roman"/>
          <w:color w:val="000000"/>
          <w:sz w:val="24"/>
          <w:szCs w:val="24"/>
          <w:lang w:eastAsia="en-GB"/>
        </w:rPr>
        <w:t> (Sweden), </w:t>
      </w:r>
      <w:proofErr w:type="spellStart"/>
      <w:r w:rsidRPr="00202F51">
        <w:rPr>
          <w:rFonts w:ascii="LinLibertine" w:eastAsia="Times New Roman" w:hAnsi="LinLibertine" w:cs="Times New Roman"/>
          <w:i/>
          <w:iCs/>
          <w:color w:val="000000"/>
          <w:sz w:val="24"/>
          <w:szCs w:val="24"/>
          <w:lang w:eastAsia="en-GB"/>
        </w:rPr>
        <w:t>établissements</w:t>
      </w:r>
      <w:proofErr w:type="spellEnd"/>
      <w:r w:rsidRPr="00202F51">
        <w:rPr>
          <w:rFonts w:ascii="LinLibertine" w:eastAsia="Times New Roman" w:hAnsi="LinLibertine" w:cs="Times New Roman"/>
          <w:i/>
          <w:iCs/>
          <w:color w:val="000000"/>
          <w:sz w:val="24"/>
          <w:szCs w:val="24"/>
          <w:lang w:eastAsia="en-GB"/>
        </w:rPr>
        <w:t xml:space="preserve"> publics</w:t>
      </w:r>
      <w:r w:rsidRPr="00202F51">
        <w:rPr>
          <w:rFonts w:ascii="LinLibertine" w:eastAsia="Times New Roman" w:hAnsi="LinLibertine" w:cs="Times New Roman"/>
          <w:color w:val="000000"/>
          <w:sz w:val="24"/>
          <w:szCs w:val="24"/>
          <w:lang w:eastAsia="en-GB"/>
        </w:rPr>
        <w:t> (France), </w:t>
      </w:r>
      <w:proofErr w:type="spellStart"/>
      <w:r w:rsidRPr="00202F51">
        <w:rPr>
          <w:rFonts w:ascii="LinLibertine" w:eastAsia="Times New Roman" w:hAnsi="LinLibertine" w:cs="Times New Roman"/>
          <w:i/>
          <w:iCs/>
          <w:color w:val="000000"/>
          <w:sz w:val="24"/>
          <w:szCs w:val="24"/>
          <w:lang w:eastAsia="en-GB"/>
        </w:rPr>
        <w:t>zelfstandig</w:t>
      </w:r>
      <w:proofErr w:type="spellEnd"/>
      <w:r w:rsidRPr="00202F51">
        <w:rPr>
          <w:rFonts w:ascii="LinLibertine" w:eastAsia="Times New Roman" w:hAnsi="LinLibertine" w:cs="Times New Roman"/>
          <w:i/>
          <w:iCs/>
          <w:color w:val="000000"/>
          <w:sz w:val="24"/>
          <w:szCs w:val="24"/>
          <w:lang w:eastAsia="en-GB"/>
        </w:rPr>
        <w:t xml:space="preserve"> </w:t>
      </w:r>
      <w:proofErr w:type="spellStart"/>
      <w:r w:rsidRPr="00202F51">
        <w:rPr>
          <w:rFonts w:ascii="LinLibertine" w:eastAsia="Times New Roman" w:hAnsi="LinLibertine" w:cs="Times New Roman"/>
          <w:i/>
          <w:iCs/>
          <w:color w:val="000000"/>
          <w:sz w:val="24"/>
          <w:szCs w:val="24"/>
          <w:lang w:eastAsia="en-GB"/>
        </w:rPr>
        <w:t>bestuurs</w:t>
      </w:r>
      <w:proofErr w:type="spellEnd"/>
      <w:r w:rsidRPr="00202F51">
        <w:rPr>
          <w:rFonts w:ascii="LinLibertine" w:eastAsia="Times New Roman" w:hAnsi="LinLibertine" w:cs="Times New Roman"/>
          <w:i/>
          <w:iCs/>
          <w:color w:val="000000"/>
          <w:sz w:val="24"/>
          <w:szCs w:val="24"/>
          <w:lang w:eastAsia="en-GB"/>
        </w:rPr>
        <w:t xml:space="preserve"> </w:t>
      </w:r>
      <w:proofErr w:type="spellStart"/>
      <w:r w:rsidRPr="00202F51">
        <w:rPr>
          <w:rFonts w:ascii="LinLibertine" w:eastAsia="Times New Roman" w:hAnsi="LinLibertine" w:cs="Times New Roman"/>
          <w:i/>
          <w:iCs/>
          <w:color w:val="000000"/>
          <w:sz w:val="24"/>
          <w:szCs w:val="24"/>
          <w:lang w:eastAsia="en-GB"/>
        </w:rPr>
        <w:t>organisaties</w:t>
      </w:r>
      <w:proofErr w:type="spellEnd"/>
      <w:r w:rsidRPr="00202F51">
        <w:rPr>
          <w:rFonts w:ascii="LinLibertine" w:eastAsia="Times New Roman" w:hAnsi="LinLibertine" w:cs="Times New Roman"/>
          <w:color w:val="000000"/>
          <w:sz w:val="24"/>
          <w:szCs w:val="24"/>
          <w:lang w:eastAsia="en-GB"/>
        </w:rPr>
        <w:t> (ZBOs) (Netherlands), </w:t>
      </w:r>
      <w:proofErr w:type="spellStart"/>
      <w:r w:rsidRPr="00202F51">
        <w:rPr>
          <w:rFonts w:ascii="LinLibertine" w:eastAsia="Times New Roman" w:hAnsi="LinLibertine" w:cs="Times New Roman"/>
          <w:i/>
          <w:iCs/>
          <w:color w:val="000000"/>
          <w:sz w:val="24"/>
          <w:szCs w:val="24"/>
          <w:lang w:eastAsia="en-GB"/>
        </w:rPr>
        <w:t>autorita</w:t>
      </w:r>
      <w:proofErr w:type="spellEnd"/>
      <w:r w:rsidRPr="00202F51">
        <w:rPr>
          <w:rFonts w:ascii="LinLibertine" w:eastAsia="Times New Roman" w:hAnsi="LinLibertine" w:cs="Times New Roman"/>
          <w:i/>
          <w:iCs/>
          <w:color w:val="000000"/>
          <w:sz w:val="24"/>
          <w:szCs w:val="24"/>
          <w:lang w:eastAsia="en-GB"/>
        </w:rPr>
        <w:t xml:space="preserve"> </w:t>
      </w:r>
      <w:proofErr w:type="spellStart"/>
      <w:r w:rsidRPr="00202F51">
        <w:rPr>
          <w:rFonts w:ascii="LinLibertine" w:eastAsia="Times New Roman" w:hAnsi="LinLibertine" w:cs="Times New Roman"/>
          <w:i/>
          <w:iCs/>
          <w:color w:val="000000"/>
          <w:sz w:val="24"/>
          <w:szCs w:val="24"/>
          <w:lang w:eastAsia="en-GB"/>
        </w:rPr>
        <w:t>amministrative</w:t>
      </w:r>
      <w:proofErr w:type="spellEnd"/>
      <w:r w:rsidRPr="00202F51">
        <w:rPr>
          <w:rFonts w:ascii="LinLibertine" w:eastAsia="Times New Roman" w:hAnsi="LinLibertine" w:cs="Times New Roman"/>
          <w:i/>
          <w:iCs/>
          <w:color w:val="000000"/>
          <w:sz w:val="24"/>
          <w:szCs w:val="24"/>
          <w:lang w:eastAsia="en-GB"/>
        </w:rPr>
        <w:t xml:space="preserve"> </w:t>
      </w:r>
      <w:proofErr w:type="spellStart"/>
      <w:r w:rsidRPr="00202F51">
        <w:rPr>
          <w:rFonts w:ascii="LinLibertine" w:eastAsia="Times New Roman" w:hAnsi="LinLibertine" w:cs="Times New Roman"/>
          <w:i/>
          <w:iCs/>
          <w:color w:val="000000"/>
          <w:sz w:val="24"/>
          <w:szCs w:val="24"/>
          <w:lang w:eastAsia="en-GB"/>
        </w:rPr>
        <w:t>independente</w:t>
      </w:r>
      <w:proofErr w:type="spellEnd"/>
      <w:r w:rsidRPr="00202F51">
        <w:rPr>
          <w:rFonts w:ascii="LinLibertine" w:eastAsia="Times New Roman" w:hAnsi="LinLibertine" w:cs="Times New Roman"/>
          <w:color w:val="000000"/>
          <w:sz w:val="24"/>
          <w:szCs w:val="24"/>
          <w:lang w:eastAsia="en-GB"/>
        </w:rPr>
        <w:t xml:space="preserve"> (Italy) and </w:t>
      </w:r>
      <w:r w:rsidRPr="00202F51">
        <w:rPr>
          <w:rFonts w:ascii="LinLibertine" w:eastAsia="Times New Roman" w:hAnsi="LinLibertine" w:cs="Times New Roman"/>
          <w:color w:val="000000"/>
          <w:sz w:val="24"/>
          <w:szCs w:val="24"/>
          <w:lang w:eastAsia="en-GB"/>
        </w:rPr>
        <w:lastRenderedPageBreak/>
        <w:t>many other things (the Organisation for Economic Co-operation and Development – OECD – has nearly given up and has invented a covering term, ‘distributed public governance’ [OECD, 2001]). Each of these types has a somewhat different set of powers and a somewhat different relationship to its own political system (themselves differing enormously). Since national systems of law are also different, the researcher cannot find refuge in some universal legalistic definition. And even within individual countries, policies for creating agencies have often been fairly inconsistent, so that successive attempts at rationalization have become necessary (</w:t>
      </w:r>
      <w:proofErr w:type="spellStart"/>
      <w:r w:rsidRPr="00202F51">
        <w:rPr>
          <w:rFonts w:ascii="LinLibertine" w:eastAsia="Times New Roman" w:hAnsi="LinLibertine" w:cs="Times New Roman"/>
          <w:color w:val="000000"/>
          <w:sz w:val="24"/>
          <w:szCs w:val="24"/>
          <w:lang w:eastAsia="en-GB"/>
        </w:rPr>
        <w:t>Verhoest</w:t>
      </w:r>
      <w:proofErr w:type="spell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2012: 435–436). For the purposes of this chapter my (imperfect and general) working definition will be that an arm’s-length body is an organization that:</w:t>
      </w:r>
    </w:p>
    <w:p w14:paraId="46B1F835" w14:textId="77777777" w:rsidR="00202F51" w:rsidRPr="00202F51" w:rsidRDefault="00202F51" w:rsidP="00202F51">
      <w:pPr>
        <w:numPr>
          <w:ilvl w:val="0"/>
          <w:numId w:val="2"/>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has its status defined principally or exclusively in public law (though the nature of that law may vary greatly between different national systems);</w:t>
      </w:r>
    </w:p>
    <w:p w14:paraId="348BD5FB" w14:textId="77777777" w:rsidR="00202F51" w:rsidRPr="00202F51" w:rsidRDefault="00202F51" w:rsidP="00202F51">
      <w:pPr>
        <w:numPr>
          <w:ilvl w:val="0"/>
          <w:numId w:val="2"/>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is functionally disaggregated from the core of its ministry or department of state;</w:t>
      </w:r>
    </w:p>
    <w:p w14:paraId="739CD805" w14:textId="77777777" w:rsidR="00202F51" w:rsidRPr="00202F51" w:rsidRDefault="00202F51" w:rsidP="00202F51">
      <w:pPr>
        <w:numPr>
          <w:ilvl w:val="0"/>
          <w:numId w:val="2"/>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enjoys </w:t>
      </w:r>
      <w:r w:rsidRPr="00202F51">
        <w:rPr>
          <w:rFonts w:ascii="LinLibertine" w:eastAsia="Times New Roman" w:hAnsi="LinLibertine" w:cs="Times New Roman"/>
          <w:i/>
          <w:iCs/>
          <w:color w:val="000000"/>
          <w:sz w:val="24"/>
          <w:szCs w:val="24"/>
          <w:lang w:eastAsia="en-GB"/>
        </w:rPr>
        <w:t>some</w:t>
      </w:r>
      <w:r w:rsidRPr="00202F51">
        <w:rPr>
          <w:rFonts w:ascii="LinLibertine" w:eastAsia="Times New Roman" w:hAnsi="LinLibertine" w:cs="Times New Roman"/>
          <w:color w:val="000000"/>
          <w:sz w:val="24"/>
          <w:szCs w:val="24"/>
          <w:lang w:eastAsia="en-GB"/>
        </w:rPr>
        <w:t> degree of autonomy that is not enjoyed by the core ministry;</w:t>
      </w:r>
    </w:p>
    <w:p w14:paraId="63182FDA" w14:textId="77777777" w:rsidR="00202F51" w:rsidRPr="00202F51" w:rsidRDefault="00202F51" w:rsidP="00202F51">
      <w:pPr>
        <w:numPr>
          <w:ilvl w:val="0"/>
          <w:numId w:val="2"/>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proofErr w:type="gramStart"/>
      <w:r w:rsidRPr="00202F51">
        <w:rPr>
          <w:rFonts w:ascii="LinLibertine" w:eastAsia="Times New Roman" w:hAnsi="LinLibertine" w:cs="Times New Roman"/>
          <w:color w:val="000000"/>
          <w:sz w:val="24"/>
          <w:szCs w:val="24"/>
          <w:lang w:eastAsia="en-GB"/>
        </w:rPr>
        <w:t>is</w:t>
      </w:r>
      <w:proofErr w:type="gramEnd"/>
      <w:r w:rsidRPr="00202F51">
        <w:rPr>
          <w:rFonts w:ascii="LinLibertine" w:eastAsia="Times New Roman" w:hAnsi="LinLibertine" w:cs="Times New Roman"/>
          <w:color w:val="000000"/>
          <w:sz w:val="24"/>
          <w:szCs w:val="24"/>
          <w:lang w:eastAsia="en-GB"/>
        </w:rPr>
        <w:t xml:space="preserve"> nevertheless linked to the ministry/department of state. For semi-autonomous agencies this may still permit ministers/secretaries of state to alter the budgets and main operational goals of the organization. For more fully autonomous bodies (such as Dutch ZBOs), ministers may not be able to do this, because the arm’s-length body has some kind of statutory independence that means it can only be given general directives by the political level, not case-specific instructions;</w:t>
      </w:r>
    </w:p>
    <w:p w14:paraId="31F097BC" w14:textId="77777777" w:rsidR="00202F51" w:rsidRPr="00202F51" w:rsidRDefault="00202F51" w:rsidP="00202F51">
      <w:pPr>
        <w:numPr>
          <w:ilvl w:val="0"/>
          <w:numId w:val="2"/>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in some way exercises public authority (e.g. by regulating activities, providing a public service or exercising quasi-judicial authority);</w:t>
      </w:r>
    </w:p>
    <w:p w14:paraId="75F9E375" w14:textId="77777777" w:rsidR="00202F51" w:rsidRPr="00202F51" w:rsidRDefault="00202F51" w:rsidP="00202F51">
      <w:pPr>
        <w:numPr>
          <w:ilvl w:val="0"/>
          <w:numId w:val="2"/>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proofErr w:type="gramStart"/>
      <w:r w:rsidRPr="00202F51">
        <w:rPr>
          <w:rFonts w:ascii="LinLibertine" w:eastAsia="Times New Roman" w:hAnsi="LinLibertine" w:cs="Times New Roman"/>
          <w:color w:val="000000"/>
          <w:sz w:val="24"/>
          <w:szCs w:val="24"/>
          <w:lang w:eastAsia="en-GB"/>
        </w:rPr>
        <w:t>is</w:t>
      </w:r>
      <w:proofErr w:type="gramEnd"/>
      <w:r w:rsidRPr="00202F51">
        <w:rPr>
          <w:rFonts w:ascii="LinLibertine" w:eastAsia="Times New Roman" w:hAnsi="LinLibertine" w:cs="Times New Roman"/>
          <w:color w:val="000000"/>
          <w:sz w:val="24"/>
          <w:szCs w:val="24"/>
          <w:lang w:eastAsia="en-GB"/>
        </w:rPr>
        <w:t xml:space="preserve"> not a commercial corporation.</w:t>
      </w:r>
    </w:p>
    <w:p w14:paraId="0E97E962" w14:textId="77777777" w:rsidR="00202F51" w:rsidRPr="00202F51" w:rsidRDefault="00202F51" w:rsidP="00202F51">
      <w:pPr>
        <w:spacing w:before="480" w:after="240" w:line="468" w:lineRule="atLeast"/>
        <w:outlineLvl w:val="1"/>
        <w:rPr>
          <w:rFonts w:ascii="LinLibertine" w:eastAsia="Times New Roman" w:hAnsi="LinLibertine" w:cs="Times New Roman"/>
          <w:b/>
          <w:bCs/>
          <w:color w:val="000000"/>
          <w:sz w:val="36"/>
          <w:szCs w:val="36"/>
          <w:lang w:eastAsia="en-GB"/>
        </w:rPr>
      </w:pPr>
      <w:r w:rsidRPr="00202F51">
        <w:rPr>
          <w:rFonts w:ascii="LinLibertine" w:eastAsia="Times New Roman" w:hAnsi="LinLibertine" w:cs="Times New Roman"/>
          <w:b/>
          <w:bCs/>
          <w:color w:val="000000"/>
          <w:sz w:val="36"/>
          <w:szCs w:val="36"/>
          <w:lang w:eastAsia="en-GB"/>
        </w:rPr>
        <w:t>Arguments in favour of the decentralization of authority to arm’s-length bodies</w:t>
      </w:r>
    </w:p>
    <w:p w14:paraId="74E0FB09"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I will first list some of the key arguments that have been used – both by academics and practitioners – in favour of decentralization. One reason why decentralization is so popular is its property of being able to link up with many other arguments and concepts. It is therefore persuasively useful for several different reform agendas at the same time. It appears to bring both administrative and political benefits, and is therefore a kind of ‘magic concept’ (Pollitt, 2005a; Pollitt and </w:t>
      </w:r>
      <w:proofErr w:type="spellStart"/>
      <w:r w:rsidRPr="00202F51">
        <w:rPr>
          <w:rFonts w:ascii="LinLibertine" w:eastAsia="Times New Roman" w:hAnsi="LinLibertine" w:cs="Times New Roman"/>
          <w:color w:val="000000"/>
          <w:sz w:val="24"/>
          <w:szCs w:val="24"/>
          <w:lang w:eastAsia="en-GB"/>
        </w:rPr>
        <w:t>Hupe</w:t>
      </w:r>
      <w:proofErr w:type="spellEnd"/>
      <w:r w:rsidRPr="00202F51">
        <w:rPr>
          <w:rFonts w:ascii="LinLibertine" w:eastAsia="Times New Roman" w:hAnsi="LinLibertine" w:cs="Times New Roman"/>
          <w:color w:val="000000"/>
          <w:sz w:val="24"/>
          <w:szCs w:val="24"/>
          <w:lang w:eastAsia="en-GB"/>
        </w:rPr>
        <w:t>, 2011).</w:t>
      </w:r>
    </w:p>
    <w:p w14:paraId="760B8F70" w14:textId="77777777" w:rsidR="00202F51" w:rsidRPr="00202F51" w:rsidRDefault="00202F51" w:rsidP="00202F51">
      <w:pPr>
        <w:spacing w:after="0"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Thus decentralization can be political as well as administrative. Although we are here more interested in management issues, it is necessary to be aware of the political arguments, since in practice these are often thoroughly intermingled with their administrative brothers. Some arm’s-length bodies include their own political element – for example, a wholly or partly elected board. Others may be purely administrative in form, but nevertheless seek to establish participatory mechanisms with citizens (e.g. through residents’ panels, user advisory boards, regular open meetings).</w:t>
      </w:r>
    </w:p>
    <w:p w14:paraId="348AAF9A" w14:textId="77777777" w:rsidR="00202F51" w:rsidRPr="00202F51" w:rsidRDefault="00202F51" w:rsidP="00202F51">
      <w:pPr>
        <w:spacing w:after="0"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If you look at the arguments listed in </w:t>
      </w:r>
      <w:hyperlink r:id="rId8" w:anchor="box18_1" w:history="1">
        <w:r w:rsidRPr="00202F51">
          <w:rPr>
            <w:rFonts w:ascii="LinLibertine" w:eastAsia="Times New Roman" w:hAnsi="LinLibertine" w:cs="Times New Roman"/>
            <w:color w:val="0000FF"/>
            <w:sz w:val="24"/>
            <w:szCs w:val="24"/>
            <w:u w:val="single"/>
            <w:lang w:eastAsia="en-GB"/>
          </w:rPr>
          <w:t>Boxes 18.1</w:t>
        </w:r>
      </w:hyperlink>
      <w:r w:rsidRPr="00202F51">
        <w:rPr>
          <w:rFonts w:ascii="LinLibertine" w:eastAsia="Times New Roman" w:hAnsi="LinLibertine" w:cs="Times New Roman"/>
          <w:color w:val="000000"/>
          <w:sz w:val="24"/>
          <w:szCs w:val="24"/>
          <w:lang w:eastAsia="en-GB"/>
        </w:rPr>
        <w:t> and </w:t>
      </w:r>
      <w:hyperlink r:id="rId9" w:anchor="box18_2" w:history="1">
        <w:r w:rsidRPr="00202F51">
          <w:rPr>
            <w:rFonts w:ascii="LinLibertine" w:eastAsia="Times New Roman" w:hAnsi="LinLibertine" w:cs="Times New Roman"/>
            <w:color w:val="0000FF"/>
            <w:sz w:val="24"/>
            <w:szCs w:val="24"/>
            <w:u w:val="single"/>
            <w:lang w:eastAsia="en-GB"/>
          </w:rPr>
          <w:t>18.2</w:t>
        </w:r>
      </w:hyperlink>
      <w:r w:rsidRPr="00202F51">
        <w:rPr>
          <w:rFonts w:ascii="LinLibertine" w:eastAsia="Times New Roman" w:hAnsi="LinLibertine" w:cs="Times New Roman"/>
          <w:color w:val="000000"/>
          <w:sz w:val="24"/>
          <w:szCs w:val="24"/>
          <w:lang w:eastAsia="en-GB"/>
        </w:rPr>
        <w:t> you will realize that decentralization sounds wonderful! It seems to solve a whole host of administrative and political problems. However, you probably won’t be surprised to hear that:</w:t>
      </w:r>
    </w:p>
    <w:p w14:paraId="477F80C9" w14:textId="77777777" w:rsidR="00202F51" w:rsidRPr="00202F51" w:rsidRDefault="00202F51" w:rsidP="00202F51">
      <w:pPr>
        <w:numPr>
          <w:ilvl w:val="0"/>
          <w:numId w:val="3"/>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none of these benefits arrives automatically: ‘the devil is in the detail’;</w:t>
      </w:r>
    </w:p>
    <w:p w14:paraId="017C70B2" w14:textId="77777777" w:rsidR="00202F51" w:rsidRPr="00202F51" w:rsidRDefault="00202F51" w:rsidP="00202F51">
      <w:pPr>
        <w:numPr>
          <w:ilvl w:val="0"/>
          <w:numId w:val="3"/>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lastRenderedPageBreak/>
        <w:t>there are some potential tensions or even contradictions between some of the different claimed benefits;</w:t>
      </w:r>
    </w:p>
    <w:p w14:paraId="1DFC0FB1" w14:textId="77777777" w:rsidR="00202F51" w:rsidRPr="00202F51" w:rsidRDefault="00202F51" w:rsidP="00202F51">
      <w:pPr>
        <w:numPr>
          <w:ilvl w:val="0"/>
          <w:numId w:val="3"/>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proofErr w:type="gramStart"/>
      <w:r w:rsidRPr="00202F51">
        <w:rPr>
          <w:rFonts w:ascii="LinLibertine" w:eastAsia="Times New Roman" w:hAnsi="LinLibertine" w:cs="Times New Roman"/>
          <w:color w:val="000000"/>
          <w:sz w:val="24"/>
          <w:szCs w:val="24"/>
          <w:lang w:eastAsia="en-GB"/>
        </w:rPr>
        <w:t>there</w:t>
      </w:r>
      <w:proofErr w:type="gramEnd"/>
      <w:r w:rsidRPr="00202F51">
        <w:rPr>
          <w:rFonts w:ascii="LinLibertine" w:eastAsia="Times New Roman" w:hAnsi="LinLibertine" w:cs="Times New Roman"/>
          <w:color w:val="000000"/>
          <w:sz w:val="24"/>
          <w:szCs w:val="24"/>
          <w:lang w:eastAsia="en-GB"/>
        </w:rPr>
        <w:t xml:space="preserve"> are also some alleged drawbacks to decentralization – and therefore some good arguments in favour of centralization.</w:t>
      </w:r>
    </w:p>
    <w:p w14:paraId="69F2C786"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 will take these points one by one.</w:t>
      </w:r>
    </w:p>
    <w:p w14:paraId="21DD5D4D" w14:textId="77777777" w:rsidR="00202F51" w:rsidRPr="00202F51" w:rsidRDefault="00F6720F" w:rsidP="00202F51">
      <w:pPr>
        <w:spacing w:after="240" w:line="240" w:lineRule="auto"/>
        <w:rPr>
          <w:rFonts w:ascii="LinLibertine" w:eastAsia="Times New Roman" w:hAnsi="LinLibertine" w:cs="Times New Roman"/>
          <w:b/>
          <w:bCs/>
          <w:color w:val="000000"/>
          <w:sz w:val="31"/>
          <w:szCs w:val="31"/>
          <w:lang w:eastAsia="en-GB"/>
        </w:rPr>
      </w:pPr>
      <w:hyperlink r:id="rId10" w:anchor="bck_box18_1" w:history="1">
        <w:r w:rsidR="00202F51" w:rsidRPr="00202F51">
          <w:rPr>
            <w:rFonts w:ascii="LinLibertine" w:eastAsia="Times New Roman" w:hAnsi="LinLibertine" w:cs="Times New Roman"/>
            <w:b/>
            <w:bCs/>
            <w:color w:val="0000FF"/>
            <w:sz w:val="31"/>
            <w:szCs w:val="31"/>
            <w:u w:val="single"/>
            <w:lang w:eastAsia="en-GB"/>
          </w:rPr>
          <w:t>Box 18.1</w:t>
        </w:r>
      </w:hyperlink>
      <w:r w:rsidR="00202F51" w:rsidRPr="00202F51">
        <w:rPr>
          <w:rFonts w:ascii="LinLibertine" w:eastAsia="Times New Roman" w:hAnsi="LinLibertine" w:cs="Times New Roman"/>
          <w:b/>
          <w:bCs/>
          <w:color w:val="000000"/>
          <w:sz w:val="31"/>
          <w:szCs w:val="31"/>
          <w:lang w:eastAsia="en-GB"/>
        </w:rPr>
        <w:t> Arguments in favour of administrative decentralization</w:t>
      </w:r>
    </w:p>
    <w:p w14:paraId="44510746" w14:textId="77777777" w:rsidR="00202F51" w:rsidRPr="00202F51" w:rsidRDefault="00202F51" w:rsidP="00202F51">
      <w:pPr>
        <w:numPr>
          <w:ilvl w:val="0"/>
          <w:numId w:val="4"/>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Decentralization (both vertical and horizontal) speeds decision-making by reducing the overload of information that otherwise clogs the upper reaches of a centralized hierarchy. Faster decision-making is more efficient.</w:t>
      </w:r>
    </w:p>
    <w:p w14:paraId="7390DA06" w14:textId="77777777" w:rsidR="00202F51" w:rsidRPr="00202F51" w:rsidRDefault="00202F51" w:rsidP="00202F51">
      <w:pPr>
        <w:numPr>
          <w:ilvl w:val="0"/>
          <w:numId w:val="4"/>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Decentralization means that decisions are taken closer to the users/consumers of an organization’s products and services, and this, in turn, means that decisions are likely to be more responsive to those users.</w:t>
      </w:r>
    </w:p>
    <w:p w14:paraId="170910F8" w14:textId="77777777" w:rsidR="00202F51" w:rsidRPr="00202F51" w:rsidRDefault="00202F51" w:rsidP="00202F51">
      <w:pPr>
        <w:numPr>
          <w:ilvl w:val="0"/>
          <w:numId w:val="4"/>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Decentralization improves the ability of an organization to take account of differences between one local context and another. Services can be better ‘tuned’ to local conditions.</w:t>
      </w:r>
    </w:p>
    <w:p w14:paraId="51DCA613" w14:textId="77777777" w:rsidR="00202F51" w:rsidRPr="00202F51" w:rsidRDefault="00202F51" w:rsidP="00202F51">
      <w:pPr>
        <w:numPr>
          <w:ilvl w:val="0"/>
          <w:numId w:val="4"/>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Decentralization may be used as one way to reduce political intervention in matters that are best managed without political interference in details (e.g. case work with individual citizens, regulatory functions, etc.).</w:t>
      </w:r>
    </w:p>
    <w:p w14:paraId="18DC18A5" w14:textId="77777777" w:rsidR="00202F51" w:rsidRPr="00202F51" w:rsidRDefault="00202F51" w:rsidP="00202F51">
      <w:pPr>
        <w:numPr>
          <w:ilvl w:val="0"/>
          <w:numId w:val="4"/>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Decentralization encourages innovation (because new ideas no longer have to find their way all the way up the hierarchy to the centre to be approved and authorized).</w:t>
      </w:r>
    </w:p>
    <w:p w14:paraId="4EAA4171" w14:textId="77777777" w:rsidR="00202F51" w:rsidRPr="00202F51" w:rsidRDefault="00202F51" w:rsidP="00202F51">
      <w:pPr>
        <w:numPr>
          <w:ilvl w:val="0"/>
          <w:numId w:val="4"/>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Decentralization improves staff motivation and identification. They feel that they can ‘belong’ to a smaller, more comprehensible organization, rather than just being a cog in a gigantic bureaucratic machine.</w:t>
      </w:r>
    </w:p>
    <w:p w14:paraId="749D5B2C" w14:textId="77777777" w:rsidR="00202F51" w:rsidRPr="00202F51" w:rsidRDefault="00202F51" w:rsidP="00202F51">
      <w:pPr>
        <w:spacing w:before="480" w:after="240" w:line="468" w:lineRule="atLeast"/>
        <w:outlineLvl w:val="1"/>
        <w:rPr>
          <w:rFonts w:ascii="LinLibertine" w:eastAsia="Times New Roman" w:hAnsi="LinLibertine" w:cs="Times New Roman"/>
          <w:b/>
          <w:bCs/>
          <w:color w:val="000000"/>
          <w:sz w:val="36"/>
          <w:szCs w:val="36"/>
          <w:lang w:eastAsia="en-GB"/>
        </w:rPr>
      </w:pPr>
      <w:r w:rsidRPr="00202F51">
        <w:rPr>
          <w:rFonts w:ascii="LinLibertine" w:eastAsia="Times New Roman" w:hAnsi="LinLibertine" w:cs="Times New Roman"/>
          <w:b/>
          <w:bCs/>
          <w:color w:val="000000"/>
          <w:sz w:val="36"/>
          <w:szCs w:val="36"/>
          <w:lang w:eastAsia="en-GB"/>
        </w:rPr>
        <w:t>Barriers to decentralization of authority to arm’s-length bodies</w:t>
      </w:r>
    </w:p>
    <w:p w14:paraId="53BF9FFE" w14:textId="77777777" w:rsidR="00202F51" w:rsidRPr="00202F51" w:rsidRDefault="00202F51" w:rsidP="00202F51">
      <w:pPr>
        <w:spacing w:before="480" w:after="240" w:line="374" w:lineRule="atLeast"/>
        <w:outlineLvl w:val="2"/>
        <w:rPr>
          <w:rFonts w:ascii="LinLibertine" w:eastAsia="Times New Roman" w:hAnsi="LinLibertine" w:cs="Times New Roman"/>
          <w:b/>
          <w:bCs/>
          <w:i/>
          <w:iCs/>
          <w:color w:val="000000"/>
          <w:sz w:val="29"/>
          <w:szCs w:val="29"/>
          <w:lang w:eastAsia="en-GB"/>
        </w:rPr>
      </w:pPr>
      <w:r w:rsidRPr="00202F51">
        <w:rPr>
          <w:rFonts w:ascii="LinLibertine" w:eastAsia="Times New Roman" w:hAnsi="LinLibertine" w:cs="Times New Roman"/>
          <w:b/>
          <w:bCs/>
          <w:i/>
          <w:iCs/>
          <w:color w:val="000000"/>
          <w:sz w:val="29"/>
          <w:szCs w:val="29"/>
          <w:lang w:eastAsia="en-GB"/>
        </w:rPr>
        <w:t>The benefits are not automatic</w:t>
      </w:r>
    </w:p>
    <w:p w14:paraId="7969BA99"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There is nothing automatic or inevitable about the benefits listed above. Much depends on </w:t>
      </w:r>
      <w:r w:rsidRPr="00202F51">
        <w:rPr>
          <w:rFonts w:ascii="LinLibertine" w:eastAsia="Times New Roman" w:hAnsi="LinLibertine" w:cs="Times New Roman"/>
          <w:i/>
          <w:iCs/>
          <w:color w:val="000000"/>
          <w:sz w:val="24"/>
          <w:szCs w:val="24"/>
          <w:lang w:eastAsia="en-GB"/>
        </w:rPr>
        <w:t>context</w:t>
      </w:r>
      <w:r w:rsidRPr="00202F51">
        <w:rPr>
          <w:rFonts w:ascii="LinLibertine" w:eastAsia="Times New Roman" w:hAnsi="LinLibertine" w:cs="Times New Roman"/>
          <w:color w:val="000000"/>
          <w:sz w:val="24"/>
          <w:szCs w:val="24"/>
          <w:lang w:eastAsia="en-GB"/>
        </w:rPr>
        <w:t> and on </w:t>
      </w:r>
      <w:r w:rsidRPr="00202F51">
        <w:rPr>
          <w:rFonts w:ascii="LinLibertine" w:eastAsia="Times New Roman" w:hAnsi="LinLibertine" w:cs="Times New Roman"/>
          <w:i/>
          <w:iCs/>
          <w:color w:val="000000"/>
          <w:sz w:val="24"/>
          <w:szCs w:val="24"/>
          <w:lang w:eastAsia="en-GB"/>
        </w:rPr>
        <w:t>clear-sighted design and implementation</w:t>
      </w:r>
      <w:r w:rsidRPr="00202F51">
        <w:rPr>
          <w:rFonts w:ascii="LinLibertine" w:eastAsia="Times New Roman" w:hAnsi="LinLibertine" w:cs="Times New Roman"/>
          <w:color w:val="000000"/>
          <w:sz w:val="24"/>
          <w:szCs w:val="24"/>
          <w:lang w:eastAsia="en-GB"/>
        </w:rPr>
        <w:t>.</w:t>
      </w:r>
    </w:p>
    <w:p w14:paraId="68286BED" w14:textId="77777777" w:rsidR="00202F51" w:rsidRPr="00202F51" w:rsidRDefault="00F6720F" w:rsidP="00202F51">
      <w:pPr>
        <w:spacing w:after="240" w:line="240" w:lineRule="auto"/>
        <w:rPr>
          <w:rFonts w:ascii="LinLibertine" w:eastAsia="Times New Roman" w:hAnsi="LinLibertine" w:cs="Times New Roman"/>
          <w:b/>
          <w:bCs/>
          <w:color w:val="000000"/>
          <w:sz w:val="31"/>
          <w:szCs w:val="31"/>
          <w:lang w:eastAsia="en-GB"/>
        </w:rPr>
      </w:pPr>
      <w:hyperlink r:id="rId11" w:anchor="bck_box18_2" w:history="1">
        <w:r w:rsidR="00202F51" w:rsidRPr="00202F51">
          <w:rPr>
            <w:rFonts w:ascii="LinLibertine" w:eastAsia="Times New Roman" w:hAnsi="LinLibertine" w:cs="Times New Roman"/>
            <w:b/>
            <w:bCs/>
            <w:color w:val="0000FF"/>
            <w:sz w:val="31"/>
            <w:szCs w:val="31"/>
            <w:u w:val="single"/>
            <w:lang w:eastAsia="en-GB"/>
          </w:rPr>
          <w:t>Box 18.2</w:t>
        </w:r>
      </w:hyperlink>
      <w:r w:rsidR="00202F51" w:rsidRPr="00202F51">
        <w:rPr>
          <w:rFonts w:ascii="LinLibertine" w:eastAsia="Times New Roman" w:hAnsi="LinLibertine" w:cs="Times New Roman"/>
          <w:b/>
          <w:bCs/>
          <w:color w:val="000000"/>
          <w:sz w:val="31"/>
          <w:szCs w:val="31"/>
          <w:lang w:eastAsia="en-GB"/>
        </w:rPr>
        <w:t> Arguments in favour of political decentralization</w:t>
      </w:r>
    </w:p>
    <w:p w14:paraId="71C1561C" w14:textId="77777777" w:rsidR="00202F51" w:rsidRPr="00202F51" w:rsidRDefault="00202F51" w:rsidP="00202F51">
      <w:pPr>
        <w:numPr>
          <w:ilvl w:val="0"/>
          <w:numId w:val="5"/>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Devolution of political power puts it closer to the citizen.</w:t>
      </w:r>
    </w:p>
    <w:p w14:paraId="21116968" w14:textId="77777777" w:rsidR="00202F51" w:rsidRPr="00202F51" w:rsidRDefault="00202F51" w:rsidP="00202F51">
      <w:pPr>
        <w:numPr>
          <w:ilvl w:val="0"/>
          <w:numId w:val="5"/>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Devolution of political power makes politicians less remote, more visible and more accountable.</w:t>
      </w:r>
    </w:p>
    <w:p w14:paraId="340590BA" w14:textId="77777777" w:rsidR="00202F51" w:rsidRPr="00202F51" w:rsidRDefault="00202F51" w:rsidP="00202F51">
      <w:pPr>
        <w:numPr>
          <w:ilvl w:val="0"/>
          <w:numId w:val="5"/>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Devolution of power encourages more citizens to play some active part in the democratic process – by voting, attending meetings or even standing for office.</w:t>
      </w:r>
    </w:p>
    <w:p w14:paraId="548DF028" w14:textId="77777777" w:rsidR="00202F51" w:rsidRPr="00202F51" w:rsidRDefault="00202F51" w:rsidP="00202F51">
      <w:pPr>
        <w:numPr>
          <w:ilvl w:val="0"/>
          <w:numId w:val="5"/>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Devolution of political power allows for greater expression of legitimate local and regional differences.</w:t>
      </w:r>
    </w:p>
    <w:p w14:paraId="64431E66" w14:textId="77777777" w:rsidR="00202F51" w:rsidRPr="00202F51" w:rsidRDefault="00202F51" w:rsidP="00202F51">
      <w:pPr>
        <w:spacing w:after="0"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lastRenderedPageBreak/>
        <w:t>An example of </w:t>
      </w:r>
      <w:r w:rsidRPr="00202F51">
        <w:rPr>
          <w:rFonts w:ascii="LinLibertine" w:eastAsia="Times New Roman" w:hAnsi="LinLibertine" w:cs="Times New Roman"/>
          <w:i/>
          <w:iCs/>
          <w:color w:val="000000"/>
          <w:sz w:val="24"/>
          <w:szCs w:val="24"/>
          <w:lang w:eastAsia="en-GB"/>
        </w:rPr>
        <w:t>context</w:t>
      </w:r>
      <w:r w:rsidRPr="00202F51">
        <w:rPr>
          <w:rFonts w:ascii="LinLibertine" w:eastAsia="Times New Roman" w:hAnsi="LinLibertine" w:cs="Times New Roman"/>
          <w:color w:val="000000"/>
          <w:sz w:val="24"/>
          <w:szCs w:val="24"/>
          <w:lang w:eastAsia="en-GB"/>
        </w:rPr>
        <w:t xml:space="preserve"> would be the establishment of many agencies in Latvia soon after independence from the Soviet Union at the beginning of the 1990s. As in many other East European countries, in the wake of the immensely centralized, slow-moving bureaucracy of communist times, decentralization was a hugely appealing idea. The problem, however, was the contextual one that, at that time, the ministries had neither the skills nor the resources to steer these agencies properly, and both financial and staffing irregularities resulted (Horvath, 2000). An autonomous public agency that is not properly accountable and transparent in its operations, and that operates without a clear policy direction from the government, can be a very dangerous animal indeed. As for skills, the point is that managing arm’s-length relationships – from either end of the arm – requires a different set of skills and norms from those for managing within a comfortable, traditional hierarchy. Agency management has to learn not to abuse its (semi-)autonomy, and the senior civil servants left in the parent ministry have to learn not to interfere on petty issues in the way that perhaps they used to. Evidence from a number of countries indicates that getting the balance right is very difficult indeed (Pollitt, 2005b; </w:t>
      </w:r>
      <w:proofErr w:type="spellStart"/>
      <w:r w:rsidRPr="00202F51">
        <w:rPr>
          <w:rFonts w:ascii="LinLibertine" w:eastAsia="Times New Roman" w:hAnsi="LinLibertine" w:cs="Times New Roman"/>
          <w:color w:val="000000"/>
          <w:sz w:val="24"/>
          <w:szCs w:val="24"/>
          <w:lang w:eastAsia="en-GB"/>
        </w:rPr>
        <w:t>Verhoest</w:t>
      </w:r>
      <w:proofErr w:type="spell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2012). In many cases there seems to be a prolonged tug-of-war in which each party thinks the other is not honouring the bargain they thought they had made – from the point of view of the arm’s-length body either there is too much interference or, in some cases, too little guidance.</w:t>
      </w:r>
    </w:p>
    <w:p w14:paraId="7DF21029" w14:textId="77777777" w:rsidR="00202F51" w:rsidRPr="00202F51" w:rsidRDefault="00202F51" w:rsidP="00202F51">
      <w:pPr>
        <w:spacing w:after="0"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i/>
          <w:iCs/>
          <w:color w:val="000000"/>
          <w:sz w:val="24"/>
          <w:szCs w:val="24"/>
          <w:lang w:eastAsia="en-GB"/>
        </w:rPr>
        <w:t>Clear-sighted design and implementation</w:t>
      </w:r>
      <w:r w:rsidRPr="00202F51">
        <w:rPr>
          <w:rFonts w:ascii="LinLibertine" w:eastAsia="Times New Roman" w:hAnsi="LinLibertine" w:cs="Times New Roman"/>
          <w:color w:val="000000"/>
          <w:sz w:val="24"/>
          <w:szCs w:val="24"/>
          <w:lang w:eastAsia="en-GB"/>
        </w:rPr>
        <w:t xml:space="preserve"> imply that the policymakers will be clear about their intentions, and the implementers will be vigorous leaders over the considerable periods of time usually needed to get new organizational forms up and running. Sometimes these conditions are met; often they are not. For example, Van </w:t>
      </w:r>
      <w:proofErr w:type="spellStart"/>
      <w:r w:rsidRPr="00202F51">
        <w:rPr>
          <w:rFonts w:ascii="LinLibertine" w:eastAsia="Times New Roman" w:hAnsi="LinLibertine" w:cs="Times New Roman"/>
          <w:color w:val="000000"/>
          <w:sz w:val="24"/>
          <w:szCs w:val="24"/>
          <w:lang w:eastAsia="en-GB"/>
        </w:rPr>
        <w:t>Thiel</w:t>
      </w:r>
      <w:proofErr w:type="spellEnd"/>
      <w:r w:rsidRPr="00202F51">
        <w:rPr>
          <w:rFonts w:ascii="LinLibertine" w:eastAsia="Times New Roman" w:hAnsi="LinLibertine" w:cs="Times New Roman"/>
          <w:color w:val="000000"/>
          <w:sz w:val="24"/>
          <w:szCs w:val="24"/>
          <w:lang w:eastAsia="en-GB"/>
        </w:rPr>
        <w:t xml:space="preserve"> records considerable vagueness among politicians about what the aims of QUANGO creation in the Netherlands really were (Van </w:t>
      </w:r>
      <w:proofErr w:type="spellStart"/>
      <w:r w:rsidRPr="00202F51">
        <w:rPr>
          <w:rFonts w:ascii="LinLibertine" w:eastAsia="Times New Roman" w:hAnsi="LinLibertine" w:cs="Times New Roman"/>
          <w:color w:val="000000"/>
          <w:sz w:val="24"/>
          <w:szCs w:val="24"/>
          <w:lang w:eastAsia="en-GB"/>
        </w:rPr>
        <w:t>Thiel</w:t>
      </w:r>
      <w:proofErr w:type="spellEnd"/>
      <w:r w:rsidRPr="00202F51">
        <w:rPr>
          <w:rFonts w:ascii="LinLibertine" w:eastAsia="Times New Roman" w:hAnsi="LinLibertine" w:cs="Times New Roman"/>
          <w:color w:val="000000"/>
          <w:sz w:val="24"/>
          <w:szCs w:val="24"/>
          <w:lang w:eastAsia="en-GB"/>
        </w:rPr>
        <w:t>, 2001: 9–14). And, in Eastern Europe, the stability and continuity requirements were often breached during the 1990s and 2000s, because governments and their appointees rose and fell within quite short intervals.</w:t>
      </w:r>
    </w:p>
    <w:p w14:paraId="4A62DE51" w14:textId="77777777" w:rsidR="00202F51" w:rsidRPr="00202F51" w:rsidRDefault="00202F51" w:rsidP="00202F51">
      <w:pPr>
        <w:spacing w:after="0"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But, even if politicians are clear in their objectives, and the political system is largely free of the problems that have hampered Eastern European administrations, there are still considerable design hurdles. The modern idea of an agency is founded on the notion that, while it will enjoy managerial freedoms, it will do so within a contract-like steering framework of policy objectives, associated operational targets and performance indicators that measure how far those targets have been achieved (Pollitt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2004: </w:t>
      </w:r>
      <w:hyperlink r:id="rId12" w:history="1">
        <w:r w:rsidRPr="00202F51">
          <w:rPr>
            <w:rFonts w:ascii="LinLibertine" w:eastAsia="Times New Roman" w:hAnsi="LinLibertine" w:cs="Times New Roman"/>
            <w:color w:val="0000FF"/>
            <w:sz w:val="24"/>
            <w:szCs w:val="24"/>
            <w:u w:val="single"/>
            <w:lang w:eastAsia="en-GB"/>
          </w:rPr>
          <w:t>chapter 2</w:t>
        </w:r>
      </w:hyperlink>
      <w:r w:rsidRPr="00202F51">
        <w:rPr>
          <w:rFonts w:ascii="LinLibertine" w:eastAsia="Times New Roman" w:hAnsi="LinLibertine" w:cs="Times New Roman"/>
          <w:color w:val="000000"/>
          <w:sz w:val="24"/>
          <w:szCs w:val="24"/>
          <w:lang w:eastAsia="en-GB"/>
        </w:rPr>
        <w:t>). This framework should ensure that both strategic steering (by ministries/ministers) and public accountability (to legislatures, citizens) are feasible. But designing a comprehensive set of measurable and meaningful indicators is a major technical challenge, and several important pieces of research have revealed that indicator sets are frequently deficient (see </w:t>
      </w:r>
      <w:hyperlink r:id="rId13" w:anchor="ce18_1" w:history="1">
        <w:r w:rsidRPr="00202F51">
          <w:rPr>
            <w:rFonts w:ascii="LinLibertine" w:eastAsia="Times New Roman" w:hAnsi="LinLibertine" w:cs="Times New Roman"/>
            <w:color w:val="0000FF"/>
            <w:sz w:val="24"/>
            <w:szCs w:val="24"/>
            <w:u w:val="single"/>
            <w:lang w:eastAsia="en-GB"/>
          </w:rPr>
          <w:t>Case example 18.1</w:t>
        </w:r>
      </w:hyperlink>
      <w:r w:rsidRPr="00202F51">
        <w:rPr>
          <w:rFonts w:ascii="LinLibertine" w:eastAsia="Times New Roman" w:hAnsi="LinLibertine" w:cs="Times New Roman"/>
          <w:color w:val="000000"/>
          <w:sz w:val="24"/>
          <w:szCs w:val="24"/>
          <w:lang w:eastAsia="en-GB"/>
        </w:rPr>
        <w:t>).</w:t>
      </w:r>
    </w:p>
    <w:p w14:paraId="4DF7B925" w14:textId="77777777" w:rsidR="00202F51" w:rsidRPr="00202F51" w:rsidRDefault="00202F51" w:rsidP="00202F51">
      <w:pPr>
        <w:spacing w:before="480" w:after="240" w:line="374" w:lineRule="atLeast"/>
        <w:outlineLvl w:val="2"/>
        <w:rPr>
          <w:rFonts w:ascii="LinLibertine" w:eastAsia="Times New Roman" w:hAnsi="LinLibertine" w:cs="Times New Roman"/>
          <w:b/>
          <w:bCs/>
          <w:i/>
          <w:iCs/>
          <w:color w:val="000000"/>
          <w:sz w:val="29"/>
          <w:szCs w:val="29"/>
          <w:lang w:eastAsia="en-GB"/>
        </w:rPr>
      </w:pPr>
      <w:r w:rsidRPr="00202F51">
        <w:rPr>
          <w:rFonts w:ascii="LinLibertine" w:eastAsia="Times New Roman" w:hAnsi="LinLibertine" w:cs="Times New Roman"/>
          <w:b/>
          <w:bCs/>
          <w:i/>
          <w:iCs/>
          <w:color w:val="000000"/>
          <w:sz w:val="29"/>
          <w:szCs w:val="29"/>
          <w:lang w:eastAsia="en-GB"/>
        </w:rPr>
        <w:t>There are tensions and contradictions</w:t>
      </w:r>
    </w:p>
    <w:p w14:paraId="3386939D"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If you look again at the lists of arguments in favour of decentralization, some tensions leap out. For example, how can moving to arm’s length simultaneously promote freedom from political interference </w:t>
      </w:r>
      <w:r w:rsidRPr="00202F51">
        <w:rPr>
          <w:rFonts w:ascii="LinLibertine" w:eastAsia="Times New Roman" w:hAnsi="LinLibertine" w:cs="Times New Roman"/>
          <w:i/>
          <w:iCs/>
          <w:color w:val="000000"/>
          <w:sz w:val="24"/>
          <w:szCs w:val="24"/>
          <w:lang w:eastAsia="en-GB"/>
        </w:rPr>
        <w:t>and</w:t>
      </w:r>
      <w:r w:rsidRPr="00202F51">
        <w:rPr>
          <w:rFonts w:ascii="LinLibertine" w:eastAsia="Times New Roman" w:hAnsi="LinLibertine" w:cs="Times New Roman"/>
          <w:color w:val="000000"/>
          <w:sz w:val="24"/>
          <w:szCs w:val="24"/>
          <w:lang w:eastAsia="en-GB"/>
        </w:rPr>
        <w:t xml:space="preserve"> more local participation? Local participation is almost bound to be, to some extent, political in nature – particular interest groups pushing for the favoured solutions, local business people trying to exert influence, and so on. It may </w:t>
      </w:r>
      <w:r w:rsidRPr="00202F51">
        <w:rPr>
          <w:rFonts w:ascii="LinLibertine" w:eastAsia="Times New Roman" w:hAnsi="LinLibertine" w:cs="Times New Roman"/>
          <w:color w:val="000000"/>
          <w:sz w:val="24"/>
          <w:szCs w:val="24"/>
          <w:lang w:eastAsia="en-GB"/>
        </w:rPr>
        <w:lastRenderedPageBreak/>
        <w:t>not be party politics on the model of national parties, but it is certainly interest-group politics.</w:t>
      </w:r>
    </w:p>
    <w:p w14:paraId="4CD9B956" w14:textId="77777777" w:rsidR="00202F51" w:rsidRPr="00202F51" w:rsidRDefault="00F6720F" w:rsidP="00202F51">
      <w:pPr>
        <w:spacing w:after="240" w:line="240" w:lineRule="auto"/>
        <w:rPr>
          <w:rFonts w:ascii="LinLibertine" w:eastAsia="Times New Roman" w:hAnsi="LinLibertine" w:cs="Times New Roman"/>
          <w:b/>
          <w:bCs/>
          <w:color w:val="000000"/>
          <w:sz w:val="31"/>
          <w:szCs w:val="31"/>
          <w:lang w:eastAsia="en-GB"/>
        </w:rPr>
      </w:pPr>
      <w:hyperlink r:id="rId14" w:anchor="bck_ce18_1" w:history="1">
        <w:r w:rsidR="00202F51" w:rsidRPr="00202F51">
          <w:rPr>
            <w:rFonts w:ascii="LinLibertine" w:eastAsia="Times New Roman" w:hAnsi="LinLibertine" w:cs="Times New Roman"/>
            <w:b/>
            <w:bCs/>
            <w:color w:val="0000FF"/>
            <w:sz w:val="31"/>
            <w:szCs w:val="31"/>
            <w:u w:val="single"/>
            <w:lang w:eastAsia="en-GB"/>
          </w:rPr>
          <w:t>Case example 18.1</w:t>
        </w:r>
      </w:hyperlink>
      <w:r w:rsidR="00202F51" w:rsidRPr="00202F51">
        <w:rPr>
          <w:rFonts w:ascii="LinLibertine" w:eastAsia="Times New Roman" w:hAnsi="LinLibertine" w:cs="Times New Roman"/>
          <w:b/>
          <w:bCs/>
          <w:color w:val="000000"/>
          <w:sz w:val="31"/>
          <w:szCs w:val="31"/>
          <w:lang w:eastAsia="en-GB"/>
        </w:rPr>
        <w:t> Getting performance indicators to fit the objectives</w:t>
      </w:r>
    </w:p>
    <w:p w14:paraId="57A80723"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Talbot (1996) surveyed the executive agencies ‘parented’ by the Home Office and the Department of Social Security. All these agencies had sets of key performance indicators. But 47 per cent of their official aims and objectives were not covered by these indicators, and a further 31 per cent were only partially covered. Neither were the indicator sets stable over time. During the first half of the 1990s there was a 70 per cent ‘churn rate’ (turnover) of indicators, with new indicators being introduced and existing indicators modified or dropped. This made it very difficult to follow performance over time. High churn rates have also been noted among New Zealand agencies.</w:t>
      </w:r>
    </w:p>
    <w:p w14:paraId="64269CF5" w14:textId="77777777" w:rsidR="00202F51" w:rsidRPr="00202F51" w:rsidRDefault="00202F51" w:rsidP="00202F51">
      <w:pPr>
        <w:spacing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In such a situation (some objectives not covered by performance indicators, indicators changing rapidly) it is an open question how well public accountability can work, and even how well the ministry can steer the agency.</w:t>
      </w:r>
    </w:p>
    <w:p w14:paraId="38605BA4" w14:textId="77777777" w:rsidR="00202F51" w:rsidRPr="00202F51" w:rsidRDefault="00202F51" w:rsidP="00202F51">
      <w:pPr>
        <w:spacing w:after="0"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Or again, how can decentralization speed decision-making if it also leads to the participation of more local groups and consumers in policy-making? Wider, deeper processes of consultation usually lead to longer, not shorter, decision-making cycles (see </w:t>
      </w:r>
      <w:hyperlink r:id="rId15" w:history="1">
        <w:r w:rsidRPr="00202F51">
          <w:rPr>
            <w:rFonts w:ascii="LinLibertine" w:eastAsia="Times New Roman" w:hAnsi="LinLibertine" w:cs="Times New Roman"/>
            <w:color w:val="0000FF"/>
            <w:sz w:val="24"/>
            <w:szCs w:val="24"/>
            <w:u w:val="single"/>
            <w:lang w:eastAsia="en-GB"/>
          </w:rPr>
          <w:t>chapter 22</w:t>
        </w:r>
      </w:hyperlink>
      <w:r w:rsidRPr="00202F51">
        <w:rPr>
          <w:rFonts w:ascii="LinLibertine" w:eastAsia="Times New Roman" w:hAnsi="LinLibertine" w:cs="Times New Roman"/>
          <w:color w:val="000000"/>
          <w:sz w:val="24"/>
          <w:szCs w:val="24"/>
          <w:lang w:eastAsia="en-GB"/>
        </w:rPr>
        <w:t>).</w:t>
      </w:r>
    </w:p>
    <w:p w14:paraId="63A866FC" w14:textId="77777777" w:rsidR="00202F51" w:rsidRPr="00202F51" w:rsidRDefault="00202F51" w:rsidP="00202F51">
      <w:pPr>
        <w:spacing w:before="480" w:after="240" w:line="468" w:lineRule="atLeast"/>
        <w:outlineLvl w:val="1"/>
        <w:rPr>
          <w:rFonts w:ascii="LinLibertine" w:eastAsia="Times New Roman" w:hAnsi="LinLibertine" w:cs="Times New Roman"/>
          <w:b/>
          <w:bCs/>
          <w:color w:val="000000"/>
          <w:sz w:val="36"/>
          <w:szCs w:val="36"/>
          <w:lang w:eastAsia="en-GB"/>
        </w:rPr>
      </w:pPr>
      <w:r w:rsidRPr="00202F51">
        <w:rPr>
          <w:rFonts w:ascii="LinLibertine" w:eastAsia="Times New Roman" w:hAnsi="LinLibertine" w:cs="Times New Roman"/>
          <w:b/>
          <w:bCs/>
          <w:color w:val="000000"/>
          <w:sz w:val="36"/>
          <w:szCs w:val="36"/>
          <w:lang w:eastAsia="en-GB"/>
        </w:rPr>
        <w:t>Arguments against decentralization to arm’s-length bodies</w:t>
      </w:r>
    </w:p>
    <w:p w14:paraId="4E83CB88"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Now consider the following:</w:t>
      </w:r>
    </w:p>
    <w:p w14:paraId="3123EF28" w14:textId="77777777" w:rsidR="00202F51" w:rsidRPr="00202F51" w:rsidRDefault="00202F51" w:rsidP="00202F51">
      <w:pPr>
        <w:numPr>
          <w:ilvl w:val="0"/>
          <w:numId w:val="6"/>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Centralization enables organizations to benefit from economies of scale.</w:t>
      </w:r>
    </w:p>
    <w:p w14:paraId="4A9AA7B3" w14:textId="77777777" w:rsidR="00202F51" w:rsidRPr="00202F51" w:rsidRDefault="00202F51" w:rsidP="00202F51">
      <w:pPr>
        <w:numPr>
          <w:ilvl w:val="0"/>
          <w:numId w:val="6"/>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Centralization enables organizations to retain a critical mass of experts in central think tanks and the ‘</w:t>
      </w:r>
      <w:proofErr w:type="spellStart"/>
      <w:r w:rsidRPr="00202F51">
        <w:rPr>
          <w:rFonts w:ascii="LinLibertine" w:eastAsia="Times New Roman" w:hAnsi="LinLibertine" w:cs="Times New Roman"/>
          <w:color w:val="000000"/>
          <w:sz w:val="24"/>
          <w:szCs w:val="24"/>
          <w:lang w:eastAsia="en-GB"/>
        </w:rPr>
        <w:t>technostructure</w:t>
      </w:r>
      <w:proofErr w:type="spellEnd"/>
      <w:r w:rsidRPr="00202F51">
        <w:rPr>
          <w:rFonts w:ascii="LinLibertine" w:eastAsia="Times New Roman" w:hAnsi="LinLibertine" w:cs="Times New Roman"/>
          <w:color w:val="000000"/>
          <w:sz w:val="24"/>
          <w:szCs w:val="24"/>
          <w:lang w:eastAsia="en-GB"/>
        </w:rPr>
        <w:t>’ (</w:t>
      </w:r>
      <w:proofErr w:type="spellStart"/>
      <w:r w:rsidRPr="00202F51">
        <w:rPr>
          <w:rFonts w:ascii="LinLibertine" w:eastAsia="Times New Roman" w:hAnsi="LinLibertine" w:cs="Times New Roman"/>
          <w:color w:val="000000"/>
          <w:sz w:val="24"/>
          <w:szCs w:val="24"/>
          <w:lang w:eastAsia="en-GB"/>
        </w:rPr>
        <w:t>Mintzberg</w:t>
      </w:r>
      <w:proofErr w:type="spellEnd"/>
      <w:r w:rsidRPr="00202F51">
        <w:rPr>
          <w:rFonts w:ascii="LinLibertine" w:eastAsia="Times New Roman" w:hAnsi="LinLibertine" w:cs="Times New Roman"/>
          <w:color w:val="000000"/>
          <w:sz w:val="24"/>
          <w:szCs w:val="24"/>
          <w:lang w:eastAsia="en-GB"/>
        </w:rPr>
        <w:t>, 1979). Small organizations do not have the resources to do this.</w:t>
      </w:r>
    </w:p>
    <w:p w14:paraId="2A205386" w14:textId="77777777" w:rsidR="00202F51" w:rsidRPr="00202F51" w:rsidRDefault="00202F51" w:rsidP="00202F51">
      <w:pPr>
        <w:numPr>
          <w:ilvl w:val="0"/>
          <w:numId w:val="6"/>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Centralization, in the form of standardization, leads to greater equity. All citizens in similar circumstances receive the same service. Autonomous local services are more prone to inequities – both intentional and unintentional.</w:t>
      </w:r>
    </w:p>
    <w:p w14:paraId="3530F8D2" w14:textId="77777777" w:rsidR="00202F51" w:rsidRPr="00202F51" w:rsidRDefault="00202F51" w:rsidP="00202F51">
      <w:pPr>
        <w:numPr>
          <w:ilvl w:val="0"/>
          <w:numId w:val="6"/>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Centralization makes the coordination of policies and programmes (especially those that cross sectoral or organizational boundaries) easier to accomplish. ‘Joined-up’ government can be substituted for ‘hollowed-out’ government.</w:t>
      </w:r>
    </w:p>
    <w:p w14:paraId="32C67285" w14:textId="77777777" w:rsidR="00202F51" w:rsidRPr="00202F51" w:rsidRDefault="00202F51" w:rsidP="00202F51">
      <w:pPr>
        <w:numPr>
          <w:ilvl w:val="0"/>
          <w:numId w:val="6"/>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Centralization makes the line of accountability clearer and more easily understood by citizens. In highly decentralized systems, patterns of accountability are complex, and there are too many opportunities for blame-shifting.</w:t>
      </w:r>
    </w:p>
    <w:p w14:paraId="0224372E"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These are not inconsiderable advantages that are attributed to centralization. Better coordination (‘joined-up government’) and clearer lines of accountability are by no means trivial issues. In fact they are among the central aims of many contemporary governments (see, e.g. </w:t>
      </w:r>
      <w:proofErr w:type="spellStart"/>
      <w:r w:rsidRPr="00202F51">
        <w:rPr>
          <w:rFonts w:ascii="LinLibertine" w:eastAsia="Times New Roman" w:hAnsi="LinLibertine" w:cs="Times New Roman"/>
          <w:color w:val="000000"/>
          <w:sz w:val="24"/>
          <w:szCs w:val="24"/>
          <w:lang w:eastAsia="en-GB"/>
        </w:rPr>
        <w:t>Perri</w:t>
      </w:r>
      <w:proofErr w:type="spellEnd"/>
      <w:r w:rsidRPr="00202F51">
        <w:rPr>
          <w:rFonts w:ascii="LinLibertine" w:eastAsia="Times New Roman" w:hAnsi="LinLibertine" w:cs="Times New Roman"/>
          <w:color w:val="000000"/>
          <w:sz w:val="24"/>
          <w:szCs w:val="24"/>
          <w:lang w:eastAsia="en-GB"/>
        </w:rPr>
        <w:t xml:space="preserve"> 6, 2004; </w:t>
      </w:r>
      <w:proofErr w:type="spellStart"/>
      <w:r w:rsidRPr="00202F51">
        <w:rPr>
          <w:rFonts w:ascii="LinLibertine" w:eastAsia="Times New Roman" w:hAnsi="LinLibertine" w:cs="Times New Roman"/>
          <w:color w:val="000000"/>
          <w:sz w:val="24"/>
          <w:szCs w:val="24"/>
          <w:lang w:eastAsia="en-GB"/>
        </w:rPr>
        <w:t>Perri</w:t>
      </w:r>
      <w:proofErr w:type="spellEnd"/>
      <w:r w:rsidRPr="00202F51">
        <w:rPr>
          <w:rFonts w:ascii="LinLibertine" w:eastAsia="Times New Roman" w:hAnsi="LinLibertine" w:cs="Times New Roman"/>
          <w:color w:val="000000"/>
          <w:sz w:val="24"/>
          <w:szCs w:val="24"/>
          <w:lang w:eastAsia="en-GB"/>
        </w:rPr>
        <w:t xml:space="preserve"> 6 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xml:space="preserve">., 2002). Perhaps they can be achieved through decentralized networks of many arm’s-length bodies – that is the hope of many current reformers and of some academics – but the possibility is by no means yet proven </w:t>
      </w:r>
      <w:r w:rsidRPr="00202F51">
        <w:rPr>
          <w:rFonts w:ascii="LinLibertine" w:eastAsia="Times New Roman" w:hAnsi="LinLibertine" w:cs="Times New Roman"/>
          <w:color w:val="000000"/>
          <w:sz w:val="24"/>
          <w:szCs w:val="24"/>
          <w:lang w:eastAsia="en-GB"/>
        </w:rPr>
        <w:lastRenderedPageBreak/>
        <w:t>and is clearly not always achieved (see </w:t>
      </w:r>
      <w:hyperlink r:id="rId16" w:anchor="ce18_3" w:history="1">
        <w:r w:rsidRPr="00202F51">
          <w:rPr>
            <w:rFonts w:ascii="LinLibertine" w:eastAsia="Times New Roman" w:hAnsi="LinLibertine" w:cs="Times New Roman"/>
            <w:color w:val="0000FF"/>
            <w:sz w:val="24"/>
            <w:szCs w:val="24"/>
            <w:u w:val="single"/>
            <w:lang w:eastAsia="en-GB"/>
          </w:rPr>
          <w:t>Case example 18.3</w:t>
        </w:r>
      </w:hyperlink>
      <w:r w:rsidRPr="00202F51">
        <w:rPr>
          <w:rFonts w:ascii="LinLibertine" w:eastAsia="Times New Roman" w:hAnsi="LinLibertine" w:cs="Times New Roman"/>
          <w:color w:val="000000"/>
          <w:sz w:val="24"/>
          <w:szCs w:val="24"/>
          <w:lang w:eastAsia="en-GB"/>
        </w:rPr>
        <w:t>). Indeed, in 2002, a UK review of the Next Steps agency programme came to the conclusion that one of the effects of the creation of so many executive agencies over the previous 15 years had been some fragmentation and loss of policy coordination (Office of Public Services Reform, 2002). This anxiety about fragmentation is by no means confined to the UK (</w:t>
      </w:r>
      <w:proofErr w:type="spellStart"/>
      <w:r w:rsidRPr="00202F51">
        <w:rPr>
          <w:rFonts w:ascii="LinLibertine" w:eastAsia="Times New Roman" w:hAnsi="LinLibertine" w:cs="Times New Roman"/>
          <w:color w:val="000000"/>
          <w:sz w:val="24"/>
          <w:szCs w:val="24"/>
          <w:lang w:eastAsia="en-GB"/>
        </w:rPr>
        <w:t>Verhoest</w:t>
      </w:r>
      <w:proofErr w:type="spell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2012).</w:t>
      </w:r>
    </w:p>
    <w:p w14:paraId="4265918A" w14:textId="77777777" w:rsidR="00202F51" w:rsidRPr="00202F51" w:rsidRDefault="00F6720F" w:rsidP="00202F51">
      <w:pPr>
        <w:spacing w:after="240" w:line="240" w:lineRule="auto"/>
        <w:rPr>
          <w:rFonts w:ascii="LinLibertine" w:eastAsia="Times New Roman" w:hAnsi="LinLibertine" w:cs="Times New Roman"/>
          <w:b/>
          <w:bCs/>
          <w:color w:val="000000"/>
          <w:sz w:val="31"/>
          <w:szCs w:val="31"/>
          <w:lang w:eastAsia="en-GB"/>
        </w:rPr>
      </w:pPr>
      <w:hyperlink r:id="rId17" w:anchor="bck_ce18_2" w:history="1">
        <w:r w:rsidR="00202F51" w:rsidRPr="00202F51">
          <w:rPr>
            <w:rFonts w:ascii="LinLibertine" w:eastAsia="Times New Roman" w:hAnsi="LinLibertine" w:cs="Times New Roman"/>
            <w:b/>
            <w:bCs/>
            <w:color w:val="0000FF"/>
            <w:sz w:val="31"/>
            <w:szCs w:val="31"/>
            <w:u w:val="single"/>
            <w:lang w:eastAsia="en-GB"/>
          </w:rPr>
          <w:t>Case example 18.2</w:t>
        </w:r>
      </w:hyperlink>
      <w:r w:rsidR="00202F51" w:rsidRPr="00202F51">
        <w:rPr>
          <w:rFonts w:ascii="LinLibertine" w:eastAsia="Times New Roman" w:hAnsi="LinLibertine" w:cs="Times New Roman"/>
          <w:b/>
          <w:bCs/>
          <w:color w:val="000000"/>
          <w:sz w:val="31"/>
          <w:szCs w:val="31"/>
          <w:lang w:eastAsia="en-GB"/>
        </w:rPr>
        <w:t> Loss of accountability in German arm’s-length agencies at local level</w:t>
      </w:r>
    </w:p>
    <w:p w14:paraId="4D8D2CF5"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Recent functional and organizational decentralization in German local authorities has meant that the budget of arm’s-length agencies now often exceeds the rest of the budget of the local authority, and there can be similar patterns in employment levels – e.g. in the state of North Rhine-Westphalia, 200,000 staff work in local arm’s-length agencies, and 220,000 staff continue to work in local authorities. Clearly, decentralization and privatization of local public services have been popular mechanisms for dealing with budget deficits at local level in Germany. However, there have been some concerns about the consequences of this movement. Local arm’s-length agencies are always in danger of becoming an easy income-earner for ex-politicians who are often given top management or board positions, although lacking any professional qualifications. Furthermore, elected councillors are often appointed as board members to local public companies, providing a potential conflict of interest with their council role as a guardian of public interest. Board members legally need to safeguard the interest of the company and therefore may not disclose commercially sensitive information to third parties – which sometimes means that they cannot inform other elected members about important business issues with wider political implications.</w:t>
      </w:r>
    </w:p>
    <w:p w14:paraId="3C028AF8" w14:textId="77777777" w:rsidR="00202F51" w:rsidRPr="00202F51" w:rsidRDefault="00202F51" w:rsidP="00202F51">
      <w:pPr>
        <w:spacing w:before="24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Source: Adapted from </w:t>
      </w:r>
      <w:proofErr w:type="spellStart"/>
      <w:r w:rsidRPr="00202F51">
        <w:rPr>
          <w:rFonts w:ascii="LinLibertine" w:eastAsia="Times New Roman" w:hAnsi="LinLibertine" w:cs="Times New Roman"/>
          <w:color w:val="000000"/>
          <w:sz w:val="24"/>
          <w:szCs w:val="24"/>
          <w:lang w:eastAsia="en-GB"/>
        </w:rPr>
        <w:t>Hanspeter</w:t>
      </w:r>
      <w:proofErr w:type="spellEnd"/>
      <w:r w:rsidRPr="00202F51">
        <w:rPr>
          <w:rFonts w:ascii="LinLibertine" w:eastAsia="Times New Roman" w:hAnsi="LinLibertine" w:cs="Times New Roman"/>
          <w:color w:val="000000"/>
          <w:sz w:val="24"/>
          <w:szCs w:val="24"/>
          <w:lang w:eastAsia="en-GB"/>
        </w:rPr>
        <w:t xml:space="preserve"> </w:t>
      </w:r>
      <w:proofErr w:type="spellStart"/>
      <w:r w:rsidRPr="00202F51">
        <w:rPr>
          <w:rFonts w:ascii="LinLibertine" w:eastAsia="Times New Roman" w:hAnsi="LinLibertine" w:cs="Times New Roman"/>
          <w:color w:val="000000"/>
          <w:sz w:val="24"/>
          <w:szCs w:val="24"/>
          <w:lang w:eastAsia="en-GB"/>
        </w:rPr>
        <w:t>Knirsch</w:t>
      </w:r>
      <w:proofErr w:type="spellEnd"/>
      <w:r w:rsidRPr="00202F51">
        <w:rPr>
          <w:rFonts w:ascii="LinLibertine" w:eastAsia="Times New Roman" w:hAnsi="LinLibertine" w:cs="Times New Roman"/>
          <w:color w:val="000000"/>
          <w:sz w:val="24"/>
          <w:szCs w:val="24"/>
          <w:lang w:eastAsia="en-GB"/>
        </w:rPr>
        <w:t xml:space="preserve"> (</w:t>
      </w:r>
      <w:hyperlink r:id="rId18" w:history="1">
        <w:r w:rsidRPr="00202F51">
          <w:rPr>
            <w:rFonts w:ascii="LinLibertine" w:eastAsia="Times New Roman" w:hAnsi="LinLibertine" w:cs="Times New Roman"/>
            <w:color w:val="0000FF"/>
            <w:sz w:val="24"/>
            <w:szCs w:val="24"/>
            <w:u w:val="single"/>
            <w:lang w:eastAsia="en-GB"/>
          </w:rPr>
          <w:t>www.knirsch-consult.com</w:t>
        </w:r>
      </w:hyperlink>
      <w:r w:rsidRPr="00202F51">
        <w:rPr>
          <w:rFonts w:ascii="LinLibertine" w:eastAsia="Times New Roman" w:hAnsi="LinLibertine" w:cs="Times New Roman"/>
          <w:color w:val="000000"/>
          <w:sz w:val="24"/>
          <w:szCs w:val="24"/>
          <w:lang w:eastAsia="en-GB"/>
        </w:rPr>
        <w:t>)</w:t>
      </w:r>
    </w:p>
    <w:p w14:paraId="489A2F60" w14:textId="77777777" w:rsidR="00202F51" w:rsidRPr="00202F51" w:rsidRDefault="00202F51" w:rsidP="00202F51">
      <w:pPr>
        <w:spacing w:before="480" w:after="240" w:line="468" w:lineRule="atLeast"/>
        <w:outlineLvl w:val="1"/>
        <w:rPr>
          <w:rFonts w:ascii="LinLibertine" w:eastAsia="Times New Roman" w:hAnsi="LinLibertine" w:cs="Times New Roman"/>
          <w:b/>
          <w:bCs/>
          <w:color w:val="000000"/>
          <w:sz w:val="36"/>
          <w:szCs w:val="36"/>
          <w:lang w:eastAsia="en-GB"/>
        </w:rPr>
      </w:pPr>
      <w:r w:rsidRPr="00202F51">
        <w:rPr>
          <w:rFonts w:ascii="LinLibertine" w:eastAsia="Times New Roman" w:hAnsi="LinLibertine" w:cs="Times New Roman"/>
          <w:b/>
          <w:bCs/>
          <w:color w:val="000000"/>
          <w:sz w:val="36"/>
          <w:szCs w:val="36"/>
          <w:lang w:eastAsia="en-GB"/>
        </w:rPr>
        <w:t>Evidence about the effects of creating arm’s-length bodies</w:t>
      </w:r>
    </w:p>
    <w:p w14:paraId="5E184333"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Given the number of claims that have been made for the benefits of arm’s-length bodies, you could be forgiven for believing that there must be – somewhere out there – a body of firm empirical evidence that this type of decentralization does indeed bring these claimed benefits. If so, your belief would be mistaken. In fact the evidence is complicated and patchy, and does not seem to tell one simple story (James, 2003; Pollitt, 2005a). It is hard to weigh up. On the one (positive) hand there are some local success stories such as the IB </w:t>
      </w:r>
      <w:proofErr w:type="spellStart"/>
      <w:r w:rsidRPr="00202F51">
        <w:rPr>
          <w:rFonts w:ascii="LinLibertine" w:eastAsia="Times New Roman" w:hAnsi="LinLibertine" w:cs="Times New Roman"/>
          <w:color w:val="000000"/>
          <w:sz w:val="24"/>
          <w:szCs w:val="24"/>
          <w:lang w:eastAsia="en-GB"/>
        </w:rPr>
        <w:t>Groep</w:t>
      </w:r>
      <w:proofErr w:type="spellEnd"/>
      <w:r w:rsidRPr="00202F51">
        <w:rPr>
          <w:rFonts w:ascii="LinLibertine" w:eastAsia="Times New Roman" w:hAnsi="LinLibertine" w:cs="Times New Roman"/>
          <w:color w:val="000000"/>
          <w:sz w:val="24"/>
          <w:szCs w:val="24"/>
          <w:lang w:eastAsia="en-GB"/>
        </w:rPr>
        <w:t xml:space="preserve"> in the Netherlands, where an organization that had been part of the Ministry of Education was converted into an arm’s-length ZBO (self-steering organization) and soon improved the quality (but not necessarily the efficiency) of its services (Van </w:t>
      </w:r>
      <w:proofErr w:type="spellStart"/>
      <w:r w:rsidRPr="00202F51">
        <w:rPr>
          <w:rFonts w:ascii="LinLibertine" w:eastAsia="Times New Roman" w:hAnsi="LinLibertine" w:cs="Times New Roman"/>
          <w:color w:val="000000"/>
          <w:sz w:val="24"/>
          <w:szCs w:val="24"/>
          <w:lang w:eastAsia="en-GB"/>
        </w:rPr>
        <w:t>Thiel</w:t>
      </w:r>
      <w:proofErr w:type="spellEnd"/>
      <w:r w:rsidRPr="00202F51">
        <w:rPr>
          <w:rFonts w:ascii="LinLibertine" w:eastAsia="Times New Roman" w:hAnsi="LinLibertine" w:cs="Times New Roman"/>
          <w:color w:val="000000"/>
          <w:sz w:val="24"/>
          <w:szCs w:val="24"/>
          <w:lang w:eastAsia="en-GB"/>
        </w:rPr>
        <w:t>, 2001: 143–165). Or in the UK one might cite the fact that in 1995/96 agencies met, in aggregate, 79 per cent of the 1,091 key performance targets set for them by ministers (Chancellor of the Duchy of Lancaster, 1997: 1). On the other (negative) hand, however, there is also a crop of disaster stories such as those concerning the Child Support Agency in the UK or the Prison Service (Gains, 2004) – see </w:t>
      </w:r>
      <w:hyperlink r:id="rId19" w:anchor="ce18_3" w:history="1">
        <w:r w:rsidRPr="00202F51">
          <w:rPr>
            <w:rFonts w:ascii="LinLibertine" w:eastAsia="Times New Roman" w:hAnsi="LinLibertine" w:cs="Times New Roman"/>
            <w:color w:val="0000FF"/>
            <w:sz w:val="24"/>
            <w:szCs w:val="24"/>
            <w:u w:val="single"/>
            <w:lang w:eastAsia="en-GB"/>
          </w:rPr>
          <w:t>Case example 18.3</w:t>
        </w:r>
      </w:hyperlink>
      <w:r w:rsidRPr="00202F51">
        <w:rPr>
          <w:rFonts w:ascii="LinLibertine" w:eastAsia="Times New Roman" w:hAnsi="LinLibertine" w:cs="Times New Roman"/>
          <w:color w:val="000000"/>
          <w:sz w:val="24"/>
          <w:szCs w:val="24"/>
          <w:lang w:eastAsia="en-GB"/>
        </w:rPr>
        <w:t>. And we should not forget </w:t>
      </w:r>
      <w:hyperlink r:id="rId20" w:anchor="ce18_1" w:history="1">
        <w:r w:rsidRPr="00202F51">
          <w:rPr>
            <w:rFonts w:ascii="LinLibertine" w:eastAsia="Times New Roman" w:hAnsi="LinLibertine" w:cs="Times New Roman"/>
            <w:color w:val="0000FF"/>
            <w:sz w:val="24"/>
            <w:szCs w:val="24"/>
            <w:u w:val="single"/>
            <w:lang w:eastAsia="en-GB"/>
          </w:rPr>
          <w:t>Case example 18.1</w:t>
        </w:r>
      </w:hyperlink>
      <w:r w:rsidRPr="00202F51">
        <w:rPr>
          <w:rFonts w:ascii="LinLibertine" w:eastAsia="Times New Roman" w:hAnsi="LinLibertine" w:cs="Times New Roman"/>
          <w:color w:val="000000"/>
          <w:sz w:val="24"/>
          <w:szCs w:val="24"/>
          <w:lang w:eastAsia="en-GB"/>
        </w:rPr>
        <w:t xml:space="preserve">, that meeting targets is only part of the story – there are also the questions </w:t>
      </w:r>
      <w:r w:rsidRPr="00202F51">
        <w:rPr>
          <w:rFonts w:ascii="LinLibertine" w:eastAsia="Times New Roman" w:hAnsi="LinLibertine" w:cs="Times New Roman"/>
          <w:color w:val="000000"/>
          <w:sz w:val="24"/>
          <w:szCs w:val="24"/>
          <w:lang w:eastAsia="en-GB"/>
        </w:rPr>
        <w:lastRenderedPageBreak/>
        <w:t>of (a) whether those targets are meaningful and (b) whether they cover all the agency’s objectives.</w:t>
      </w:r>
    </w:p>
    <w:p w14:paraId="63D6E6BF" w14:textId="77777777" w:rsidR="00202F51" w:rsidRPr="00202F51" w:rsidRDefault="00F6720F" w:rsidP="00202F51">
      <w:pPr>
        <w:spacing w:after="240" w:line="240" w:lineRule="auto"/>
        <w:rPr>
          <w:rFonts w:ascii="LinLibertine" w:eastAsia="Times New Roman" w:hAnsi="LinLibertine" w:cs="Times New Roman"/>
          <w:b/>
          <w:bCs/>
          <w:color w:val="000000"/>
          <w:sz w:val="31"/>
          <w:szCs w:val="31"/>
          <w:lang w:eastAsia="en-GB"/>
        </w:rPr>
      </w:pPr>
      <w:hyperlink r:id="rId21" w:anchor="bck_ce18_3" w:history="1">
        <w:r w:rsidR="00202F51" w:rsidRPr="00202F51">
          <w:rPr>
            <w:rFonts w:ascii="LinLibertine" w:eastAsia="Times New Roman" w:hAnsi="LinLibertine" w:cs="Times New Roman"/>
            <w:b/>
            <w:bCs/>
            <w:color w:val="0000FF"/>
            <w:sz w:val="31"/>
            <w:szCs w:val="31"/>
            <w:u w:val="single"/>
            <w:lang w:eastAsia="en-GB"/>
          </w:rPr>
          <w:t>Case example 18.3</w:t>
        </w:r>
      </w:hyperlink>
      <w:r w:rsidR="00202F51" w:rsidRPr="00202F51">
        <w:rPr>
          <w:rFonts w:ascii="LinLibertine" w:eastAsia="Times New Roman" w:hAnsi="LinLibertine" w:cs="Times New Roman"/>
          <w:b/>
          <w:bCs/>
          <w:color w:val="000000"/>
          <w:sz w:val="31"/>
          <w:szCs w:val="31"/>
          <w:lang w:eastAsia="en-GB"/>
        </w:rPr>
        <w:t> Things can go wrong</w:t>
      </w:r>
    </w:p>
    <w:p w14:paraId="465F2AD1"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HM Prison Service became an agency in 1991, having formerly been a department of the Home Office. Derek Lewis, the first Chief Executive, was appointed from the private sector, and declared himself to be in favour of a more performance-oriented culture. Less than three years later he was dismissed by the Home Secretary, Michael Howard, following two highly publicized escapes of dangerous prisoners. Howard thus brushed off responsibility for this ‘operational’ failure. Lewis, however, had achieved almost all the performance targets he had been set. He contested Howard’s interpretation of events and subsequently sued the Home Office for wrongful dismissal. He was eventually awarded an out-of-court settlement of £280,000 (Lewis, 1997).</w:t>
      </w:r>
    </w:p>
    <w:p w14:paraId="4BFA7050" w14:textId="77777777" w:rsidR="00202F51" w:rsidRPr="00202F51" w:rsidRDefault="00202F51" w:rsidP="00202F51">
      <w:pPr>
        <w:spacing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Nevertheless, the prison service has remained an agency. Despite further high-profile escapes, and other difficulties, subsequent chief executives have managed to avoid the kind of political clash that occurred between Howard and Lewis.</w:t>
      </w:r>
    </w:p>
    <w:p w14:paraId="61B3857A" w14:textId="77777777" w:rsidR="00202F51" w:rsidRPr="00202F51" w:rsidRDefault="00202F51" w:rsidP="00202F51">
      <w:pPr>
        <w:spacing w:after="0"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Furthermore – and most worrying – there does not seem to be any systematic before-and-after study to demonstrate that (a) major advantages have accrued and (b) these may safely be attributed to the process of decentralization. On the contrary, academics have searched for such evidence and not found it (James, 2003: 130–132; Pollitt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xml:space="preserve">., 1998; Talbot, 2004; Van </w:t>
      </w:r>
      <w:proofErr w:type="spellStart"/>
      <w:r w:rsidRPr="00202F51">
        <w:rPr>
          <w:rFonts w:ascii="LinLibertine" w:eastAsia="Times New Roman" w:hAnsi="LinLibertine" w:cs="Times New Roman"/>
          <w:color w:val="000000"/>
          <w:sz w:val="24"/>
          <w:szCs w:val="24"/>
          <w:lang w:eastAsia="en-GB"/>
        </w:rPr>
        <w:t>Thiel</w:t>
      </w:r>
      <w:proofErr w:type="spellEnd"/>
      <w:r w:rsidRPr="00202F51">
        <w:rPr>
          <w:rFonts w:ascii="LinLibertine" w:eastAsia="Times New Roman" w:hAnsi="LinLibertine" w:cs="Times New Roman"/>
          <w:color w:val="000000"/>
          <w:sz w:val="24"/>
          <w:szCs w:val="24"/>
          <w:lang w:eastAsia="en-GB"/>
        </w:rPr>
        <w:t xml:space="preserve">, 2001; </w:t>
      </w:r>
      <w:proofErr w:type="spellStart"/>
      <w:r w:rsidRPr="00202F51">
        <w:rPr>
          <w:rFonts w:ascii="LinLibertine" w:eastAsia="Times New Roman" w:hAnsi="LinLibertine" w:cs="Times New Roman"/>
          <w:color w:val="000000"/>
          <w:sz w:val="24"/>
          <w:szCs w:val="24"/>
          <w:lang w:eastAsia="en-GB"/>
        </w:rPr>
        <w:t>Verhoest</w:t>
      </w:r>
      <w:proofErr w:type="spell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xml:space="preserve">., 2012: 430). There is therefore always the suspicion that, even where definite improvements are found, they may be caused by factors other than the decentralization. For example, was the Dutch IB </w:t>
      </w:r>
      <w:proofErr w:type="spellStart"/>
      <w:r w:rsidRPr="00202F51">
        <w:rPr>
          <w:rFonts w:ascii="LinLibertine" w:eastAsia="Times New Roman" w:hAnsi="LinLibertine" w:cs="Times New Roman"/>
          <w:color w:val="000000"/>
          <w:sz w:val="24"/>
          <w:szCs w:val="24"/>
          <w:lang w:eastAsia="en-GB"/>
        </w:rPr>
        <w:t>Groep’s</w:t>
      </w:r>
      <w:proofErr w:type="spellEnd"/>
      <w:r w:rsidRPr="00202F51">
        <w:rPr>
          <w:rFonts w:ascii="LinLibertine" w:eastAsia="Times New Roman" w:hAnsi="LinLibertine" w:cs="Times New Roman"/>
          <w:color w:val="000000"/>
          <w:sz w:val="24"/>
          <w:szCs w:val="24"/>
          <w:lang w:eastAsia="en-GB"/>
        </w:rPr>
        <w:t xml:space="preserve"> investment in much better software for its grant-giving services a result of its becoming a QUANGO, or would it have happened anyway – because there was media exposure and public pressure on the organization stemming from its previous poor levels of service?</w:t>
      </w:r>
    </w:p>
    <w:p w14:paraId="3F14800C" w14:textId="77777777" w:rsidR="00202F51" w:rsidRPr="00202F51" w:rsidRDefault="00202F51" w:rsidP="00202F51">
      <w:pPr>
        <w:spacing w:after="0"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It is also the case that governments themselves have acknowledged that decentralization can have negative as well as positive effects. In a review of more than a decade’s experience with UK Next Steps executive agencies, the Office of Public Services Reform found much to praise, but also acknowledged that ‘in too many cases their work has become disconnected from the increasingly well-defined aims of their ministers’. In fact the review concluded that ‘the gulf between policy and delivery is considered by most to have widened’ (Office of Public Services Reform, 2002: 3 and 6). In order to remedy this gulf, some English agencies have been brought back into the relevant ministry (e.g. the Courts Service), even where their operational performance has been considered successful.</w:t>
      </w:r>
    </w:p>
    <w:p w14:paraId="10812753" w14:textId="77777777" w:rsidR="00202F51" w:rsidRPr="00202F51" w:rsidRDefault="00202F51" w:rsidP="00202F51">
      <w:pPr>
        <w:spacing w:after="0" w:line="240" w:lineRule="auto"/>
        <w:ind w:firstLine="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Finally, we should note that a number of analysts have suggested that the presence or absence of particular factors help to make the attainment of the promised gains from ‘</w:t>
      </w:r>
      <w:proofErr w:type="spellStart"/>
      <w:r w:rsidRPr="00202F51">
        <w:rPr>
          <w:rFonts w:ascii="LinLibertine" w:eastAsia="Times New Roman" w:hAnsi="LinLibertine" w:cs="Times New Roman"/>
          <w:color w:val="000000"/>
          <w:sz w:val="24"/>
          <w:szCs w:val="24"/>
          <w:lang w:eastAsia="en-GB"/>
        </w:rPr>
        <w:t>agencification</w:t>
      </w:r>
      <w:proofErr w:type="spellEnd"/>
      <w:r w:rsidRPr="00202F51">
        <w:rPr>
          <w:rFonts w:ascii="LinLibertine" w:eastAsia="Times New Roman" w:hAnsi="LinLibertine" w:cs="Times New Roman"/>
          <w:color w:val="000000"/>
          <w:sz w:val="24"/>
          <w:szCs w:val="24"/>
          <w:lang w:eastAsia="en-GB"/>
        </w:rPr>
        <w:t>’ more or less hard to achieve. Among these suggestions we may pick out the following:</w:t>
      </w:r>
    </w:p>
    <w:p w14:paraId="45CE6242" w14:textId="77777777" w:rsidR="00202F51" w:rsidRPr="00202F51" w:rsidRDefault="00202F51" w:rsidP="00202F51">
      <w:pPr>
        <w:numPr>
          <w:ilvl w:val="0"/>
          <w:numId w:val="7"/>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If an agency exists within a stable network or policy community, it is more likely to survive and do well (Gains, 2004). If it has to play its role within a weak or rapidly changing network, it is more vulnerable.</w:t>
      </w:r>
    </w:p>
    <w:p w14:paraId="199C6648" w14:textId="77777777" w:rsidR="00202F51" w:rsidRPr="00202F51" w:rsidRDefault="00202F51" w:rsidP="00202F51">
      <w:pPr>
        <w:numPr>
          <w:ilvl w:val="0"/>
          <w:numId w:val="7"/>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It is easier for agencies to prosper if the political sensitivity of their main activity is medium or low (e.g. forestry, weather forecasting). If it is high (e.g. prisons, payment of social security benefits), the temptation for politicians to intervene is great (Pollitt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xml:space="preserve">., 2004). This does not necessarily spell disaster by itself (Gains, 2004; </w:t>
      </w:r>
      <w:proofErr w:type="spellStart"/>
      <w:r w:rsidRPr="00202F51">
        <w:rPr>
          <w:rFonts w:ascii="LinLibertine" w:eastAsia="Times New Roman" w:hAnsi="LinLibertine" w:cs="Times New Roman"/>
          <w:color w:val="000000"/>
          <w:sz w:val="24"/>
          <w:szCs w:val="24"/>
          <w:lang w:eastAsia="en-GB"/>
        </w:rPr>
        <w:t>Verhoest</w:t>
      </w:r>
      <w:proofErr w:type="spell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xml:space="preserve">., </w:t>
      </w:r>
      <w:r w:rsidRPr="00202F51">
        <w:rPr>
          <w:rFonts w:ascii="LinLibertine" w:eastAsia="Times New Roman" w:hAnsi="LinLibertine" w:cs="Times New Roman"/>
          <w:color w:val="000000"/>
          <w:sz w:val="24"/>
          <w:szCs w:val="24"/>
          <w:lang w:eastAsia="en-GB"/>
        </w:rPr>
        <w:lastRenderedPageBreak/>
        <w:t>2010), but it creates a tension that, if combined with other problems, can lead to serious difficulties.</w:t>
      </w:r>
    </w:p>
    <w:p w14:paraId="200C85A4" w14:textId="77777777" w:rsidR="00202F51" w:rsidRPr="00202F51" w:rsidRDefault="00202F51" w:rsidP="00202F51">
      <w:pPr>
        <w:numPr>
          <w:ilvl w:val="0"/>
          <w:numId w:val="7"/>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It is easier for agencies to be steered if their outputs are fairly standardized and easily measured (Pollitt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2004). In those cases (e.g. issuing driving licences, warehousing stock or maintaining vehicles), the supervising ministry can more easily set quantitative targets that encompass the core task and then leave the agency management to get on with finding out the most efficient way of organizing that task (Pollitt, 2003). The more ambiguous or difficult it is to measure the outputs, the more challenging is the role of the supervising ministry. For example, delivering mental health counselling to disturbed teenagers is a highly unstandardized task where, apart from counting the number of ‘sessions’ delivered (fairly meaningless), it is hard to find good measures of what has been done, still less what has been achieved.</w:t>
      </w:r>
    </w:p>
    <w:p w14:paraId="1B6FA1DF" w14:textId="77777777" w:rsidR="00202F51" w:rsidRPr="00202F51" w:rsidRDefault="00202F51" w:rsidP="00202F51">
      <w:pPr>
        <w:numPr>
          <w:ilvl w:val="0"/>
          <w:numId w:val="7"/>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It is easier for politicians to remain ‘hands off’ if the total budget size of the agency is small or medium. The reason here is that really big budget agencies inevitably attract the attention of ministries of finance/treasuries whenever the macro-economic cycle means that public expenditure cuts have to be made. This is one reason why researchers found that agencies responsible for paying social security benefits (big budget) tended to be ‘interfered with’ in greater detail and more often than small-budget agencies such as meteorological offices (Pollitt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2004).</w:t>
      </w:r>
    </w:p>
    <w:p w14:paraId="24A1B1D1" w14:textId="77777777" w:rsidR="00202F51" w:rsidRPr="00202F51" w:rsidRDefault="00202F51" w:rsidP="00202F51">
      <w:pPr>
        <w:numPr>
          <w:ilvl w:val="0"/>
          <w:numId w:val="7"/>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Broader cultural factors may also play a part. In Japan, for example, it has been suggested that, despite considerable legal autonomy, the new administrative agencies will not, in practice, have much independence because most of them are headed by senior civil servants who are likely to continue to observe the strongly hierarchical and obedient Japanese civil service traditions (Yamamoto, 2004).</w:t>
      </w:r>
    </w:p>
    <w:p w14:paraId="6A2F758A"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Of course, these various factors do not all pull in the same direction. A small-budget agency can be very politically sensitive. An agency with standardized outputs might be large budget, or might exist within a very weak network. So, for any given agency (or proposed agency), one needs to look carefully at a variety of contextual factors. One academic attempt to do this in quantitative terms turned out, unsurprisingly, to have an exceedingly complex and uncertain set of findings (</w:t>
      </w:r>
      <w:proofErr w:type="spellStart"/>
      <w:r w:rsidRPr="00202F51">
        <w:rPr>
          <w:rFonts w:ascii="LinLibertine" w:eastAsia="Times New Roman" w:hAnsi="LinLibertine" w:cs="Times New Roman"/>
          <w:color w:val="000000"/>
          <w:sz w:val="24"/>
          <w:szCs w:val="24"/>
          <w:lang w:eastAsia="en-GB"/>
        </w:rPr>
        <w:t>Verhoest</w:t>
      </w:r>
      <w:proofErr w:type="spell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et al</w:t>
      </w:r>
      <w:r w:rsidRPr="00202F51">
        <w:rPr>
          <w:rFonts w:ascii="LinLibertine" w:eastAsia="Times New Roman" w:hAnsi="LinLibertine" w:cs="Times New Roman"/>
          <w:color w:val="000000"/>
          <w:sz w:val="24"/>
          <w:szCs w:val="24"/>
          <w:lang w:eastAsia="en-GB"/>
        </w:rPr>
        <w:t>., 2010).</w:t>
      </w:r>
    </w:p>
    <w:p w14:paraId="39BD2E70" w14:textId="77777777" w:rsidR="00202F51" w:rsidRPr="00202F51" w:rsidRDefault="00202F51" w:rsidP="00202F51">
      <w:pPr>
        <w:spacing w:before="480" w:after="240" w:line="468" w:lineRule="atLeast"/>
        <w:outlineLvl w:val="1"/>
        <w:rPr>
          <w:rFonts w:ascii="LinLibertine" w:eastAsia="Times New Roman" w:hAnsi="LinLibertine" w:cs="Times New Roman"/>
          <w:b/>
          <w:bCs/>
          <w:color w:val="000000"/>
          <w:sz w:val="36"/>
          <w:szCs w:val="36"/>
          <w:lang w:eastAsia="en-GB"/>
        </w:rPr>
      </w:pPr>
      <w:r w:rsidRPr="00202F51">
        <w:rPr>
          <w:rFonts w:ascii="LinLibertine" w:eastAsia="Times New Roman" w:hAnsi="LinLibertine" w:cs="Times New Roman"/>
          <w:b/>
          <w:bCs/>
          <w:color w:val="000000"/>
          <w:sz w:val="36"/>
          <w:szCs w:val="36"/>
          <w:lang w:eastAsia="en-GB"/>
        </w:rPr>
        <w:t>Summary</w:t>
      </w:r>
    </w:p>
    <w:p w14:paraId="29AB4978"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The idea of decentralizing public authority to arm’s-length bodies of one sort or another has proved to be a very appealing one in many countries. Many arguments – not all of them mutually compatible – have been put forward in its favour. However, the practice of doing this has produced a tremendous variety of results, ranging from policy reversal to on-going crisis, to disappointing sameness, to incremental change, to major improvements in efficiency and/or quality of service. It seems, therefore, that there must be intervening factors that determine the degree of success or failure. Research has pointed towards what some of these might be, but the picture is as yet incomplete, and the complexity of possible interactions is high.</w:t>
      </w:r>
    </w:p>
    <w:p w14:paraId="2B2E3EB6" w14:textId="77777777" w:rsidR="00202F51" w:rsidRPr="00202F51" w:rsidRDefault="00202F51" w:rsidP="00202F51">
      <w:pPr>
        <w:spacing w:before="480" w:after="240" w:line="468" w:lineRule="atLeast"/>
        <w:outlineLvl w:val="1"/>
        <w:rPr>
          <w:rFonts w:ascii="LinLibertine" w:eastAsia="Times New Roman" w:hAnsi="LinLibertine" w:cs="Times New Roman"/>
          <w:b/>
          <w:bCs/>
          <w:color w:val="000000"/>
          <w:sz w:val="36"/>
          <w:szCs w:val="36"/>
          <w:lang w:eastAsia="en-GB"/>
        </w:rPr>
      </w:pPr>
      <w:r w:rsidRPr="00202F51">
        <w:rPr>
          <w:rFonts w:ascii="LinLibertine" w:eastAsia="Times New Roman" w:hAnsi="LinLibertine" w:cs="Times New Roman"/>
          <w:b/>
          <w:bCs/>
          <w:color w:val="000000"/>
          <w:sz w:val="36"/>
          <w:szCs w:val="36"/>
          <w:lang w:eastAsia="en-GB"/>
        </w:rPr>
        <w:t>Questions for review and discussion</w:t>
      </w:r>
    </w:p>
    <w:p w14:paraId="282895D9" w14:textId="77777777" w:rsidR="00202F51" w:rsidRPr="00202F51" w:rsidRDefault="00202F51" w:rsidP="00202F51">
      <w:pPr>
        <w:numPr>
          <w:ilvl w:val="0"/>
          <w:numId w:val="8"/>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lastRenderedPageBreak/>
        <w:t>Taking into consideration the factors mentioned above, choose two functions, one of which would be a good candidate for agency status and one which would, because of its characteristics, be high risk.</w:t>
      </w:r>
    </w:p>
    <w:p w14:paraId="3809757B" w14:textId="77777777" w:rsidR="00202F51" w:rsidRPr="00202F51" w:rsidRDefault="00202F51" w:rsidP="00202F51">
      <w:pPr>
        <w:numPr>
          <w:ilvl w:val="0"/>
          <w:numId w:val="8"/>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Why have politicians been so keen to set up new agencies when the evidence on results is so patchy?</w:t>
      </w:r>
    </w:p>
    <w:p w14:paraId="5DECCCBE" w14:textId="77777777" w:rsidR="00202F51" w:rsidRPr="00202F51" w:rsidRDefault="00202F51" w:rsidP="00202F51">
      <w:pPr>
        <w:spacing w:before="480" w:after="240" w:line="468" w:lineRule="atLeast"/>
        <w:outlineLvl w:val="1"/>
        <w:rPr>
          <w:rFonts w:ascii="LinLibertine" w:eastAsia="Times New Roman" w:hAnsi="LinLibertine" w:cs="Times New Roman"/>
          <w:b/>
          <w:bCs/>
          <w:color w:val="000000"/>
          <w:sz w:val="36"/>
          <w:szCs w:val="36"/>
          <w:lang w:eastAsia="en-GB"/>
        </w:rPr>
      </w:pPr>
      <w:r w:rsidRPr="00202F51">
        <w:rPr>
          <w:rFonts w:ascii="LinLibertine" w:eastAsia="Times New Roman" w:hAnsi="LinLibertine" w:cs="Times New Roman"/>
          <w:b/>
          <w:bCs/>
          <w:color w:val="000000"/>
          <w:sz w:val="36"/>
          <w:szCs w:val="36"/>
          <w:lang w:eastAsia="en-GB"/>
        </w:rPr>
        <w:t>Reader exercises</w:t>
      </w:r>
    </w:p>
    <w:p w14:paraId="607785CA" w14:textId="77777777" w:rsidR="00202F51" w:rsidRPr="00202F51" w:rsidRDefault="00202F51" w:rsidP="00202F51">
      <w:pPr>
        <w:numPr>
          <w:ilvl w:val="0"/>
          <w:numId w:val="9"/>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Find an example (e.g. in a newspaper or on the Internet) of a public agency in your country that is in the news for some failure or other. Examine the story for evidence of whether this failure has been caused by the agency’s poor internal management or because of its inappropriate relationship with its ‘home’ ministry or local authority, or for other reasons. (And don’t assume that the news source necessarily has the right diagnosis! Is the story (a) internally coherent and (b) </w:t>
      </w:r>
      <w:r w:rsidRPr="00202F51">
        <w:rPr>
          <w:rFonts w:ascii="LinLibertine" w:eastAsia="Times New Roman" w:hAnsi="LinLibertine" w:cs="Times New Roman"/>
          <w:i/>
          <w:iCs/>
          <w:color w:val="000000"/>
          <w:sz w:val="24"/>
          <w:szCs w:val="24"/>
          <w:lang w:eastAsia="en-GB"/>
        </w:rPr>
        <w:t>prima facie</w:t>
      </w:r>
      <w:r w:rsidRPr="00202F51">
        <w:rPr>
          <w:rFonts w:ascii="LinLibertine" w:eastAsia="Times New Roman" w:hAnsi="LinLibertine" w:cs="Times New Roman"/>
          <w:color w:val="000000"/>
          <w:sz w:val="24"/>
          <w:szCs w:val="24"/>
          <w:lang w:eastAsia="en-GB"/>
        </w:rPr>
        <w:t> likely?)</w:t>
      </w:r>
    </w:p>
    <w:p w14:paraId="64547E62" w14:textId="77777777" w:rsidR="00202F51" w:rsidRPr="00202F51" w:rsidRDefault="00202F51" w:rsidP="00202F51">
      <w:pPr>
        <w:numPr>
          <w:ilvl w:val="0"/>
          <w:numId w:val="9"/>
        </w:numPr>
        <w:spacing w:before="100" w:beforeAutospacing="1" w:after="100" w:afterAutospacing="1" w:line="240" w:lineRule="auto"/>
        <w:ind w:left="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In relation to the same agency (or another of your choice), examine the managerial qualifications of the top management of the agency and the qualifications of the board members. What do you think this tells you about the relationship of agencies and the ‘home’ ministry or local authority?</w:t>
      </w:r>
    </w:p>
    <w:p w14:paraId="188153F0" w14:textId="77777777" w:rsidR="00202F51" w:rsidRPr="00202F51" w:rsidRDefault="00202F51" w:rsidP="00202F51">
      <w:pPr>
        <w:spacing w:before="480" w:after="240" w:line="468" w:lineRule="atLeast"/>
        <w:outlineLvl w:val="1"/>
        <w:rPr>
          <w:rFonts w:ascii="LinLibertine" w:eastAsia="Times New Roman" w:hAnsi="LinLibertine" w:cs="Times New Roman"/>
          <w:b/>
          <w:bCs/>
          <w:color w:val="000000"/>
          <w:sz w:val="36"/>
          <w:szCs w:val="36"/>
          <w:lang w:eastAsia="en-GB"/>
        </w:rPr>
      </w:pPr>
      <w:r w:rsidRPr="00202F51">
        <w:rPr>
          <w:rFonts w:ascii="LinLibertine" w:eastAsia="Times New Roman" w:hAnsi="LinLibertine" w:cs="Times New Roman"/>
          <w:b/>
          <w:bCs/>
          <w:color w:val="000000"/>
          <w:sz w:val="36"/>
          <w:szCs w:val="36"/>
          <w:lang w:eastAsia="en-GB"/>
        </w:rPr>
        <w:t>Class exercise</w:t>
      </w:r>
    </w:p>
    <w:p w14:paraId="347DEBF7" w14:textId="77777777" w:rsidR="00202F51" w:rsidRPr="00202F51" w:rsidRDefault="00202F51" w:rsidP="00202F51">
      <w:pPr>
        <w:spacing w:before="240" w:after="0" w:line="240" w:lineRule="auto"/>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List as many reasons for creating decentralized agencies as you can think of. Then discuss how many of these reasons apply to each of the following:</w:t>
      </w:r>
    </w:p>
    <w:p w14:paraId="5DD22B09" w14:textId="77777777" w:rsidR="00202F51" w:rsidRPr="00202F51" w:rsidRDefault="00202F51" w:rsidP="00202F51">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a unit that gives grants to university students;</w:t>
      </w:r>
    </w:p>
    <w:p w14:paraId="62C9DCF9" w14:textId="77777777" w:rsidR="00202F51" w:rsidRPr="00202F51" w:rsidRDefault="00202F51" w:rsidP="00202F51">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a unit that conducts driving tests and issues licences to successful candidates;</w:t>
      </w:r>
    </w:p>
    <w:p w14:paraId="752F1B17" w14:textId="77777777" w:rsidR="00202F51" w:rsidRPr="00202F51" w:rsidRDefault="00202F51" w:rsidP="00202F51">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a civil service recruitment agency;</w:t>
      </w:r>
    </w:p>
    <w:p w14:paraId="2B2F2B02" w14:textId="77777777" w:rsidR="00202F51" w:rsidRPr="00202F51" w:rsidRDefault="00202F51" w:rsidP="00202F51">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an immigration office;</w:t>
      </w:r>
    </w:p>
    <w:p w14:paraId="4B91A3B3" w14:textId="77777777" w:rsidR="00202F51" w:rsidRPr="00202F51" w:rsidRDefault="00202F51" w:rsidP="00202F51">
      <w:pPr>
        <w:numPr>
          <w:ilvl w:val="0"/>
          <w:numId w:val="10"/>
        </w:numPr>
        <w:spacing w:before="100" w:beforeAutospacing="1" w:after="100" w:afterAutospacing="1" w:line="240" w:lineRule="auto"/>
        <w:ind w:left="240"/>
        <w:jc w:val="both"/>
        <w:rPr>
          <w:rFonts w:ascii="LinLibertine" w:eastAsia="Times New Roman" w:hAnsi="LinLibertine" w:cs="Times New Roman"/>
          <w:color w:val="000000"/>
          <w:sz w:val="24"/>
          <w:szCs w:val="24"/>
          <w:lang w:eastAsia="en-GB"/>
        </w:rPr>
      </w:pPr>
      <w:proofErr w:type="gramStart"/>
      <w:r w:rsidRPr="00202F51">
        <w:rPr>
          <w:rFonts w:ascii="LinLibertine" w:eastAsia="Times New Roman" w:hAnsi="LinLibertine" w:cs="Times New Roman"/>
          <w:color w:val="000000"/>
          <w:sz w:val="24"/>
          <w:szCs w:val="24"/>
          <w:lang w:eastAsia="en-GB"/>
        </w:rPr>
        <w:t>a</w:t>
      </w:r>
      <w:proofErr w:type="gramEnd"/>
      <w:r w:rsidRPr="00202F51">
        <w:rPr>
          <w:rFonts w:ascii="LinLibertine" w:eastAsia="Times New Roman" w:hAnsi="LinLibertine" w:cs="Times New Roman"/>
          <w:color w:val="000000"/>
          <w:sz w:val="24"/>
          <w:szCs w:val="24"/>
          <w:lang w:eastAsia="en-GB"/>
        </w:rPr>
        <w:t xml:space="preserve"> rural development agency.</w:t>
      </w:r>
    </w:p>
    <w:p w14:paraId="2D41D7CE" w14:textId="77777777" w:rsidR="00202F51" w:rsidRPr="00202F51" w:rsidRDefault="00202F51" w:rsidP="00202F51">
      <w:pPr>
        <w:spacing w:before="480" w:after="240" w:line="468" w:lineRule="atLeast"/>
        <w:outlineLvl w:val="1"/>
        <w:rPr>
          <w:rFonts w:ascii="LinLibertine" w:eastAsia="Times New Roman" w:hAnsi="LinLibertine" w:cs="Times New Roman"/>
          <w:b/>
          <w:bCs/>
          <w:color w:val="000000"/>
          <w:sz w:val="36"/>
          <w:szCs w:val="36"/>
          <w:lang w:eastAsia="en-GB"/>
        </w:rPr>
      </w:pPr>
      <w:r w:rsidRPr="00202F51">
        <w:rPr>
          <w:rFonts w:ascii="LinLibertine" w:eastAsia="Times New Roman" w:hAnsi="LinLibertine" w:cs="Times New Roman"/>
          <w:b/>
          <w:bCs/>
          <w:color w:val="000000"/>
          <w:sz w:val="36"/>
          <w:szCs w:val="36"/>
          <w:lang w:eastAsia="en-GB"/>
        </w:rPr>
        <w:t>Further reading</w:t>
      </w:r>
    </w:p>
    <w:p w14:paraId="5200C224"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George Boyne, Catherine Farrell, Jennifer Law, Martin Powell and Richard Walker (2003), </w:t>
      </w:r>
      <w:r w:rsidRPr="00202F51">
        <w:rPr>
          <w:rFonts w:ascii="LinLibertine" w:eastAsia="Times New Roman" w:hAnsi="LinLibertine" w:cs="Times New Roman"/>
          <w:i/>
          <w:iCs/>
          <w:color w:val="000000"/>
          <w:sz w:val="24"/>
          <w:szCs w:val="24"/>
          <w:lang w:eastAsia="en-GB"/>
        </w:rPr>
        <w:t>Evaluating public management reforms</w:t>
      </w:r>
      <w:r w:rsidRPr="00202F51">
        <w:rPr>
          <w:rFonts w:ascii="LinLibertine" w:eastAsia="Times New Roman" w:hAnsi="LinLibertine" w:cs="Times New Roman"/>
          <w:color w:val="000000"/>
          <w:sz w:val="24"/>
          <w:szCs w:val="24"/>
          <w:lang w:eastAsia="en-GB"/>
        </w:rPr>
        <w:t>. Buckingham: Open University Press.</w:t>
      </w:r>
    </w:p>
    <w:p w14:paraId="0224C3C9"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Francesca Gains (2004), ‘“Hardware, software or network connection?” Theorising crisis in the UK Next Steps agencies’, </w:t>
      </w:r>
      <w:r w:rsidRPr="00202F51">
        <w:rPr>
          <w:rFonts w:ascii="LinLibertine" w:eastAsia="Times New Roman" w:hAnsi="LinLibertine" w:cs="Times New Roman"/>
          <w:i/>
          <w:iCs/>
          <w:color w:val="000000"/>
          <w:sz w:val="24"/>
          <w:szCs w:val="24"/>
          <w:lang w:eastAsia="en-GB"/>
        </w:rPr>
        <w:t>Public Administration</w:t>
      </w:r>
      <w:r w:rsidRPr="00202F51">
        <w:rPr>
          <w:rFonts w:ascii="LinLibertine" w:eastAsia="Times New Roman" w:hAnsi="LinLibertine" w:cs="Times New Roman"/>
          <w:color w:val="000000"/>
          <w:sz w:val="24"/>
          <w:szCs w:val="24"/>
          <w:lang w:eastAsia="en-GB"/>
        </w:rPr>
        <w:t>, 82 (3): 547–56.</w:t>
      </w:r>
    </w:p>
    <w:p w14:paraId="5777AE4A"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Christopher Hood (1991), ‘A public management for all seasons’, </w:t>
      </w:r>
      <w:r w:rsidRPr="00202F51">
        <w:rPr>
          <w:rFonts w:ascii="LinLibertine" w:eastAsia="Times New Roman" w:hAnsi="LinLibertine" w:cs="Times New Roman"/>
          <w:i/>
          <w:iCs/>
          <w:color w:val="000000"/>
          <w:sz w:val="24"/>
          <w:szCs w:val="24"/>
          <w:lang w:eastAsia="en-GB"/>
        </w:rPr>
        <w:t>Public Administration</w:t>
      </w:r>
      <w:r w:rsidRPr="00202F51">
        <w:rPr>
          <w:rFonts w:ascii="LinLibertine" w:eastAsia="Times New Roman" w:hAnsi="LinLibertine" w:cs="Times New Roman"/>
          <w:color w:val="000000"/>
          <w:sz w:val="24"/>
          <w:szCs w:val="24"/>
          <w:lang w:eastAsia="en-GB"/>
        </w:rPr>
        <w:t>, 69 (1): 3–19.</w:t>
      </w:r>
    </w:p>
    <w:p w14:paraId="25663689"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Oliver James (2003), </w:t>
      </w:r>
      <w:proofErr w:type="gramStart"/>
      <w:r w:rsidRPr="00202F51">
        <w:rPr>
          <w:rFonts w:ascii="LinLibertine" w:eastAsia="Times New Roman" w:hAnsi="LinLibertine" w:cs="Times New Roman"/>
          <w:i/>
          <w:iCs/>
          <w:color w:val="000000"/>
          <w:sz w:val="24"/>
          <w:szCs w:val="24"/>
          <w:lang w:eastAsia="en-GB"/>
        </w:rPr>
        <w:t>The</w:t>
      </w:r>
      <w:proofErr w:type="gramEnd"/>
      <w:r w:rsidRPr="00202F51">
        <w:rPr>
          <w:rFonts w:ascii="LinLibertine" w:eastAsia="Times New Roman" w:hAnsi="LinLibertine" w:cs="Times New Roman"/>
          <w:i/>
          <w:iCs/>
          <w:color w:val="000000"/>
          <w:sz w:val="24"/>
          <w:szCs w:val="24"/>
          <w:lang w:eastAsia="en-GB"/>
        </w:rPr>
        <w:t xml:space="preserve"> executive agency revolution in Whitehall: public interest versus bureau-shaping perspectives</w:t>
      </w:r>
      <w:r w:rsidRPr="00202F51">
        <w:rPr>
          <w:rFonts w:ascii="LinLibertine" w:eastAsia="Times New Roman" w:hAnsi="LinLibertine" w:cs="Times New Roman"/>
          <w:color w:val="000000"/>
          <w:sz w:val="24"/>
          <w:szCs w:val="24"/>
          <w:lang w:eastAsia="en-GB"/>
        </w:rPr>
        <w:t>. Basingstoke: Palgrave Macmillan.</w:t>
      </w:r>
    </w:p>
    <w:p w14:paraId="5D46F498"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OECD (2001c), </w:t>
      </w:r>
      <w:r w:rsidRPr="00202F51">
        <w:rPr>
          <w:rFonts w:ascii="LinLibertine" w:eastAsia="Times New Roman" w:hAnsi="LinLibertine" w:cs="Times New Roman"/>
          <w:i/>
          <w:iCs/>
          <w:color w:val="000000"/>
          <w:sz w:val="24"/>
          <w:szCs w:val="24"/>
          <w:lang w:eastAsia="en-GB"/>
        </w:rPr>
        <w:t>Distributed public governance: agencies, authorities and other autonomous bodies</w:t>
      </w:r>
      <w:r w:rsidRPr="00202F51">
        <w:rPr>
          <w:rFonts w:ascii="LinLibertine" w:eastAsia="Times New Roman" w:hAnsi="LinLibertine" w:cs="Times New Roman"/>
          <w:color w:val="000000"/>
          <w:sz w:val="24"/>
          <w:szCs w:val="24"/>
          <w:lang w:eastAsia="en-GB"/>
        </w:rPr>
        <w:t> (preliminary draft). Paris: OECD.</w:t>
      </w:r>
    </w:p>
    <w:p w14:paraId="0622485C"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Christopher Pollitt (2005a), ‘Decentralization: a central concept in contemporary public management’, in E. Ferlie L. Lynn C. Pollitt (</w:t>
      </w:r>
      <w:proofErr w:type="spellStart"/>
      <w:proofErr w:type="gramStart"/>
      <w:r w:rsidRPr="00202F51">
        <w:rPr>
          <w:rFonts w:ascii="LinLibertine" w:eastAsia="Times New Roman" w:hAnsi="LinLibertine" w:cs="Times New Roman"/>
          <w:color w:val="000000"/>
          <w:sz w:val="24"/>
          <w:szCs w:val="24"/>
          <w:lang w:eastAsia="en-GB"/>
        </w:rPr>
        <w:t>eds</w:t>
      </w:r>
      <w:proofErr w:type="spellEnd"/>
      <w:proofErr w:type="gram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The Oxford handbook of public management</w:t>
      </w:r>
      <w:r w:rsidRPr="00202F51">
        <w:rPr>
          <w:rFonts w:ascii="LinLibertine" w:eastAsia="Times New Roman" w:hAnsi="LinLibertine" w:cs="Times New Roman"/>
          <w:color w:val="000000"/>
          <w:sz w:val="24"/>
          <w:szCs w:val="24"/>
          <w:lang w:eastAsia="en-GB"/>
        </w:rPr>
        <w:t>. Oxford: Oxford University Press, pp. 371–397.</w:t>
      </w:r>
    </w:p>
    <w:p w14:paraId="6C3E9C6E"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lastRenderedPageBreak/>
        <w:t xml:space="preserve">Christopher Pollitt and Geert </w:t>
      </w:r>
      <w:proofErr w:type="spellStart"/>
      <w:r w:rsidRPr="00202F51">
        <w:rPr>
          <w:rFonts w:ascii="LinLibertine" w:eastAsia="Times New Roman" w:hAnsi="LinLibertine" w:cs="Times New Roman"/>
          <w:color w:val="000000"/>
          <w:sz w:val="24"/>
          <w:szCs w:val="24"/>
          <w:lang w:eastAsia="en-GB"/>
        </w:rPr>
        <w:t>Bouckaert</w:t>
      </w:r>
      <w:proofErr w:type="spellEnd"/>
      <w:r w:rsidRPr="00202F51">
        <w:rPr>
          <w:rFonts w:ascii="LinLibertine" w:eastAsia="Times New Roman" w:hAnsi="LinLibertine" w:cs="Times New Roman"/>
          <w:color w:val="000000"/>
          <w:sz w:val="24"/>
          <w:szCs w:val="24"/>
          <w:lang w:eastAsia="en-GB"/>
        </w:rPr>
        <w:t xml:space="preserve"> (2004), </w:t>
      </w:r>
      <w:r w:rsidRPr="00202F51">
        <w:rPr>
          <w:rFonts w:ascii="LinLibertine" w:eastAsia="Times New Roman" w:hAnsi="LinLibertine" w:cs="Times New Roman"/>
          <w:i/>
          <w:iCs/>
          <w:color w:val="000000"/>
          <w:sz w:val="24"/>
          <w:szCs w:val="24"/>
          <w:lang w:eastAsia="en-GB"/>
        </w:rPr>
        <w:t>Public management reform: a comparative analysis</w:t>
      </w:r>
      <w:r w:rsidRPr="00202F51">
        <w:rPr>
          <w:rFonts w:ascii="LinLibertine" w:eastAsia="Times New Roman" w:hAnsi="LinLibertine" w:cs="Times New Roman"/>
          <w:color w:val="000000"/>
          <w:sz w:val="24"/>
          <w:szCs w:val="24"/>
          <w:lang w:eastAsia="en-GB"/>
        </w:rPr>
        <w:t xml:space="preserve"> (2nd </w:t>
      </w:r>
      <w:proofErr w:type="spellStart"/>
      <w:r w:rsidRPr="00202F51">
        <w:rPr>
          <w:rFonts w:ascii="LinLibertine" w:eastAsia="Times New Roman" w:hAnsi="LinLibertine" w:cs="Times New Roman"/>
          <w:color w:val="000000"/>
          <w:sz w:val="24"/>
          <w:szCs w:val="24"/>
          <w:lang w:eastAsia="en-GB"/>
        </w:rPr>
        <w:t>edn</w:t>
      </w:r>
      <w:proofErr w:type="spellEnd"/>
      <w:r w:rsidRPr="00202F51">
        <w:rPr>
          <w:rFonts w:ascii="LinLibertine" w:eastAsia="Times New Roman" w:hAnsi="LinLibertine" w:cs="Times New Roman"/>
          <w:color w:val="000000"/>
          <w:sz w:val="24"/>
          <w:szCs w:val="24"/>
          <w:lang w:eastAsia="en-GB"/>
        </w:rPr>
        <w:t>). Oxford: Oxford University Press.</w:t>
      </w:r>
    </w:p>
    <w:p w14:paraId="39040BD7"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Christopher Pollitt, Colin Talbot, Janice Caulfield and Amanda </w:t>
      </w:r>
      <w:proofErr w:type="spellStart"/>
      <w:r w:rsidRPr="00202F51">
        <w:rPr>
          <w:rFonts w:ascii="LinLibertine" w:eastAsia="Times New Roman" w:hAnsi="LinLibertine" w:cs="Times New Roman"/>
          <w:color w:val="000000"/>
          <w:sz w:val="24"/>
          <w:szCs w:val="24"/>
          <w:lang w:eastAsia="en-GB"/>
        </w:rPr>
        <w:t>Smullen</w:t>
      </w:r>
      <w:proofErr w:type="spellEnd"/>
      <w:r w:rsidRPr="00202F51">
        <w:rPr>
          <w:rFonts w:ascii="LinLibertine" w:eastAsia="Times New Roman" w:hAnsi="LinLibertine" w:cs="Times New Roman"/>
          <w:color w:val="000000"/>
          <w:sz w:val="24"/>
          <w:szCs w:val="24"/>
          <w:lang w:eastAsia="en-GB"/>
        </w:rPr>
        <w:t xml:space="preserve"> (2004), </w:t>
      </w:r>
      <w:r w:rsidRPr="00202F51">
        <w:rPr>
          <w:rFonts w:ascii="LinLibertine" w:eastAsia="Times New Roman" w:hAnsi="LinLibertine" w:cs="Times New Roman"/>
          <w:i/>
          <w:iCs/>
          <w:color w:val="000000"/>
          <w:sz w:val="24"/>
          <w:szCs w:val="24"/>
          <w:lang w:eastAsia="en-GB"/>
        </w:rPr>
        <w:t>Agencies: how governments do things through semi-autonomous agencies</w:t>
      </w:r>
      <w:r w:rsidRPr="00202F51">
        <w:rPr>
          <w:rFonts w:ascii="LinLibertine" w:eastAsia="Times New Roman" w:hAnsi="LinLibertine" w:cs="Times New Roman"/>
          <w:color w:val="000000"/>
          <w:sz w:val="24"/>
          <w:szCs w:val="24"/>
          <w:lang w:eastAsia="en-GB"/>
        </w:rPr>
        <w:t>. Basingstoke: Palgrave Macmillan.</w:t>
      </w:r>
    </w:p>
    <w:p w14:paraId="6B4715E3"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Colin Talbot (2004), ‘Executive agencies: have they improved management in government?</w:t>
      </w:r>
      <w:proofErr w:type="gramStart"/>
      <w:r w:rsidRPr="00202F51">
        <w:rPr>
          <w:rFonts w:ascii="LinLibertine" w:eastAsia="Times New Roman" w:hAnsi="LinLibertine" w:cs="Times New Roman"/>
          <w:color w:val="000000"/>
          <w:sz w:val="24"/>
          <w:szCs w:val="24"/>
          <w:lang w:eastAsia="en-GB"/>
        </w:rPr>
        <w:t>’,</w:t>
      </w:r>
      <w:proofErr w:type="gram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Public Money and Management</w:t>
      </w:r>
      <w:r w:rsidRPr="00202F51">
        <w:rPr>
          <w:rFonts w:ascii="LinLibertine" w:eastAsia="Times New Roman" w:hAnsi="LinLibertine" w:cs="Times New Roman"/>
          <w:color w:val="000000"/>
          <w:sz w:val="24"/>
          <w:szCs w:val="24"/>
          <w:lang w:eastAsia="en-GB"/>
        </w:rPr>
        <w:t>, 24 (1): 104–111.</w:t>
      </w:r>
    </w:p>
    <w:p w14:paraId="211F9D0D" w14:textId="77777777" w:rsidR="00202F51" w:rsidRPr="00202F51" w:rsidRDefault="00202F51" w:rsidP="00202F51">
      <w:pPr>
        <w:spacing w:before="480" w:after="240" w:line="468" w:lineRule="atLeast"/>
        <w:outlineLvl w:val="1"/>
        <w:rPr>
          <w:rFonts w:ascii="LinLibertine" w:eastAsia="Times New Roman" w:hAnsi="LinLibertine" w:cs="Times New Roman"/>
          <w:b/>
          <w:bCs/>
          <w:color w:val="000000"/>
          <w:sz w:val="36"/>
          <w:szCs w:val="36"/>
          <w:lang w:eastAsia="en-GB"/>
        </w:rPr>
      </w:pPr>
      <w:r w:rsidRPr="00202F51">
        <w:rPr>
          <w:rFonts w:ascii="LinLibertine" w:eastAsia="Times New Roman" w:hAnsi="LinLibertine" w:cs="Times New Roman"/>
          <w:b/>
          <w:bCs/>
          <w:color w:val="000000"/>
          <w:sz w:val="36"/>
          <w:szCs w:val="36"/>
          <w:lang w:eastAsia="en-GB"/>
        </w:rPr>
        <w:t>References</w:t>
      </w:r>
    </w:p>
    <w:p w14:paraId="54D8D1AA"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Chancellor of the Duchy of Lancaster (1997), </w:t>
      </w:r>
      <w:r w:rsidRPr="00202F51">
        <w:rPr>
          <w:rFonts w:ascii="LinLibertine" w:eastAsia="Times New Roman" w:hAnsi="LinLibertine" w:cs="Times New Roman"/>
          <w:i/>
          <w:iCs/>
          <w:color w:val="000000"/>
          <w:sz w:val="24"/>
          <w:szCs w:val="24"/>
          <w:lang w:eastAsia="en-GB"/>
        </w:rPr>
        <w:t>Next Steps: agencies in government: review</w:t>
      </w:r>
      <w:r w:rsidRPr="00202F51">
        <w:rPr>
          <w:rFonts w:ascii="LinLibertine" w:eastAsia="Times New Roman" w:hAnsi="LinLibertine" w:cs="Times New Roman"/>
          <w:color w:val="000000"/>
          <w:sz w:val="24"/>
          <w:szCs w:val="24"/>
          <w:lang w:eastAsia="en-GB"/>
        </w:rPr>
        <w:t>, Cm 4011. London: Stationery Office.</w:t>
      </w:r>
    </w:p>
    <w:p w14:paraId="1CF04DB6"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Francesca Gains (2004), ‘“Hardware, software or network connection?” Theorising crisis in the UK next steps agencies’, </w:t>
      </w:r>
      <w:r w:rsidRPr="00202F51">
        <w:rPr>
          <w:rFonts w:ascii="LinLibertine" w:eastAsia="Times New Roman" w:hAnsi="LinLibertine" w:cs="Times New Roman"/>
          <w:i/>
          <w:iCs/>
          <w:color w:val="000000"/>
          <w:sz w:val="24"/>
          <w:szCs w:val="24"/>
          <w:lang w:eastAsia="en-GB"/>
        </w:rPr>
        <w:t>Public Administration</w:t>
      </w:r>
      <w:r w:rsidRPr="00202F51">
        <w:rPr>
          <w:rFonts w:ascii="LinLibertine" w:eastAsia="Times New Roman" w:hAnsi="LinLibertine" w:cs="Times New Roman"/>
          <w:color w:val="000000"/>
          <w:sz w:val="24"/>
          <w:szCs w:val="24"/>
          <w:lang w:eastAsia="en-GB"/>
        </w:rPr>
        <w:t>, 82 (3): 547–556.</w:t>
      </w:r>
    </w:p>
    <w:p w14:paraId="49E2089F"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Christopher Hood and Michael Jackson (1991), </w:t>
      </w:r>
      <w:r w:rsidRPr="00202F51">
        <w:rPr>
          <w:rFonts w:ascii="LinLibertine" w:eastAsia="Times New Roman" w:hAnsi="LinLibertine" w:cs="Times New Roman"/>
          <w:i/>
          <w:iCs/>
          <w:color w:val="000000"/>
          <w:sz w:val="24"/>
          <w:szCs w:val="24"/>
          <w:lang w:eastAsia="en-GB"/>
        </w:rPr>
        <w:t>Administrative argument</w:t>
      </w:r>
      <w:r w:rsidRPr="00202F51">
        <w:rPr>
          <w:rFonts w:ascii="LinLibertine" w:eastAsia="Times New Roman" w:hAnsi="LinLibertine" w:cs="Times New Roman"/>
          <w:color w:val="000000"/>
          <w:sz w:val="24"/>
          <w:szCs w:val="24"/>
          <w:lang w:eastAsia="en-GB"/>
        </w:rPr>
        <w:t>. Aldershot: Dartmouth.</w:t>
      </w:r>
    </w:p>
    <w:p w14:paraId="7F719CDE"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202F51">
        <w:rPr>
          <w:rFonts w:ascii="LinLibertine" w:eastAsia="Times New Roman" w:hAnsi="LinLibertine" w:cs="Times New Roman"/>
          <w:color w:val="000000"/>
          <w:sz w:val="24"/>
          <w:szCs w:val="24"/>
          <w:lang w:eastAsia="en-GB"/>
        </w:rPr>
        <w:t>Tamas</w:t>
      </w:r>
      <w:proofErr w:type="spellEnd"/>
      <w:r w:rsidRPr="00202F51">
        <w:rPr>
          <w:rFonts w:ascii="LinLibertine" w:eastAsia="Times New Roman" w:hAnsi="LinLibertine" w:cs="Times New Roman"/>
          <w:color w:val="000000"/>
          <w:sz w:val="24"/>
          <w:szCs w:val="24"/>
          <w:lang w:eastAsia="en-GB"/>
        </w:rPr>
        <w:t xml:space="preserve"> Horvath (ed.) (2000), </w:t>
      </w:r>
      <w:r w:rsidRPr="00202F51">
        <w:rPr>
          <w:rFonts w:ascii="LinLibertine" w:eastAsia="Times New Roman" w:hAnsi="LinLibertine" w:cs="Times New Roman"/>
          <w:i/>
          <w:iCs/>
          <w:color w:val="000000"/>
          <w:sz w:val="24"/>
          <w:szCs w:val="24"/>
          <w:lang w:eastAsia="en-GB"/>
        </w:rPr>
        <w:t>Decentralization: experiments and reforms. Local governments in central and eastern Europe</w:t>
      </w:r>
      <w:r w:rsidRPr="00202F51">
        <w:rPr>
          <w:rFonts w:ascii="LinLibertine" w:eastAsia="Times New Roman" w:hAnsi="LinLibertine" w:cs="Times New Roman"/>
          <w:color w:val="000000"/>
          <w:sz w:val="24"/>
          <w:szCs w:val="24"/>
          <w:lang w:eastAsia="en-GB"/>
        </w:rPr>
        <w:t>. Budapest: Open Society Institute.</w:t>
      </w:r>
    </w:p>
    <w:p w14:paraId="449BDA13"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Oliver James (2003), </w:t>
      </w:r>
      <w:proofErr w:type="gramStart"/>
      <w:r w:rsidRPr="00202F51">
        <w:rPr>
          <w:rFonts w:ascii="LinLibertine" w:eastAsia="Times New Roman" w:hAnsi="LinLibertine" w:cs="Times New Roman"/>
          <w:i/>
          <w:iCs/>
          <w:color w:val="000000"/>
          <w:sz w:val="24"/>
          <w:szCs w:val="24"/>
          <w:lang w:eastAsia="en-GB"/>
        </w:rPr>
        <w:t>The</w:t>
      </w:r>
      <w:proofErr w:type="gramEnd"/>
      <w:r w:rsidRPr="00202F51">
        <w:rPr>
          <w:rFonts w:ascii="LinLibertine" w:eastAsia="Times New Roman" w:hAnsi="LinLibertine" w:cs="Times New Roman"/>
          <w:i/>
          <w:iCs/>
          <w:color w:val="000000"/>
          <w:sz w:val="24"/>
          <w:szCs w:val="24"/>
          <w:lang w:eastAsia="en-GB"/>
        </w:rPr>
        <w:t xml:space="preserve"> executive agency revolution in Whitehall: public interest versus bureau-shaping perspectives</w:t>
      </w:r>
      <w:r w:rsidRPr="00202F51">
        <w:rPr>
          <w:rFonts w:ascii="LinLibertine" w:eastAsia="Times New Roman" w:hAnsi="LinLibertine" w:cs="Times New Roman"/>
          <w:color w:val="000000"/>
          <w:sz w:val="24"/>
          <w:szCs w:val="24"/>
          <w:lang w:eastAsia="en-GB"/>
        </w:rPr>
        <w:t>. Basingstoke: Palgrave Macmillan.</w:t>
      </w:r>
    </w:p>
    <w:p w14:paraId="2A09D442"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David Lewis (1997), </w:t>
      </w:r>
      <w:r w:rsidRPr="00202F51">
        <w:rPr>
          <w:rFonts w:ascii="LinLibertine" w:eastAsia="Times New Roman" w:hAnsi="LinLibertine" w:cs="Times New Roman"/>
          <w:i/>
          <w:iCs/>
          <w:color w:val="000000"/>
          <w:sz w:val="24"/>
          <w:szCs w:val="24"/>
          <w:lang w:eastAsia="en-GB"/>
        </w:rPr>
        <w:t>Hidden agendas: politics, law and disorder</w:t>
      </w:r>
      <w:r w:rsidRPr="00202F51">
        <w:rPr>
          <w:rFonts w:ascii="LinLibertine" w:eastAsia="Times New Roman" w:hAnsi="LinLibertine" w:cs="Times New Roman"/>
          <w:color w:val="000000"/>
          <w:sz w:val="24"/>
          <w:szCs w:val="24"/>
          <w:lang w:eastAsia="en-GB"/>
        </w:rPr>
        <w:t>. London: Hamish Hamilton.</w:t>
      </w:r>
    </w:p>
    <w:p w14:paraId="5620BB25"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Arthur </w:t>
      </w:r>
      <w:proofErr w:type="spellStart"/>
      <w:r w:rsidRPr="00202F51">
        <w:rPr>
          <w:rFonts w:ascii="LinLibertine" w:eastAsia="Times New Roman" w:hAnsi="LinLibertine" w:cs="Times New Roman"/>
          <w:color w:val="000000"/>
          <w:sz w:val="24"/>
          <w:szCs w:val="24"/>
          <w:lang w:eastAsia="en-GB"/>
        </w:rPr>
        <w:t>Macmahon</w:t>
      </w:r>
      <w:proofErr w:type="spellEnd"/>
      <w:r w:rsidRPr="00202F51">
        <w:rPr>
          <w:rFonts w:ascii="LinLibertine" w:eastAsia="Times New Roman" w:hAnsi="LinLibertine" w:cs="Times New Roman"/>
          <w:color w:val="000000"/>
          <w:sz w:val="24"/>
          <w:szCs w:val="24"/>
          <w:lang w:eastAsia="en-GB"/>
        </w:rPr>
        <w:t xml:space="preserve"> (1961), </w:t>
      </w:r>
      <w:r w:rsidRPr="00202F51">
        <w:rPr>
          <w:rFonts w:ascii="LinLibertine" w:eastAsia="Times New Roman" w:hAnsi="LinLibertine" w:cs="Times New Roman"/>
          <w:i/>
          <w:iCs/>
          <w:color w:val="000000"/>
          <w:sz w:val="24"/>
          <w:szCs w:val="24"/>
          <w:lang w:eastAsia="en-GB"/>
        </w:rPr>
        <w:t>Delegation and autonomy</w:t>
      </w:r>
      <w:r w:rsidRPr="00202F51">
        <w:rPr>
          <w:rFonts w:ascii="LinLibertine" w:eastAsia="Times New Roman" w:hAnsi="LinLibertine" w:cs="Times New Roman"/>
          <w:color w:val="000000"/>
          <w:sz w:val="24"/>
          <w:szCs w:val="24"/>
          <w:lang w:eastAsia="en-GB"/>
        </w:rPr>
        <w:t>. London: Asia Publishing House.</w:t>
      </w:r>
    </w:p>
    <w:p w14:paraId="40B86C1C"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Henry </w:t>
      </w:r>
      <w:proofErr w:type="spellStart"/>
      <w:r w:rsidRPr="00202F51">
        <w:rPr>
          <w:rFonts w:ascii="LinLibertine" w:eastAsia="Times New Roman" w:hAnsi="LinLibertine" w:cs="Times New Roman"/>
          <w:color w:val="000000"/>
          <w:sz w:val="24"/>
          <w:szCs w:val="24"/>
          <w:lang w:eastAsia="en-GB"/>
        </w:rPr>
        <w:t>Mintzberg</w:t>
      </w:r>
      <w:proofErr w:type="spellEnd"/>
      <w:r w:rsidRPr="00202F51">
        <w:rPr>
          <w:rFonts w:ascii="LinLibertine" w:eastAsia="Times New Roman" w:hAnsi="LinLibertine" w:cs="Times New Roman"/>
          <w:color w:val="000000"/>
          <w:sz w:val="24"/>
          <w:szCs w:val="24"/>
          <w:lang w:eastAsia="en-GB"/>
        </w:rPr>
        <w:t xml:space="preserve"> (1979), </w:t>
      </w:r>
      <w:proofErr w:type="gramStart"/>
      <w:r w:rsidRPr="00202F51">
        <w:rPr>
          <w:rFonts w:ascii="LinLibertine" w:eastAsia="Times New Roman" w:hAnsi="LinLibertine" w:cs="Times New Roman"/>
          <w:i/>
          <w:iCs/>
          <w:color w:val="000000"/>
          <w:sz w:val="24"/>
          <w:szCs w:val="24"/>
          <w:lang w:eastAsia="en-GB"/>
        </w:rPr>
        <w:t>The</w:t>
      </w:r>
      <w:proofErr w:type="gramEnd"/>
      <w:r w:rsidRPr="00202F51">
        <w:rPr>
          <w:rFonts w:ascii="LinLibertine" w:eastAsia="Times New Roman" w:hAnsi="LinLibertine" w:cs="Times New Roman"/>
          <w:i/>
          <w:iCs/>
          <w:color w:val="000000"/>
          <w:sz w:val="24"/>
          <w:szCs w:val="24"/>
          <w:lang w:eastAsia="en-GB"/>
        </w:rPr>
        <w:t xml:space="preserve"> structuring of organizations: a synthesis of the research</w:t>
      </w:r>
      <w:r w:rsidRPr="00202F51">
        <w:rPr>
          <w:rFonts w:ascii="LinLibertine" w:eastAsia="Times New Roman" w:hAnsi="LinLibertine" w:cs="Times New Roman"/>
          <w:color w:val="000000"/>
          <w:sz w:val="24"/>
          <w:szCs w:val="24"/>
          <w:lang w:eastAsia="en-GB"/>
        </w:rPr>
        <w:t>. London: Prentice Hall.</w:t>
      </w:r>
    </w:p>
    <w:p w14:paraId="7E1836B3"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OECD (2001), </w:t>
      </w:r>
      <w:r w:rsidRPr="00202F51">
        <w:rPr>
          <w:rFonts w:ascii="LinLibertine" w:eastAsia="Times New Roman" w:hAnsi="LinLibertine" w:cs="Times New Roman"/>
          <w:i/>
          <w:iCs/>
          <w:color w:val="000000"/>
          <w:sz w:val="24"/>
          <w:szCs w:val="24"/>
          <w:lang w:eastAsia="en-GB"/>
        </w:rPr>
        <w:t>Distributed public governance: agencies, authorities and other autonomous bodies</w:t>
      </w:r>
      <w:r w:rsidRPr="00202F51">
        <w:rPr>
          <w:rFonts w:ascii="LinLibertine" w:eastAsia="Times New Roman" w:hAnsi="LinLibertine" w:cs="Times New Roman"/>
          <w:color w:val="000000"/>
          <w:sz w:val="24"/>
          <w:szCs w:val="24"/>
          <w:lang w:eastAsia="en-GB"/>
        </w:rPr>
        <w:t> (preliminary draft). Paris: OECD.</w:t>
      </w:r>
    </w:p>
    <w:p w14:paraId="01F76AA4" w14:textId="77777777" w:rsidR="00202F51" w:rsidRPr="00202F51" w:rsidRDefault="00202F51" w:rsidP="00202F51">
      <w:pPr>
        <w:spacing w:after="0" w:line="240" w:lineRule="auto"/>
        <w:ind w:left="360" w:hanging="360"/>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Office of Public Services Reform (2002), </w:t>
      </w:r>
      <w:r w:rsidRPr="00202F51">
        <w:rPr>
          <w:rFonts w:ascii="LinLibertine" w:eastAsia="Times New Roman" w:hAnsi="LinLibertine" w:cs="Times New Roman"/>
          <w:i/>
          <w:iCs/>
          <w:color w:val="000000"/>
          <w:sz w:val="24"/>
          <w:szCs w:val="24"/>
          <w:lang w:eastAsia="en-GB"/>
        </w:rPr>
        <w:t>Better government services: executive agencies in the 21st century,</w:t>
      </w:r>
      <w:r w:rsidRPr="00202F51">
        <w:rPr>
          <w:rFonts w:ascii="LinLibertine" w:eastAsia="Times New Roman" w:hAnsi="LinLibertine" w:cs="Times New Roman"/>
          <w:color w:val="000000"/>
          <w:sz w:val="24"/>
          <w:szCs w:val="24"/>
          <w:lang w:eastAsia="en-GB"/>
        </w:rPr>
        <w:t> </w:t>
      </w:r>
      <w:hyperlink r:id="rId22" w:history="1">
        <w:r w:rsidRPr="00202F51">
          <w:rPr>
            <w:rFonts w:ascii="LinLibertine" w:eastAsia="Times New Roman" w:hAnsi="LinLibertine" w:cs="Times New Roman"/>
            <w:color w:val="0000FF"/>
            <w:sz w:val="24"/>
            <w:szCs w:val="24"/>
            <w:u w:val="single"/>
            <w:lang w:eastAsia="en-GB"/>
          </w:rPr>
          <w:t>www.civilservice.gov.uk/agencies</w:t>
        </w:r>
      </w:hyperlink>
      <w:r w:rsidRPr="00202F51">
        <w:rPr>
          <w:rFonts w:ascii="LinLibertine" w:eastAsia="Times New Roman" w:hAnsi="LinLibertine" w:cs="Times New Roman"/>
          <w:color w:val="000000"/>
          <w:sz w:val="24"/>
          <w:szCs w:val="24"/>
          <w:lang w:eastAsia="en-GB"/>
        </w:rPr>
        <w:t> (accessed on 12 June 2002).</w:t>
      </w:r>
    </w:p>
    <w:p w14:paraId="0BC2C191"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202F51">
        <w:rPr>
          <w:rFonts w:ascii="LinLibertine" w:eastAsia="Times New Roman" w:hAnsi="LinLibertine" w:cs="Times New Roman"/>
          <w:color w:val="000000"/>
          <w:sz w:val="24"/>
          <w:szCs w:val="24"/>
          <w:lang w:eastAsia="en-GB"/>
        </w:rPr>
        <w:t>Perri</w:t>
      </w:r>
      <w:proofErr w:type="spellEnd"/>
      <w:r w:rsidRPr="00202F51">
        <w:rPr>
          <w:rFonts w:ascii="LinLibertine" w:eastAsia="Times New Roman" w:hAnsi="LinLibertine" w:cs="Times New Roman"/>
          <w:color w:val="000000"/>
          <w:sz w:val="24"/>
          <w:szCs w:val="24"/>
          <w:lang w:eastAsia="en-GB"/>
        </w:rPr>
        <w:t xml:space="preserve"> 6 (2004), ‘Joined-up government in the Western world in comparative perspective: a preliminary literature review and exploration’, </w:t>
      </w:r>
      <w:r w:rsidRPr="00202F51">
        <w:rPr>
          <w:rFonts w:ascii="LinLibertine" w:eastAsia="Times New Roman" w:hAnsi="LinLibertine" w:cs="Times New Roman"/>
          <w:i/>
          <w:iCs/>
          <w:color w:val="000000"/>
          <w:sz w:val="24"/>
          <w:szCs w:val="24"/>
          <w:lang w:eastAsia="en-GB"/>
        </w:rPr>
        <w:t>Journal of Public Administration Research and Theory</w:t>
      </w:r>
      <w:r w:rsidRPr="00202F51">
        <w:rPr>
          <w:rFonts w:ascii="LinLibertine" w:eastAsia="Times New Roman" w:hAnsi="LinLibertine" w:cs="Times New Roman"/>
          <w:color w:val="000000"/>
          <w:sz w:val="24"/>
          <w:szCs w:val="24"/>
          <w:lang w:eastAsia="en-GB"/>
        </w:rPr>
        <w:t> (J-Part), 14 (1): 103–138.</w:t>
      </w:r>
    </w:p>
    <w:p w14:paraId="49887CB1"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proofErr w:type="spellStart"/>
      <w:r w:rsidRPr="00202F51">
        <w:rPr>
          <w:rFonts w:ascii="LinLibertine" w:eastAsia="Times New Roman" w:hAnsi="LinLibertine" w:cs="Times New Roman"/>
          <w:color w:val="000000"/>
          <w:sz w:val="24"/>
          <w:szCs w:val="24"/>
          <w:lang w:eastAsia="en-GB"/>
        </w:rPr>
        <w:t>Perri</w:t>
      </w:r>
      <w:proofErr w:type="spellEnd"/>
      <w:r w:rsidRPr="00202F51">
        <w:rPr>
          <w:rFonts w:ascii="LinLibertine" w:eastAsia="Times New Roman" w:hAnsi="LinLibertine" w:cs="Times New Roman"/>
          <w:color w:val="000000"/>
          <w:sz w:val="24"/>
          <w:szCs w:val="24"/>
          <w:lang w:eastAsia="en-GB"/>
        </w:rPr>
        <w:t xml:space="preserve"> 6, Diana </w:t>
      </w:r>
      <w:proofErr w:type="spellStart"/>
      <w:r w:rsidRPr="00202F51">
        <w:rPr>
          <w:rFonts w:ascii="LinLibertine" w:eastAsia="Times New Roman" w:hAnsi="LinLibertine" w:cs="Times New Roman"/>
          <w:color w:val="000000"/>
          <w:sz w:val="24"/>
          <w:szCs w:val="24"/>
          <w:lang w:eastAsia="en-GB"/>
        </w:rPr>
        <w:t>Leat</w:t>
      </w:r>
      <w:proofErr w:type="spellEnd"/>
      <w:r w:rsidRPr="00202F51">
        <w:rPr>
          <w:rFonts w:ascii="LinLibertine" w:eastAsia="Times New Roman" w:hAnsi="LinLibertine" w:cs="Times New Roman"/>
          <w:color w:val="000000"/>
          <w:sz w:val="24"/>
          <w:szCs w:val="24"/>
          <w:lang w:eastAsia="en-GB"/>
        </w:rPr>
        <w:t>, Kimberly Seltzer and Gerry Stoker (2002), </w:t>
      </w:r>
      <w:proofErr w:type="gramStart"/>
      <w:r w:rsidRPr="00202F51">
        <w:rPr>
          <w:rFonts w:ascii="LinLibertine" w:eastAsia="Times New Roman" w:hAnsi="LinLibertine" w:cs="Times New Roman"/>
          <w:i/>
          <w:iCs/>
          <w:color w:val="000000"/>
          <w:sz w:val="24"/>
          <w:szCs w:val="24"/>
          <w:lang w:eastAsia="en-GB"/>
        </w:rPr>
        <w:t>Towards</w:t>
      </w:r>
      <w:proofErr w:type="gramEnd"/>
      <w:r w:rsidRPr="00202F51">
        <w:rPr>
          <w:rFonts w:ascii="LinLibertine" w:eastAsia="Times New Roman" w:hAnsi="LinLibertine" w:cs="Times New Roman"/>
          <w:i/>
          <w:iCs/>
          <w:color w:val="000000"/>
          <w:sz w:val="24"/>
          <w:szCs w:val="24"/>
          <w:lang w:eastAsia="en-GB"/>
        </w:rPr>
        <w:t xml:space="preserve"> holistic governance: the new reform agenda</w:t>
      </w:r>
      <w:r w:rsidRPr="00202F51">
        <w:rPr>
          <w:rFonts w:ascii="LinLibertine" w:eastAsia="Times New Roman" w:hAnsi="LinLibertine" w:cs="Times New Roman"/>
          <w:color w:val="000000"/>
          <w:sz w:val="24"/>
          <w:szCs w:val="24"/>
          <w:lang w:eastAsia="en-GB"/>
        </w:rPr>
        <w:t>. Basingstoke: Palgrave.</w:t>
      </w:r>
    </w:p>
    <w:p w14:paraId="142478CC"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Christopher Pollitt (2003), </w:t>
      </w:r>
      <w:proofErr w:type="gramStart"/>
      <w:r w:rsidRPr="00202F51">
        <w:rPr>
          <w:rFonts w:ascii="LinLibertine" w:eastAsia="Times New Roman" w:hAnsi="LinLibertine" w:cs="Times New Roman"/>
          <w:i/>
          <w:iCs/>
          <w:color w:val="000000"/>
          <w:sz w:val="24"/>
          <w:szCs w:val="24"/>
          <w:lang w:eastAsia="en-GB"/>
        </w:rPr>
        <w:t>The</w:t>
      </w:r>
      <w:proofErr w:type="gramEnd"/>
      <w:r w:rsidRPr="00202F51">
        <w:rPr>
          <w:rFonts w:ascii="LinLibertine" w:eastAsia="Times New Roman" w:hAnsi="LinLibertine" w:cs="Times New Roman"/>
          <w:i/>
          <w:iCs/>
          <w:color w:val="000000"/>
          <w:sz w:val="24"/>
          <w:szCs w:val="24"/>
          <w:lang w:eastAsia="en-GB"/>
        </w:rPr>
        <w:t xml:space="preserve"> essential public manager</w:t>
      </w:r>
      <w:r w:rsidRPr="00202F51">
        <w:rPr>
          <w:rFonts w:ascii="LinLibertine" w:eastAsia="Times New Roman" w:hAnsi="LinLibertine" w:cs="Times New Roman"/>
          <w:color w:val="000000"/>
          <w:sz w:val="24"/>
          <w:szCs w:val="24"/>
          <w:lang w:eastAsia="en-GB"/>
        </w:rPr>
        <w:t>. Buckingham: Open University Press.</w:t>
      </w:r>
    </w:p>
    <w:p w14:paraId="563AE0E2"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Christopher Pollitt (2005a), ‘Decentralization: a central concept in contemporary public management’, in E. Ferlie L. Lynn C. Pollitt (</w:t>
      </w:r>
      <w:proofErr w:type="spellStart"/>
      <w:proofErr w:type="gramStart"/>
      <w:r w:rsidRPr="00202F51">
        <w:rPr>
          <w:rFonts w:ascii="LinLibertine" w:eastAsia="Times New Roman" w:hAnsi="LinLibertine" w:cs="Times New Roman"/>
          <w:color w:val="000000"/>
          <w:sz w:val="24"/>
          <w:szCs w:val="24"/>
          <w:lang w:eastAsia="en-GB"/>
        </w:rPr>
        <w:t>eds</w:t>
      </w:r>
      <w:proofErr w:type="spellEnd"/>
      <w:proofErr w:type="gram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The Oxford handbook of public management</w:t>
      </w:r>
      <w:r w:rsidRPr="00202F51">
        <w:rPr>
          <w:rFonts w:ascii="LinLibertine" w:eastAsia="Times New Roman" w:hAnsi="LinLibertine" w:cs="Times New Roman"/>
          <w:color w:val="000000"/>
          <w:sz w:val="24"/>
          <w:szCs w:val="24"/>
          <w:lang w:eastAsia="en-GB"/>
        </w:rPr>
        <w:t>. Oxford: Oxford University Press, pp. 371–397.</w:t>
      </w:r>
    </w:p>
    <w:p w14:paraId="2BD20F7A"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Christopher Pollitt (2005b), ‘Ministries and agencies: steering, meddling, neglect and dependency’, in M. Painter J. Pierre (</w:t>
      </w:r>
      <w:proofErr w:type="spellStart"/>
      <w:proofErr w:type="gramStart"/>
      <w:r w:rsidRPr="00202F51">
        <w:rPr>
          <w:rFonts w:ascii="LinLibertine" w:eastAsia="Times New Roman" w:hAnsi="LinLibertine" w:cs="Times New Roman"/>
          <w:color w:val="000000"/>
          <w:sz w:val="24"/>
          <w:szCs w:val="24"/>
          <w:lang w:eastAsia="en-GB"/>
        </w:rPr>
        <w:t>eds</w:t>
      </w:r>
      <w:proofErr w:type="spellEnd"/>
      <w:proofErr w:type="gram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Challenges to state policy capacity: global trends and comparative perspectives</w:t>
      </w:r>
      <w:r w:rsidRPr="00202F51">
        <w:rPr>
          <w:rFonts w:ascii="LinLibertine" w:eastAsia="Times New Roman" w:hAnsi="LinLibertine" w:cs="Times New Roman"/>
          <w:color w:val="000000"/>
          <w:sz w:val="24"/>
          <w:szCs w:val="24"/>
          <w:lang w:eastAsia="en-GB"/>
        </w:rPr>
        <w:t>. Basingstoke: Palgrave Macmillan, pp. 112–136.</w:t>
      </w:r>
    </w:p>
    <w:p w14:paraId="34A878D6"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Christopher Pollitt Colin Talbot (</w:t>
      </w:r>
      <w:proofErr w:type="spellStart"/>
      <w:proofErr w:type="gramStart"/>
      <w:r w:rsidRPr="00202F51">
        <w:rPr>
          <w:rFonts w:ascii="LinLibertine" w:eastAsia="Times New Roman" w:hAnsi="LinLibertine" w:cs="Times New Roman"/>
          <w:color w:val="000000"/>
          <w:sz w:val="24"/>
          <w:szCs w:val="24"/>
          <w:lang w:eastAsia="en-GB"/>
        </w:rPr>
        <w:t>eds</w:t>
      </w:r>
      <w:proofErr w:type="spellEnd"/>
      <w:proofErr w:type="gramEnd"/>
      <w:r w:rsidRPr="00202F51">
        <w:rPr>
          <w:rFonts w:ascii="LinLibertine" w:eastAsia="Times New Roman" w:hAnsi="LinLibertine" w:cs="Times New Roman"/>
          <w:color w:val="000000"/>
          <w:sz w:val="24"/>
          <w:szCs w:val="24"/>
          <w:lang w:eastAsia="en-GB"/>
        </w:rPr>
        <w:t>) (2004), </w:t>
      </w:r>
      <w:r w:rsidRPr="00202F51">
        <w:rPr>
          <w:rFonts w:ascii="LinLibertine" w:eastAsia="Times New Roman" w:hAnsi="LinLibertine" w:cs="Times New Roman"/>
          <w:i/>
          <w:iCs/>
          <w:color w:val="000000"/>
          <w:sz w:val="24"/>
          <w:szCs w:val="24"/>
          <w:lang w:eastAsia="en-GB"/>
        </w:rPr>
        <w:t>Unbundled government</w:t>
      </w:r>
      <w:r w:rsidRPr="00202F51">
        <w:rPr>
          <w:rFonts w:ascii="LinLibertine" w:eastAsia="Times New Roman" w:hAnsi="LinLibertine" w:cs="Times New Roman"/>
          <w:color w:val="000000"/>
          <w:sz w:val="24"/>
          <w:szCs w:val="24"/>
          <w:lang w:eastAsia="en-GB"/>
        </w:rPr>
        <w:t>. London: Taylor &amp; Francis.</w:t>
      </w:r>
    </w:p>
    <w:p w14:paraId="3E308874"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Christopher Pollitt and Peter </w:t>
      </w:r>
      <w:proofErr w:type="spellStart"/>
      <w:r w:rsidRPr="00202F51">
        <w:rPr>
          <w:rFonts w:ascii="LinLibertine" w:eastAsia="Times New Roman" w:hAnsi="LinLibertine" w:cs="Times New Roman"/>
          <w:color w:val="000000"/>
          <w:sz w:val="24"/>
          <w:szCs w:val="24"/>
          <w:lang w:eastAsia="en-GB"/>
        </w:rPr>
        <w:t>Hupe</w:t>
      </w:r>
      <w:proofErr w:type="spellEnd"/>
      <w:r w:rsidRPr="00202F51">
        <w:rPr>
          <w:rFonts w:ascii="LinLibertine" w:eastAsia="Times New Roman" w:hAnsi="LinLibertine" w:cs="Times New Roman"/>
          <w:color w:val="000000"/>
          <w:sz w:val="24"/>
          <w:szCs w:val="24"/>
          <w:lang w:eastAsia="en-GB"/>
        </w:rPr>
        <w:t xml:space="preserve"> (2011), ‘Talking about government: the role of magic concepts’, </w:t>
      </w:r>
      <w:r w:rsidRPr="00202F51">
        <w:rPr>
          <w:rFonts w:ascii="LinLibertine" w:eastAsia="Times New Roman" w:hAnsi="LinLibertine" w:cs="Times New Roman"/>
          <w:i/>
          <w:iCs/>
          <w:color w:val="000000"/>
          <w:sz w:val="24"/>
          <w:szCs w:val="24"/>
          <w:lang w:eastAsia="en-GB"/>
        </w:rPr>
        <w:t>Public Management Review</w:t>
      </w:r>
      <w:r w:rsidRPr="00202F51">
        <w:rPr>
          <w:rFonts w:ascii="LinLibertine" w:eastAsia="Times New Roman" w:hAnsi="LinLibertine" w:cs="Times New Roman"/>
          <w:color w:val="000000"/>
          <w:sz w:val="24"/>
          <w:szCs w:val="24"/>
          <w:lang w:eastAsia="en-GB"/>
        </w:rPr>
        <w:t>, 89 (1): 114–127.</w:t>
      </w:r>
    </w:p>
    <w:p w14:paraId="66EF9464"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Christopher Pollitt, Johnston </w:t>
      </w:r>
      <w:proofErr w:type="spellStart"/>
      <w:r w:rsidRPr="00202F51">
        <w:rPr>
          <w:rFonts w:ascii="LinLibertine" w:eastAsia="Times New Roman" w:hAnsi="LinLibertine" w:cs="Times New Roman"/>
          <w:color w:val="000000"/>
          <w:sz w:val="24"/>
          <w:szCs w:val="24"/>
          <w:lang w:eastAsia="en-GB"/>
        </w:rPr>
        <w:t>Birchall</w:t>
      </w:r>
      <w:proofErr w:type="spellEnd"/>
      <w:r w:rsidRPr="00202F51">
        <w:rPr>
          <w:rFonts w:ascii="LinLibertine" w:eastAsia="Times New Roman" w:hAnsi="LinLibertine" w:cs="Times New Roman"/>
          <w:color w:val="000000"/>
          <w:sz w:val="24"/>
          <w:szCs w:val="24"/>
          <w:lang w:eastAsia="en-GB"/>
        </w:rPr>
        <w:t xml:space="preserve"> and Keith Putman (1998), </w:t>
      </w:r>
      <w:r w:rsidRPr="00202F51">
        <w:rPr>
          <w:rFonts w:ascii="LinLibertine" w:eastAsia="Times New Roman" w:hAnsi="LinLibertine" w:cs="Times New Roman"/>
          <w:i/>
          <w:iCs/>
          <w:color w:val="000000"/>
          <w:sz w:val="24"/>
          <w:szCs w:val="24"/>
          <w:lang w:eastAsia="en-GB"/>
        </w:rPr>
        <w:t>Decentralizing public service management: the British experience</w:t>
      </w:r>
      <w:r w:rsidRPr="00202F51">
        <w:rPr>
          <w:rFonts w:ascii="LinLibertine" w:eastAsia="Times New Roman" w:hAnsi="LinLibertine" w:cs="Times New Roman"/>
          <w:color w:val="000000"/>
          <w:sz w:val="24"/>
          <w:szCs w:val="24"/>
          <w:lang w:eastAsia="en-GB"/>
        </w:rPr>
        <w:t>. Basingstoke: Macmillan.</w:t>
      </w:r>
    </w:p>
    <w:p w14:paraId="101CC0C2"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lastRenderedPageBreak/>
        <w:t xml:space="preserve">Christopher Pollitt, Colin Talbot, Janice Caulfield and Amanda </w:t>
      </w:r>
      <w:proofErr w:type="spellStart"/>
      <w:r w:rsidRPr="00202F51">
        <w:rPr>
          <w:rFonts w:ascii="LinLibertine" w:eastAsia="Times New Roman" w:hAnsi="LinLibertine" w:cs="Times New Roman"/>
          <w:color w:val="000000"/>
          <w:sz w:val="24"/>
          <w:szCs w:val="24"/>
          <w:lang w:eastAsia="en-GB"/>
        </w:rPr>
        <w:t>Smullen</w:t>
      </w:r>
      <w:proofErr w:type="spellEnd"/>
      <w:r w:rsidRPr="00202F51">
        <w:rPr>
          <w:rFonts w:ascii="LinLibertine" w:eastAsia="Times New Roman" w:hAnsi="LinLibertine" w:cs="Times New Roman"/>
          <w:color w:val="000000"/>
          <w:sz w:val="24"/>
          <w:szCs w:val="24"/>
          <w:lang w:eastAsia="en-GB"/>
        </w:rPr>
        <w:t xml:space="preserve"> (2004), </w:t>
      </w:r>
      <w:r w:rsidRPr="00202F51">
        <w:rPr>
          <w:rFonts w:ascii="LinLibertine" w:eastAsia="Times New Roman" w:hAnsi="LinLibertine" w:cs="Times New Roman"/>
          <w:i/>
          <w:iCs/>
          <w:color w:val="000000"/>
          <w:sz w:val="24"/>
          <w:szCs w:val="24"/>
          <w:lang w:eastAsia="en-GB"/>
        </w:rPr>
        <w:t>Agencies: how governments do things through semi-autonomous agencies</w:t>
      </w:r>
      <w:r w:rsidRPr="00202F51">
        <w:rPr>
          <w:rFonts w:ascii="LinLibertine" w:eastAsia="Times New Roman" w:hAnsi="LinLibertine" w:cs="Times New Roman"/>
          <w:color w:val="000000"/>
          <w:sz w:val="24"/>
          <w:szCs w:val="24"/>
          <w:lang w:eastAsia="en-GB"/>
        </w:rPr>
        <w:t>. Basingstoke: Palgrave Macmillan.</w:t>
      </w:r>
    </w:p>
    <w:p w14:paraId="3A1B92B1"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Colin Talbot (1996), ‘Ministers and agencies: responsibilities and performance’, in the </w:t>
      </w:r>
      <w:r w:rsidRPr="00202F51">
        <w:rPr>
          <w:rFonts w:ascii="LinLibertine" w:eastAsia="Times New Roman" w:hAnsi="LinLibertine" w:cs="Times New Roman"/>
          <w:i/>
          <w:iCs/>
          <w:color w:val="000000"/>
          <w:sz w:val="24"/>
          <w:szCs w:val="24"/>
          <w:lang w:eastAsia="en-GB"/>
        </w:rPr>
        <w:t>Public Service Committee, Second Report Ministerial Accountability and Responsibility</w:t>
      </w:r>
      <w:r w:rsidRPr="00202F51">
        <w:rPr>
          <w:rFonts w:ascii="LinLibertine" w:eastAsia="Times New Roman" w:hAnsi="LinLibertine" w:cs="Times New Roman"/>
          <w:color w:val="000000"/>
          <w:sz w:val="24"/>
          <w:szCs w:val="24"/>
          <w:lang w:eastAsia="en-GB"/>
        </w:rPr>
        <w:t>, Vol. II. Minutes of Evidence, HC313, Session 1995–96. London: HMSO, pp. 39–55.</w:t>
      </w:r>
    </w:p>
    <w:p w14:paraId="4ED75D54"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Colin Talbot (2004), ‘Executive agencies: have they improved management in government?</w:t>
      </w:r>
      <w:proofErr w:type="gramStart"/>
      <w:r w:rsidRPr="00202F51">
        <w:rPr>
          <w:rFonts w:ascii="LinLibertine" w:eastAsia="Times New Roman" w:hAnsi="LinLibertine" w:cs="Times New Roman"/>
          <w:color w:val="000000"/>
          <w:sz w:val="24"/>
          <w:szCs w:val="24"/>
          <w:lang w:eastAsia="en-GB"/>
        </w:rPr>
        <w:t>’,</w:t>
      </w:r>
      <w:proofErr w:type="gram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Public Money and Management</w:t>
      </w:r>
      <w:r w:rsidRPr="00202F51">
        <w:rPr>
          <w:rFonts w:ascii="LinLibertine" w:eastAsia="Times New Roman" w:hAnsi="LinLibertine" w:cs="Times New Roman"/>
          <w:color w:val="000000"/>
          <w:sz w:val="24"/>
          <w:szCs w:val="24"/>
          <w:lang w:eastAsia="en-GB"/>
        </w:rPr>
        <w:t>, 24 (1): 104–111.</w:t>
      </w:r>
    </w:p>
    <w:p w14:paraId="37242EDE"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Sandra Van </w:t>
      </w:r>
      <w:proofErr w:type="spellStart"/>
      <w:r w:rsidRPr="00202F51">
        <w:rPr>
          <w:rFonts w:ascii="LinLibertine" w:eastAsia="Times New Roman" w:hAnsi="LinLibertine" w:cs="Times New Roman"/>
          <w:color w:val="000000"/>
          <w:sz w:val="24"/>
          <w:szCs w:val="24"/>
          <w:lang w:eastAsia="en-GB"/>
        </w:rPr>
        <w:t>Thiel</w:t>
      </w:r>
      <w:proofErr w:type="spellEnd"/>
      <w:r w:rsidRPr="00202F51">
        <w:rPr>
          <w:rFonts w:ascii="LinLibertine" w:eastAsia="Times New Roman" w:hAnsi="LinLibertine" w:cs="Times New Roman"/>
          <w:color w:val="000000"/>
          <w:sz w:val="24"/>
          <w:szCs w:val="24"/>
          <w:lang w:eastAsia="en-GB"/>
        </w:rPr>
        <w:t xml:space="preserve"> (2001), </w:t>
      </w:r>
      <w:r w:rsidRPr="00202F51">
        <w:rPr>
          <w:rFonts w:ascii="LinLibertine" w:eastAsia="Times New Roman" w:hAnsi="LinLibertine" w:cs="Times New Roman"/>
          <w:i/>
          <w:iCs/>
          <w:color w:val="000000"/>
          <w:sz w:val="24"/>
          <w:szCs w:val="24"/>
          <w:lang w:eastAsia="en-GB"/>
        </w:rPr>
        <w:t>QUANGOs: trends, causes and consequences</w:t>
      </w:r>
      <w:r w:rsidRPr="00202F51">
        <w:rPr>
          <w:rFonts w:ascii="LinLibertine" w:eastAsia="Times New Roman" w:hAnsi="LinLibertine" w:cs="Times New Roman"/>
          <w:color w:val="000000"/>
          <w:sz w:val="24"/>
          <w:szCs w:val="24"/>
          <w:lang w:eastAsia="en-GB"/>
        </w:rPr>
        <w:t xml:space="preserve">. Aldershot: </w:t>
      </w:r>
      <w:proofErr w:type="spellStart"/>
      <w:r w:rsidRPr="00202F51">
        <w:rPr>
          <w:rFonts w:ascii="LinLibertine" w:eastAsia="Times New Roman" w:hAnsi="LinLibertine" w:cs="Times New Roman"/>
          <w:color w:val="000000"/>
          <w:sz w:val="24"/>
          <w:szCs w:val="24"/>
          <w:lang w:eastAsia="en-GB"/>
        </w:rPr>
        <w:t>Ashgate</w:t>
      </w:r>
      <w:proofErr w:type="spellEnd"/>
      <w:r w:rsidRPr="00202F51">
        <w:rPr>
          <w:rFonts w:ascii="LinLibertine" w:eastAsia="Times New Roman" w:hAnsi="LinLibertine" w:cs="Times New Roman"/>
          <w:color w:val="000000"/>
          <w:sz w:val="24"/>
          <w:szCs w:val="24"/>
          <w:lang w:eastAsia="en-GB"/>
        </w:rPr>
        <w:t>.</w:t>
      </w:r>
    </w:p>
    <w:p w14:paraId="0226BBD7"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Koen </w:t>
      </w:r>
      <w:proofErr w:type="spellStart"/>
      <w:r w:rsidRPr="00202F51">
        <w:rPr>
          <w:rFonts w:ascii="LinLibertine" w:eastAsia="Times New Roman" w:hAnsi="LinLibertine" w:cs="Times New Roman"/>
          <w:color w:val="000000"/>
          <w:sz w:val="24"/>
          <w:szCs w:val="24"/>
          <w:lang w:eastAsia="en-GB"/>
        </w:rPr>
        <w:t>Verhoest</w:t>
      </w:r>
      <w:proofErr w:type="spellEnd"/>
      <w:r w:rsidRPr="00202F51">
        <w:rPr>
          <w:rFonts w:ascii="LinLibertine" w:eastAsia="Times New Roman" w:hAnsi="LinLibertine" w:cs="Times New Roman"/>
          <w:color w:val="000000"/>
          <w:sz w:val="24"/>
          <w:szCs w:val="24"/>
          <w:lang w:eastAsia="en-GB"/>
        </w:rPr>
        <w:t xml:space="preserve"> Sandra van </w:t>
      </w:r>
      <w:proofErr w:type="spellStart"/>
      <w:r w:rsidRPr="00202F51">
        <w:rPr>
          <w:rFonts w:ascii="LinLibertine" w:eastAsia="Times New Roman" w:hAnsi="LinLibertine" w:cs="Times New Roman"/>
          <w:color w:val="000000"/>
          <w:sz w:val="24"/>
          <w:szCs w:val="24"/>
          <w:lang w:eastAsia="en-GB"/>
        </w:rPr>
        <w:t>Thiel</w:t>
      </w:r>
      <w:proofErr w:type="spellEnd"/>
      <w:r w:rsidRPr="00202F51">
        <w:rPr>
          <w:rFonts w:ascii="LinLibertine" w:eastAsia="Times New Roman" w:hAnsi="LinLibertine" w:cs="Times New Roman"/>
          <w:color w:val="000000"/>
          <w:sz w:val="24"/>
          <w:szCs w:val="24"/>
          <w:lang w:eastAsia="en-GB"/>
        </w:rPr>
        <w:t xml:space="preserve"> Geert </w:t>
      </w:r>
      <w:proofErr w:type="spellStart"/>
      <w:r w:rsidRPr="00202F51">
        <w:rPr>
          <w:rFonts w:ascii="LinLibertine" w:eastAsia="Times New Roman" w:hAnsi="LinLibertine" w:cs="Times New Roman"/>
          <w:color w:val="000000"/>
          <w:sz w:val="24"/>
          <w:szCs w:val="24"/>
          <w:lang w:eastAsia="en-GB"/>
        </w:rPr>
        <w:t>Bouckaert</w:t>
      </w:r>
      <w:proofErr w:type="spellEnd"/>
      <w:r w:rsidRPr="00202F51">
        <w:rPr>
          <w:rFonts w:ascii="LinLibertine" w:eastAsia="Times New Roman" w:hAnsi="LinLibertine" w:cs="Times New Roman"/>
          <w:color w:val="000000"/>
          <w:sz w:val="24"/>
          <w:szCs w:val="24"/>
          <w:lang w:eastAsia="en-GB"/>
        </w:rPr>
        <w:t xml:space="preserve"> </w:t>
      </w:r>
      <w:proofErr w:type="gramStart"/>
      <w:r w:rsidRPr="00202F51">
        <w:rPr>
          <w:rFonts w:ascii="LinLibertine" w:eastAsia="Times New Roman" w:hAnsi="LinLibertine" w:cs="Times New Roman"/>
          <w:color w:val="000000"/>
          <w:sz w:val="24"/>
          <w:szCs w:val="24"/>
          <w:lang w:eastAsia="en-GB"/>
        </w:rPr>
        <w:t>Per</w:t>
      </w:r>
      <w:proofErr w:type="gramEnd"/>
      <w:r w:rsidRPr="00202F51">
        <w:rPr>
          <w:rFonts w:ascii="LinLibertine" w:eastAsia="Times New Roman" w:hAnsi="LinLibertine" w:cs="Times New Roman"/>
          <w:color w:val="000000"/>
          <w:sz w:val="24"/>
          <w:szCs w:val="24"/>
          <w:lang w:eastAsia="en-GB"/>
        </w:rPr>
        <w:t xml:space="preserve"> </w:t>
      </w:r>
      <w:proofErr w:type="spellStart"/>
      <w:r w:rsidRPr="00202F51">
        <w:rPr>
          <w:rFonts w:ascii="LinLibertine" w:eastAsia="Times New Roman" w:hAnsi="LinLibertine" w:cs="Times New Roman"/>
          <w:color w:val="000000"/>
          <w:sz w:val="24"/>
          <w:szCs w:val="24"/>
          <w:lang w:eastAsia="en-GB"/>
        </w:rPr>
        <w:t>Lægreid</w:t>
      </w:r>
      <w:proofErr w:type="spellEnd"/>
      <w:r w:rsidRPr="00202F51">
        <w:rPr>
          <w:rFonts w:ascii="LinLibertine" w:eastAsia="Times New Roman" w:hAnsi="LinLibertine" w:cs="Times New Roman"/>
          <w:color w:val="000000"/>
          <w:sz w:val="24"/>
          <w:szCs w:val="24"/>
          <w:lang w:eastAsia="en-GB"/>
        </w:rPr>
        <w:t xml:space="preserve"> (</w:t>
      </w:r>
      <w:proofErr w:type="spellStart"/>
      <w:r w:rsidRPr="00202F51">
        <w:rPr>
          <w:rFonts w:ascii="LinLibertine" w:eastAsia="Times New Roman" w:hAnsi="LinLibertine" w:cs="Times New Roman"/>
          <w:color w:val="000000"/>
          <w:sz w:val="24"/>
          <w:szCs w:val="24"/>
          <w:lang w:eastAsia="en-GB"/>
        </w:rPr>
        <w:t>eds</w:t>
      </w:r>
      <w:proofErr w:type="spellEnd"/>
      <w:r w:rsidRPr="00202F51">
        <w:rPr>
          <w:rFonts w:ascii="LinLibertine" w:eastAsia="Times New Roman" w:hAnsi="LinLibertine" w:cs="Times New Roman"/>
          <w:color w:val="000000"/>
          <w:sz w:val="24"/>
          <w:szCs w:val="24"/>
          <w:lang w:eastAsia="en-GB"/>
        </w:rPr>
        <w:t>) (2012), </w:t>
      </w:r>
      <w:r w:rsidRPr="00202F51">
        <w:rPr>
          <w:rFonts w:ascii="LinLibertine" w:eastAsia="Times New Roman" w:hAnsi="LinLibertine" w:cs="Times New Roman"/>
          <w:i/>
          <w:iCs/>
          <w:color w:val="000000"/>
          <w:sz w:val="24"/>
          <w:szCs w:val="24"/>
          <w:lang w:eastAsia="en-GB"/>
        </w:rPr>
        <w:t>Government agencies: practices and lessons from 30 countries</w:t>
      </w:r>
      <w:r w:rsidRPr="00202F51">
        <w:rPr>
          <w:rFonts w:ascii="LinLibertine" w:eastAsia="Times New Roman" w:hAnsi="LinLibertine" w:cs="Times New Roman"/>
          <w:color w:val="000000"/>
          <w:sz w:val="24"/>
          <w:szCs w:val="24"/>
          <w:lang w:eastAsia="en-GB"/>
        </w:rPr>
        <w:t>. Basingstoke: Palgrave Macmillan.</w:t>
      </w:r>
    </w:p>
    <w:p w14:paraId="2300DBA2"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 xml:space="preserve">Koen </w:t>
      </w:r>
      <w:proofErr w:type="spellStart"/>
      <w:r w:rsidRPr="00202F51">
        <w:rPr>
          <w:rFonts w:ascii="LinLibertine" w:eastAsia="Times New Roman" w:hAnsi="LinLibertine" w:cs="Times New Roman"/>
          <w:color w:val="000000"/>
          <w:sz w:val="24"/>
          <w:szCs w:val="24"/>
          <w:lang w:eastAsia="en-GB"/>
        </w:rPr>
        <w:t>Verhoest</w:t>
      </w:r>
      <w:proofErr w:type="spellEnd"/>
      <w:r w:rsidRPr="00202F51">
        <w:rPr>
          <w:rFonts w:ascii="LinLibertine" w:eastAsia="Times New Roman" w:hAnsi="LinLibertine" w:cs="Times New Roman"/>
          <w:color w:val="000000"/>
          <w:sz w:val="24"/>
          <w:szCs w:val="24"/>
          <w:lang w:eastAsia="en-GB"/>
        </w:rPr>
        <w:t xml:space="preserve">, Paul G. </w:t>
      </w:r>
      <w:proofErr w:type="spellStart"/>
      <w:r w:rsidRPr="00202F51">
        <w:rPr>
          <w:rFonts w:ascii="LinLibertine" w:eastAsia="Times New Roman" w:hAnsi="LinLibertine" w:cs="Times New Roman"/>
          <w:color w:val="000000"/>
          <w:sz w:val="24"/>
          <w:szCs w:val="24"/>
          <w:lang w:eastAsia="en-GB"/>
        </w:rPr>
        <w:t>Roness</w:t>
      </w:r>
      <w:proofErr w:type="spellEnd"/>
      <w:r w:rsidRPr="00202F51">
        <w:rPr>
          <w:rFonts w:ascii="LinLibertine" w:eastAsia="Times New Roman" w:hAnsi="LinLibertine" w:cs="Times New Roman"/>
          <w:color w:val="000000"/>
          <w:sz w:val="24"/>
          <w:szCs w:val="24"/>
          <w:lang w:eastAsia="en-GB"/>
        </w:rPr>
        <w:t xml:space="preserve">, Bram </w:t>
      </w:r>
      <w:proofErr w:type="spellStart"/>
      <w:r w:rsidRPr="00202F51">
        <w:rPr>
          <w:rFonts w:ascii="LinLibertine" w:eastAsia="Times New Roman" w:hAnsi="LinLibertine" w:cs="Times New Roman"/>
          <w:color w:val="000000"/>
          <w:sz w:val="24"/>
          <w:szCs w:val="24"/>
          <w:lang w:eastAsia="en-GB"/>
        </w:rPr>
        <w:t>Verschueure</w:t>
      </w:r>
      <w:proofErr w:type="spellEnd"/>
      <w:r w:rsidRPr="00202F51">
        <w:rPr>
          <w:rFonts w:ascii="LinLibertine" w:eastAsia="Times New Roman" w:hAnsi="LinLibertine" w:cs="Times New Roman"/>
          <w:color w:val="000000"/>
          <w:sz w:val="24"/>
          <w:szCs w:val="24"/>
          <w:lang w:eastAsia="en-GB"/>
        </w:rPr>
        <w:t xml:space="preserve">, Kristin </w:t>
      </w:r>
      <w:proofErr w:type="spellStart"/>
      <w:r w:rsidRPr="00202F51">
        <w:rPr>
          <w:rFonts w:ascii="LinLibertine" w:eastAsia="Times New Roman" w:hAnsi="LinLibertine" w:cs="Times New Roman"/>
          <w:color w:val="000000"/>
          <w:sz w:val="24"/>
          <w:szCs w:val="24"/>
          <w:lang w:eastAsia="en-GB"/>
        </w:rPr>
        <w:t>Rubecksen</w:t>
      </w:r>
      <w:proofErr w:type="spellEnd"/>
      <w:r w:rsidRPr="00202F51">
        <w:rPr>
          <w:rFonts w:ascii="LinLibertine" w:eastAsia="Times New Roman" w:hAnsi="LinLibertine" w:cs="Times New Roman"/>
          <w:color w:val="000000"/>
          <w:sz w:val="24"/>
          <w:szCs w:val="24"/>
          <w:lang w:eastAsia="en-GB"/>
        </w:rPr>
        <w:t xml:space="preserve"> and </w:t>
      </w:r>
      <w:proofErr w:type="spellStart"/>
      <w:r w:rsidRPr="00202F51">
        <w:rPr>
          <w:rFonts w:ascii="LinLibertine" w:eastAsia="Times New Roman" w:hAnsi="LinLibertine" w:cs="Times New Roman"/>
          <w:color w:val="000000"/>
          <w:sz w:val="24"/>
          <w:szCs w:val="24"/>
          <w:lang w:eastAsia="en-GB"/>
        </w:rPr>
        <w:t>Muiris</w:t>
      </w:r>
      <w:proofErr w:type="spellEnd"/>
      <w:r w:rsidRPr="00202F51">
        <w:rPr>
          <w:rFonts w:ascii="LinLibertine" w:eastAsia="Times New Roman" w:hAnsi="LinLibertine" w:cs="Times New Roman"/>
          <w:color w:val="000000"/>
          <w:sz w:val="24"/>
          <w:szCs w:val="24"/>
          <w:lang w:eastAsia="en-GB"/>
        </w:rPr>
        <w:t xml:space="preserve"> </w:t>
      </w:r>
      <w:proofErr w:type="spellStart"/>
      <w:r w:rsidRPr="00202F51">
        <w:rPr>
          <w:rFonts w:ascii="LinLibertine" w:eastAsia="Times New Roman" w:hAnsi="LinLibertine" w:cs="Times New Roman"/>
          <w:color w:val="000000"/>
          <w:sz w:val="24"/>
          <w:szCs w:val="24"/>
          <w:lang w:eastAsia="en-GB"/>
        </w:rPr>
        <w:t>MacCarthaigh</w:t>
      </w:r>
      <w:proofErr w:type="spellEnd"/>
      <w:r w:rsidRPr="00202F51">
        <w:rPr>
          <w:rFonts w:ascii="LinLibertine" w:eastAsia="Times New Roman" w:hAnsi="LinLibertine" w:cs="Times New Roman"/>
          <w:color w:val="000000"/>
          <w:sz w:val="24"/>
          <w:szCs w:val="24"/>
          <w:lang w:eastAsia="en-GB"/>
        </w:rPr>
        <w:t xml:space="preserve"> (2010), </w:t>
      </w:r>
      <w:r w:rsidRPr="00202F51">
        <w:rPr>
          <w:rFonts w:ascii="LinLibertine" w:eastAsia="Times New Roman" w:hAnsi="LinLibertine" w:cs="Times New Roman"/>
          <w:i/>
          <w:iCs/>
          <w:color w:val="000000"/>
          <w:sz w:val="24"/>
          <w:szCs w:val="24"/>
          <w:lang w:eastAsia="en-GB"/>
        </w:rPr>
        <w:t>Autonomy and control of state agencies: comparing states and agencies</w:t>
      </w:r>
      <w:r w:rsidRPr="00202F51">
        <w:rPr>
          <w:rFonts w:ascii="LinLibertine" w:eastAsia="Times New Roman" w:hAnsi="LinLibertine" w:cs="Times New Roman"/>
          <w:color w:val="000000"/>
          <w:sz w:val="24"/>
          <w:szCs w:val="24"/>
          <w:lang w:eastAsia="en-GB"/>
        </w:rPr>
        <w:t>. Basingstoke: Palgrave Macmillan.</w:t>
      </w:r>
    </w:p>
    <w:p w14:paraId="72F695FD" w14:textId="77777777" w:rsidR="00202F51" w:rsidRPr="00202F51" w:rsidRDefault="00202F51" w:rsidP="00202F51">
      <w:pPr>
        <w:spacing w:after="0" w:line="240" w:lineRule="auto"/>
        <w:ind w:left="360" w:hanging="360"/>
        <w:jc w:val="both"/>
        <w:rPr>
          <w:rFonts w:ascii="LinLibertine" w:eastAsia="Times New Roman" w:hAnsi="LinLibertine" w:cs="Times New Roman"/>
          <w:color w:val="000000"/>
          <w:sz w:val="24"/>
          <w:szCs w:val="24"/>
          <w:lang w:eastAsia="en-GB"/>
        </w:rPr>
      </w:pPr>
      <w:r w:rsidRPr="00202F51">
        <w:rPr>
          <w:rFonts w:ascii="LinLibertine" w:eastAsia="Times New Roman" w:hAnsi="LinLibertine" w:cs="Times New Roman"/>
          <w:color w:val="000000"/>
          <w:sz w:val="24"/>
          <w:szCs w:val="24"/>
          <w:lang w:eastAsia="en-GB"/>
        </w:rPr>
        <w:t>Kiyoshi Yamamoto (2004), ‘</w:t>
      </w:r>
      <w:proofErr w:type="spellStart"/>
      <w:r w:rsidRPr="00202F51">
        <w:rPr>
          <w:rFonts w:ascii="LinLibertine" w:eastAsia="Times New Roman" w:hAnsi="LinLibertine" w:cs="Times New Roman"/>
          <w:color w:val="000000"/>
          <w:sz w:val="24"/>
          <w:szCs w:val="24"/>
          <w:lang w:eastAsia="en-GB"/>
        </w:rPr>
        <w:t>Agencification</w:t>
      </w:r>
      <w:proofErr w:type="spellEnd"/>
      <w:r w:rsidRPr="00202F51">
        <w:rPr>
          <w:rFonts w:ascii="LinLibertine" w:eastAsia="Times New Roman" w:hAnsi="LinLibertine" w:cs="Times New Roman"/>
          <w:color w:val="000000"/>
          <w:sz w:val="24"/>
          <w:szCs w:val="24"/>
          <w:lang w:eastAsia="en-GB"/>
        </w:rPr>
        <w:t xml:space="preserve"> in Japan: renaming, or revolution?</w:t>
      </w:r>
      <w:proofErr w:type="gramStart"/>
      <w:r w:rsidRPr="00202F51">
        <w:rPr>
          <w:rFonts w:ascii="LinLibertine" w:eastAsia="Times New Roman" w:hAnsi="LinLibertine" w:cs="Times New Roman"/>
          <w:color w:val="000000"/>
          <w:sz w:val="24"/>
          <w:szCs w:val="24"/>
          <w:lang w:eastAsia="en-GB"/>
        </w:rPr>
        <w:t>’,</w:t>
      </w:r>
      <w:proofErr w:type="gramEnd"/>
      <w:r w:rsidRPr="00202F51">
        <w:rPr>
          <w:rFonts w:ascii="LinLibertine" w:eastAsia="Times New Roman" w:hAnsi="LinLibertine" w:cs="Times New Roman"/>
          <w:color w:val="000000"/>
          <w:sz w:val="24"/>
          <w:szCs w:val="24"/>
          <w:lang w:eastAsia="en-GB"/>
        </w:rPr>
        <w:t xml:space="preserve"> in C. Pollitt C. Talbot (</w:t>
      </w:r>
      <w:proofErr w:type="spellStart"/>
      <w:r w:rsidRPr="00202F51">
        <w:rPr>
          <w:rFonts w:ascii="LinLibertine" w:eastAsia="Times New Roman" w:hAnsi="LinLibertine" w:cs="Times New Roman"/>
          <w:color w:val="000000"/>
          <w:sz w:val="24"/>
          <w:szCs w:val="24"/>
          <w:lang w:eastAsia="en-GB"/>
        </w:rPr>
        <w:t>eds</w:t>
      </w:r>
      <w:proofErr w:type="spellEnd"/>
      <w:r w:rsidRPr="00202F51">
        <w:rPr>
          <w:rFonts w:ascii="LinLibertine" w:eastAsia="Times New Roman" w:hAnsi="LinLibertine" w:cs="Times New Roman"/>
          <w:color w:val="000000"/>
          <w:sz w:val="24"/>
          <w:szCs w:val="24"/>
          <w:lang w:eastAsia="en-GB"/>
        </w:rPr>
        <w:t>), </w:t>
      </w:r>
      <w:r w:rsidRPr="00202F51">
        <w:rPr>
          <w:rFonts w:ascii="LinLibertine" w:eastAsia="Times New Roman" w:hAnsi="LinLibertine" w:cs="Times New Roman"/>
          <w:i/>
          <w:iCs/>
          <w:color w:val="000000"/>
          <w:sz w:val="24"/>
          <w:szCs w:val="24"/>
          <w:lang w:eastAsia="en-GB"/>
        </w:rPr>
        <w:t>Unbundled government</w:t>
      </w:r>
      <w:r w:rsidRPr="00202F51">
        <w:rPr>
          <w:rFonts w:ascii="LinLibertine" w:eastAsia="Times New Roman" w:hAnsi="LinLibertine" w:cs="Times New Roman"/>
          <w:color w:val="000000"/>
          <w:sz w:val="24"/>
          <w:szCs w:val="24"/>
          <w:lang w:eastAsia="en-GB"/>
        </w:rPr>
        <w:t>. London: Taylor &amp; Francis, pp. 215–226.</w:t>
      </w:r>
    </w:p>
    <w:p w14:paraId="7BCA90FE" w14:textId="77777777" w:rsidR="0001453D" w:rsidRDefault="0001453D"/>
    <w:sectPr w:rsidR="0001453D" w:rsidSect="00AE5EDE">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pgNumType w:start="25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B524FC" w14:textId="77777777" w:rsidR="00AE5EDE" w:rsidRDefault="00AE5EDE" w:rsidP="00AE5EDE">
      <w:pPr>
        <w:spacing w:after="0" w:line="240" w:lineRule="auto"/>
      </w:pPr>
      <w:r>
        <w:separator/>
      </w:r>
    </w:p>
  </w:endnote>
  <w:endnote w:type="continuationSeparator" w:id="0">
    <w:p w14:paraId="5CF6B7FD" w14:textId="77777777" w:rsidR="00AE5EDE" w:rsidRDefault="00AE5EDE" w:rsidP="00AE5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inLibertine">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BD79F" w14:textId="77777777" w:rsidR="00AE5EDE" w:rsidRDefault="00AE5E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91558"/>
      <w:docPartObj>
        <w:docPartGallery w:val="Page Numbers (Bottom of Page)"/>
        <w:docPartUnique/>
      </w:docPartObj>
    </w:sdtPr>
    <w:sdtEndPr>
      <w:rPr>
        <w:noProof/>
      </w:rPr>
    </w:sdtEndPr>
    <w:sdtContent>
      <w:p w14:paraId="0E075A02" w14:textId="7219BCAD" w:rsidR="00AE5EDE" w:rsidRDefault="00AE5EDE">
        <w:pPr>
          <w:pStyle w:val="Footer"/>
          <w:jc w:val="right"/>
        </w:pPr>
        <w:r>
          <w:fldChar w:fldCharType="begin"/>
        </w:r>
        <w:r>
          <w:instrText xml:space="preserve"> PAGE   \* MERGEFORMAT </w:instrText>
        </w:r>
        <w:r>
          <w:fldChar w:fldCharType="separate"/>
        </w:r>
        <w:r w:rsidR="00F6720F">
          <w:rPr>
            <w:noProof/>
          </w:rPr>
          <w:t>250</w:t>
        </w:r>
        <w:r>
          <w:rPr>
            <w:noProof/>
          </w:rPr>
          <w:fldChar w:fldCharType="end"/>
        </w:r>
      </w:p>
    </w:sdtContent>
  </w:sdt>
  <w:p w14:paraId="27D576DC" w14:textId="77777777" w:rsidR="00AE5EDE" w:rsidRDefault="00AE5E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86383" w14:textId="77777777" w:rsidR="00AE5EDE" w:rsidRDefault="00AE5E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85E10C" w14:textId="77777777" w:rsidR="00AE5EDE" w:rsidRDefault="00AE5EDE" w:rsidP="00AE5EDE">
      <w:pPr>
        <w:spacing w:after="0" w:line="240" w:lineRule="auto"/>
      </w:pPr>
      <w:r>
        <w:separator/>
      </w:r>
    </w:p>
  </w:footnote>
  <w:footnote w:type="continuationSeparator" w:id="0">
    <w:p w14:paraId="28D04963" w14:textId="77777777" w:rsidR="00AE5EDE" w:rsidRDefault="00AE5EDE" w:rsidP="00AE5E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9EB7EB" w14:textId="77777777" w:rsidR="00AE5EDE" w:rsidRDefault="00AE5E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85028" w14:textId="034726BC" w:rsidR="00AE5EDE" w:rsidRDefault="00F6720F">
    <w:pPr>
      <w:pStyle w:val="Header"/>
    </w:pPr>
    <w:r>
      <w:t xml:space="preserve">… </w:t>
    </w:r>
    <w:proofErr w:type="gramStart"/>
    <w:r w:rsidRPr="00F6720F">
      <w:t>in</w:t>
    </w:r>
    <w:proofErr w:type="gramEnd"/>
    <w:r w:rsidRPr="00F6720F">
      <w:t xml:space="preserve"> </w:t>
    </w:r>
    <w:proofErr w:type="spellStart"/>
    <w:r w:rsidRPr="00F6720F">
      <w:t>Bovaird</w:t>
    </w:r>
    <w:proofErr w:type="spellEnd"/>
    <w:r w:rsidRPr="00F6720F">
      <w:t xml:space="preserve">, T. and </w:t>
    </w:r>
    <w:proofErr w:type="spellStart"/>
    <w:r w:rsidRPr="00F6720F">
      <w:t>Loeffler</w:t>
    </w:r>
    <w:proofErr w:type="spellEnd"/>
    <w:r w:rsidRPr="00F6720F">
      <w:t>, E. (</w:t>
    </w:r>
    <w:proofErr w:type="spellStart"/>
    <w:r w:rsidRPr="00F6720F">
      <w:t>eds</w:t>
    </w:r>
    <w:proofErr w:type="spellEnd"/>
    <w:r w:rsidRPr="00F6720F">
      <w:t>) (2016) Public Management and Governance 3rd edition. Abingdon: Routledge</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B5A0A" w14:textId="77777777" w:rsidR="00AE5EDE" w:rsidRDefault="00AE5E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278B9"/>
    <w:multiLevelType w:val="multilevel"/>
    <w:tmpl w:val="6A38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33532"/>
    <w:multiLevelType w:val="multilevel"/>
    <w:tmpl w:val="F8C44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565872"/>
    <w:multiLevelType w:val="multilevel"/>
    <w:tmpl w:val="AB901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E178CF"/>
    <w:multiLevelType w:val="multilevel"/>
    <w:tmpl w:val="D95C5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317649"/>
    <w:multiLevelType w:val="multilevel"/>
    <w:tmpl w:val="6166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024BAF"/>
    <w:multiLevelType w:val="multilevel"/>
    <w:tmpl w:val="A0C64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176F80"/>
    <w:multiLevelType w:val="multilevel"/>
    <w:tmpl w:val="BD7A6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D026FB"/>
    <w:multiLevelType w:val="multilevel"/>
    <w:tmpl w:val="33628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393528"/>
    <w:multiLevelType w:val="multilevel"/>
    <w:tmpl w:val="137E1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F3724C"/>
    <w:multiLevelType w:val="multilevel"/>
    <w:tmpl w:val="54D60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3"/>
  </w:num>
  <w:num w:numId="4">
    <w:abstractNumId w:val="8"/>
  </w:num>
  <w:num w:numId="5">
    <w:abstractNumId w:val="1"/>
  </w:num>
  <w:num w:numId="6">
    <w:abstractNumId w:val="9"/>
  </w:num>
  <w:num w:numId="7">
    <w:abstractNumId w:val="4"/>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C67"/>
    <w:rsid w:val="0001453D"/>
    <w:rsid w:val="00202F51"/>
    <w:rsid w:val="00293C67"/>
    <w:rsid w:val="006E1E9A"/>
    <w:rsid w:val="0097226F"/>
    <w:rsid w:val="00AE5EDE"/>
    <w:rsid w:val="00F67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080CFC-E8C9-47B4-A687-DC8581AB2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5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EDE"/>
  </w:style>
  <w:style w:type="paragraph" w:styleId="Footer">
    <w:name w:val="footer"/>
    <w:basedOn w:val="Normal"/>
    <w:link w:val="FooterChar"/>
    <w:uiPriority w:val="99"/>
    <w:unhideWhenUsed/>
    <w:rsid w:val="00AE5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555409">
      <w:bodyDiv w:val="1"/>
      <w:marLeft w:val="0"/>
      <w:marRight w:val="0"/>
      <w:marTop w:val="0"/>
      <w:marBottom w:val="0"/>
      <w:divBdr>
        <w:top w:val="none" w:sz="0" w:space="0" w:color="auto"/>
        <w:left w:val="none" w:sz="0" w:space="0" w:color="auto"/>
        <w:bottom w:val="none" w:sz="0" w:space="0" w:color="auto"/>
        <w:right w:val="none" w:sz="0" w:space="0" w:color="auto"/>
      </w:divBdr>
      <w:divsChild>
        <w:div w:id="748238455">
          <w:marLeft w:val="0"/>
          <w:marRight w:val="0"/>
          <w:marTop w:val="0"/>
          <w:marBottom w:val="0"/>
          <w:divBdr>
            <w:top w:val="none" w:sz="0" w:space="0" w:color="auto"/>
            <w:left w:val="none" w:sz="0" w:space="0" w:color="auto"/>
            <w:bottom w:val="none" w:sz="0" w:space="0" w:color="auto"/>
            <w:right w:val="none" w:sz="0" w:space="0" w:color="auto"/>
          </w:divBdr>
          <w:divsChild>
            <w:div w:id="1186214898">
              <w:marLeft w:val="0"/>
              <w:marRight w:val="0"/>
              <w:marTop w:val="240"/>
              <w:marBottom w:val="240"/>
              <w:divBdr>
                <w:top w:val="none" w:sz="0" w:space="0" w:color="auto"/>
                <w:left w:val="none" w:sz="0" w:space="0" w:color="auto"/>
                <w:bottom w:val="none" w:sz="0" w:space="0" w:color="auto"/>
                <w:right w:val="none" w:sz="0" w:space="0" w:color="auto"/>
              </w:divBdr>
            </w:div>
            <w:div w:id="1623076651">
              <w:marLeft w:val="0"/>
              <w:marRight w:val="0"/>
              <w:marTop w:val="0"/>
              <w:marBottom w:val="0"/>
              <w:divBdr>
                <w:top w:val="none" w:sz="0" w:space="0" w:color="auto"/>
                <w:left w:val="none" w:sz="0" w:space="0" w:color="auto"/>
                <w:bottom w:val="none" w:sz="0" w:space="0" w:color="auto"/>
                <w:right w:val="none" w:sz="0" w:space="0" w:color="auto"/>
              </w:divBdr>
              <w:divsChild>
                <w:div w:id="1955210136">
                  <w:marLeft w:val="360"/>
                  <w:marRight w:val="0"/>
                  <w:marTop w:val="240"/>
                  <w:marBottom w:val="240"/>
                  <w:divBdr>
                    <w:top w:val="none" w:sz="0" w:space="0" w:color="auto"/>
                    <w:left w:val="none" w:sz="0" w:space="0" w:color="auto"/>
                    <w:bottom w:val="none" w:sz="0" w:space="0" w:color="auto"/>
                    <w:right w:val="none" w:sz="0" w:space="0" w:color="auto"/>
                  </w:divBdr>
                </w:div>
                <w:div w:id="489177408">
                  <w:marLeft w:val="360"/>
                  <w:marRight w:val="0"/>
                  <w:marTop w:val="240"/>
                  <w:marBottom w:val="240"/>
                  <w:divBdr>
                    <w:top w:val="none" w:sz="0" w:space="0" w:color="auto"/>
                    <w:left w:val="none" w:sz="0" w:space="0" w:color="auto"/>
                    <w:bottom w:val="none" w:sz="0" w:space="0" w:color="auto"/>
                    <w:right w:val="none" w:sz="0" w:space="0" w:color="auto"/>
                  </w:divBdr>
                </w:div>
              </w:divsChild>
            </w:div>
          </w:divsChild>
        </w:div>
        <w:div w:id="1577280799">
          <w:marLeft w:val="0"/>
          <w:marRight w:val="0"/>
          <w:marTop w:val="0"/>
          <w:marBottom w:val="0"/>
          <w:divBdr>
            <w:top w:val="none" w:sz="0" w:space="0" w:color="auto"/>
            <w:left w:val="none" w:sz="0" w:space="0" w:color="auto"/>
            <w:bottom w:val="none" w:sz="0" w:space="0" w:color="auto"/>
            <w:right w:val="none" w:sz="0" w:space="0" w:color="auto"/>
          </w:divBdr>
          <w:divsChild>
            <w:div w:id="1072502501">
              <w:marLeft w:val="0"/>
              <w:marRight w:val="0"/>
              <w:marTop w:val="240"/>
              <w:marBottom w:val="240"/>
              <w:divBdr>
                <w:top w:val="single" w:sz="24" w:space="12" w:color="auto"/>
                <w:left w:val="single" w:sz="24" w:space="12" w:color="auto"/>
                <w:bottom w:val="single" w:sz="24" w:space="12" w:color="auto"/>
                <w:right w:val="single" w:sz="24" w:space="12" w:color="auto"/>
              </w:divBdr>
            </w:div>
          </w:divsChild>
        </w:div>
        <w:div w:id="705059669">
          <w:marLeft w:val="0"/>
          <w:marRight w:val="0"/>
          <w:marTop w:val="0"/>
          <w:marBottom w:val="0"/>
          <w:divBdr>
            <w:top w:val="none" w:sz="0" w:space="0" w:color="auto"/>
            <w:left w:val="none" w:sz="0" w:space="0" w:color="auto"/>
            <w:bottom w:val="none" w:sz="0" w:space="0" w:color="auto"/>
            <w:right w:val="none" w:sz="0" w:space="0" w:color="auto"/>
          </w:divBdr>
          <w:divsChild>
            <w:div w:id="550728345">
              <w:marLeft w:val="0"/>
              <w:marRight w:val="0"/>
              <w:marTop w:val="0"/>
              <w:marBottom w:val="0"/>
              <w:divBdr>
                <w:top w:val="none" w:sz="0" w:space="0" w:color="auto"/>
                <w:left w:val="none" w:sz="0" w:space="0" w:color="auto"/>
                <w:bottom w:val="none" w:sz="0" w:space="0" w:color="auto"/>
                <w:right w:val="none" w:sz="0" w:space="0" w:color="auto"/>
              </w:divBdr>
              <w:divsChild>
                <w:div w:id="919171748">
                  <w:marLeft w:val="0"/>
                  <w:marRight w:val="0"/>
                  <w:marTop w:val="240"/>
                  <w:marBottom w:val="240"/>
                  <w:divBdr>
                    <w:top w:val="single" w:sz="24" w:space="12" w:color="auto"/>
                    <w:left w:val="single" w:sz="24" w:space="12" w:color="auto"/>
                    <w:bottom w:val="single" w:sz="24" w:space="12" w:color="auto"/>
                    <w:right w:val="single" w:sz="24" w:space="12" w:color="auto"/>
                  </w:divBdr>
                </w:div>
              </w:divsChild>
            </w:div>
            <w:div w:id="390081030">
              <w:marLeft w:val="0"/>
              <w:marRight w:val="0"/>
              <w:marTop w:val="0"/>
              <w:marBottom w:val="0"/>
              <w:divBdr>
                <w:top w:val="none" w:sz="0" w:space="0" w:color="auto"/>
                <w:left w:val="none" w:sz="0" w:space="0" w:color="auto"/>
                <w:bottom w:val="none" w:sz="0" w:space="0" w:color="auto"/>
                <w:right w:val="none" w:sz="0" w:space="0" w:color="auto"/>
              </w:divBdr>
              <w:divsChild>
                <w:div w:id="1990674721">
                  <w:marLeft w:val="0"/>
                  <w:marRight w:val="0"/>
                  <w:marTop w:val="240"/>
                  <w:marBottom w:val="240"/>
                  <w:divBdr>
                    <w:top w:val="single" w:sz="24" w:space="12" w:color="auto"/>
                    <w:left w:val="single" w:sz="24" w:space="12" w:color="auto"/>
                    <w:bottom w:val="single" w:sz="24" w:space="12" w:color="auto"/>
                    <w:right w:val="single" w:sz="24" w:space="12" w:color="auto"/>
                  </w:divBdr>
                </w:div>
              </w:divsChild>
            </w:div>
          </w:divsChild>
        </w:div>
        <w:div w:id="1393964364">
          <w:marLeft w:val="0"/>
          <w:marRight w:val="0"/>
          <w:marTop w:val="0"/>
          <w:marBottom w:val="0"/>
          <w:divBdr>
            <w:top w:val="none" w:sz="0" w:space="0" w:color="auto"/>
            <w:left w:val="none" w:sz="0" w:space="0" w:color="auto"/>
            <w:bottom w:val="none" w:sz="0" w:space="0" w:color="auto"/>
            <w:right w:val="none" w:sz="0" w:space="0" w:color="auto"/>
          </w:divBdr>
          <w:divsChild>
            <w:div w:id="1364869560">
              <w:marLeft w:val="0"/>
              <w:marRight w:val="0"/>
              <w:marTop w:val="240"/>
              <w:marBottom w:val="240"/>
              <w:divBdr>
                <w:top w:val="single" w:sz="24" w:space="12" w:color="auto"/>
                <w:left w:val="single" w:sz="24" w:space="12" w:color="auto"/>
                <w:bottom w:val="single" w:sz="24" w:space="12" w:color="auto"/>
                <w:right w:val="single" w:sz="24" w:space="12" w:color="auto"/>
              </w:divBdr>
            </w:div>
          </w:divsChild>
        </w:div>
        <w:div w:id="897672770">
          <w:marLeft w:val="0"/>
          <w:marRight w:val="0"/>
          <w:marTop w:val="0"/>
          <w:marBottom w:val="0"/>
          <w:divBdr>
            <w:top w:val="none" w:sz="0" w:space="0" w:color="auto"/>
            <w:left w:val="none" w:sz="0" w:space="0" w:color="auto"/>
            <w:bottom w:val="none" w:sz="0" w:space="0" w:color="auto"/>
            <w:right w:val="none" w:sz="0" w:space="0" w:color="auto"/>
          </w:divBdr>
          <w:divsChild>
            <w:div w:id="704211673">
              <w:marLeft w:val="0"/>
              <w:marRight w:val="0"/>
              <w:marTop w:val="240"/>
              <w:marBottom w:val="240"/>
              <w:divBdr>
                <w:top w:val="single" w:sz="24" w:space="12" w:color="auto"/>
                <w:left w:val="single" w:sz="24" w:space="12" w:color="auto"/>
                <w:bottom w:val="single" w:sz="24" w:space="12" w:color="auto"/>
                <w:right w:val="single" w:sz="24" w:space="12" w:color="auto"/>
              </w:divBdr>
            </w:div>
          </w:divsChild>
        </w:div>
        <w:div w:id="562566698">
          <w:marLeft w:val="0"/>
          <w:marRight w:val="0"/>
          <w:marTop w:val="0"/>
          <w:marBottom w:val="0"/>
          <w:divBdr>
            <w:top w:val="none" w:sz="0" w:space="0" w:color="auto"/>
            <w:left w:val="none" w:sz="0" w:space="0" w:color="auto"/>
            <w:bottom w:val="none" w:sz="0" w:space="0" w:color="auto"/>
            <w:right w:val="none" w:sz="0" w:space="0" w:color="auto"/>
          </w:divBdr>
        </w:div>
        <w:div w:id="776099494">
          <w:marLeft w:val="0"/>
          <w:marRight w:val="0"/>
          <w:marTop w:val="0"/>
          <w:marBottom w:val="0"/>
          <w:divBdr>
            <w:top w:val="none" w:sz="0" w:space="0" w:color="auto"/>
            <w:left w:val="none" w:sz="0" w:space="0" w:color="auto"/>
            <w:bottom w:val="none" w:sz="0" w:space="0" w:color="auto"/>
            <w:right w:val="none" w:sz="0" w:space="0" w:color="auto"/>
          </w:divBdr>
        </w:div>
        <w:div w:id="572086986">
          <w:marLeft w:val="0"/>
          <w:marRight w:val="0"/>
          <w:marTop w:val="0"/>
          <w:marBottom w:val="0"/>
          <w:divBdr>
            <w:top w:val="none" w:sz="0" w:space="0" w:color="auto"/>
            <w:left w:val="none" w:sz="0" w:space="0" w:color="auto"/>
            <w:bottom w:val="none" w:sz="0" w:space="0" w:color="auto"/>
            <w:right w:val="none" w:sz="0" w:space="0" w:color="auto"/>
          </w:divBdr>
        </w:div>
        <w:div w:id="979001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igsaw.vitalsource.com/books/9781317435839/epub/OEBPS/xhtml/Ch018.xhtml" TargetMode="External"/><Relationship Id="rId13" Type="http://schemas.openxmlformats.org/officeDocument/2006/relationships/hyperlink" Target="https://jigsaw.vitalsource.com/books/9781317435839/epub/OEBPS/xhtml/Ch018.xhtml" TargetMode="External"/><Relationship Id="rId18" Type="http://schemas.openxmlformats.org/officeDocument/2006/relationships/hyperlink" Target="http://www.knirsch-consult.co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jigsaw.vitalsource.com/books/9781317435839/epub/OEBPS/xhtml/caseexamples.xhtml" TargetMode="External"/><Relationship Id="rId7" Type="http://schemas.openxmlformats.org/officeDocument/2006/relationships/hyperlink" Target="https://jigsaw.vitalsource.com/books/9781317435839/epub/OEBPS/xhtml/content.xhtml" TargetMode="External"/><Relationship Id="rId12" Type="http://schemas.openxmlformats.org/officeDocument/2006/relationships/hyperlink" Target="https://jigsaw.vitalsource.com/books/9781317435839/epub/OEBPS/xhtml/Ch02.xhtml" TargetMode="External"/><Relationship Id="rId17" Type="http://schemas.openxmlformats.org/officeDocument/2006/relationships/hyperlink" Target="https://jigsaw.vitalsource.com/books/9781317435839/epub/OEBPS/xhtml/caseexamples.xhtm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jigsaw.vitalsource.com/books/9781317435839/epub/OEBPS/xhtml/Ch018.xhtml" TargetMode="External"/><Relationship Id="rId20" Type="http://schemas.openxmlformats.org/officeDocument/2006/relationships/hyperlink" Target="https://jigsaw.vitalsource.com/books/9781317435839/epub/OEBPS/xhtml/Ch018.x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igsaw.vitalsource.com/books/9781317435839/epub/OEBPS/xhtml/Ch018.xhtml"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jigsaw.vitalsource.com/books/9781317435839/epub/OEBPS/xhtml/Ch022.xhtm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jigsaw.vitalsource.com/books/9781317435839/epub/OEBPS/xhtml/Ch018.xhtml" TargetMode="External"/><Relationship Id="rId19" Type="http://schemas.openxmlformats.org/officeDocument/2006/relationships/hyperlink" Target="https://jigsaw.vitalsource.com/books/9781317435839/epub/OEBPS/xhtml/Ch018.xhtml" TargetMode="External"/><Relationship Id="rId4" Type="http://schemas.openxmlformats.org/officeDocument/2006/relationships/webSettings" Target="webSettings.xml"/><Relationship Id="rId9" Type="http://schemas.openxmlformats.org/officeDocument/2006/relationships/hyperlink" Target="https://jigsaw.vitalsource.com/books/9781317435839/epub/OEBPS/xhtml/Ch018.xhtml" TargetMode="External"/><Relationship Id="rId14" Type="http://schemas.openxmlformats.org/officeDocument/2006/relationships/hyperlink" Target="https://jigsaw.vitalsource.com/books/9781317435839/epub/OEBPS/xhtml/caseexamples.xhtml" TargetMode="External"/><Relationship Id="rId22" Type="http://schemas.openxmlformats.org/officeDocument/2006/relationships/hyperlink" Target="http://www.civilservice.gov.uk/agencies"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5488</Words>
  <Characters>31287</Characters>
  <Application>Microsoft Office Word</Application>
  <DocSecurity>0</DocSecurity>
  <Lines>260</Lines>
  <Paragraphs>73</Paragraphs>
  <ScaleCrop>false</ScaleCrop>
  <Company/>
  <LinksUpToDate>false</LinksUpToDate>
  <CharactersWithSpaces>36702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4</cp:revision>
  <dcterms:created xsi:type="dcterms:W3CDTF">2019-01-30T11:03:00Z</dcterms:created>
  <dcterms:modified xsi:type="dcterms:W3CDTF">2019-09-02T12:15:00Z</dcterms:modified>
</cp:coreProperties>
</file>