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D013647" wp14:paraId="071F80E3" wp14:textId="6CC1281A">
      <w:pPr>
        <w:spacing w:before="0" w:beforeAutospacing="off" w:after="0" w:afterAutospacing="off" w:line="24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A42A7C6">
        <w:drawing>
          <wp:inline xmlns:wp14="http://schemas.microsoft.com/office/word/2010/wordprocessingDrawing" wp14:editId="72E9E5C2" wp14:anchorId="3C31F26B">
            <wp:extent cx="2228850" cy="885825"/>
            <wp:effectExtent l="0" t="0" r="0" b="0"/>
            <wp:docPr id="609969171" name="" title=""/>
            <wp:cNvGraphicFramePr>
              <a:graphicFrameLocks noChangeAspect="1"/>
            </wp:cNvGraphicFramePr>
            <a:graphic>
              <a:graphicData uri="http://schemas.openxmlformats.org/drawingml/2006/picture">
                <pic:pic>
                  <pic:nvPicPr>
                    <pic:cNvPr id="0" name=""/>
                    <pic:cNvPicPr/>
                  </pic:nvPicPr>
                  <pic:blipFill>
                    <a:blip r:embed="R8316ed0986ae4c2c">
                      <a:extLst>
                        <a:ext xmlns:a="http://schemas.openxmlformats.org/drawingml/2006/main" uri="{28A0092B-C50C-407E-A947-70E740481C1C}">
                          <a14:useLocalDpi val="0"/>
                        </a:ext>
                      </a:extLst>
                    </a:blip>
                    <a:stretch>
                      <a:fillRect/>
                    </a:stretch>
                  </pic:blipFill>
                  <pic:spPr>
                    <a:xfrm>
                      <a:off x="0" y="0"/>
                      <a:ext cx="2228850" cy="885825"/>
                    </a:xfrm>
                    <a:prstGeom prst="rect">
                      <a:avLst/>
                    </a:prstGeom>
                  </pic:spPr>
                </pic:pic>
              </a:graphicData>
            </a:graphic>
          </wp:inline>
        </w:drawing>
      </w:r>
    </w:p>
    <w:p xmlns:wp14="http://schemas.microsoft.com/office/word/2010/wordml" w:rsidP="7D013647" wp14:paraId="0D9A1C7B" wp14:textId="7044FC0D">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1ED2B27" wp14:textId="2D0A2FFE">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A37228A" wp14:textId="3B7A145B">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3E2E2F0" wp14:textId="391BDB1A">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2C51CA9" wp14:textId="6612C4FF">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2FB9CE7" wp14:textId="2216172D">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F370BE9" wp14:textId="150B4C31">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A8F01F3" wp14:textId="65CAC00C">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9CE18D9" wp14:textId="58A7713E">
      <w:pPr>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F0A540F" wp14:textId="7F6925A9">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7D013647" wp14:paraId="691BA05B" wp14:textId="4CBA982C">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D013647" w:rsidR="0A42A7C6">
        <w:rPr>
          <w:rStyle w:val="normaltextrun"/>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L4 - Study Skills (OME Degree - Sem 1) ACDB4010</w:t>
      </w:r>
    </w:p>
    <w:p xmlns:wp14="http://schemas.microsoft.com/office/word/2010/wordml" w:rsidP="7D013647" wp14:paraId="65745F1A" wp14:textId="747E4954">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D013647" w:rsidR="0A42A7C6">
        <w:rPr>
          <w:rStyle w:val="normaltextrun"/>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Reflection on Study Skills</w:t>
      </w:r>
    </w:p>
    <w:p xmlns:wp14="http://schemas.microsoft.com/office/word/2010/wordml" w:rsidP="7D013647" wp14:paraId="4698E5AD" wp14:textId="183BB8B3">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D013647" w:rsidR="0A42A7C6">
        <w:rPr>
          <w:rStyle w:val="normaltextrun"/>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Charlotte McCombe</w:t>
      </w:r>
    </w:p>
    <w:p xmlns:wp14="http://schemas.microsoft.com/office/word/2010/wordml" w:rsidP="7D013647" wp14:paraId="6444070C" wp14:textId="213B4F17">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D013647" w:rsidR="0A42A7C6">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 Number: 241152</w:t>
      </w:r>
      <w:r w:rsidRPr="7D013647" w:rsidR="4EB9A43F">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4</w:t>
      </w:r>
    </w:p>
    <w:p xmlns:wp14="http://schemas.microsoft.com/office/word/2010/wordml" w:rsidP="7D013647" wp14:paraId="0C14D591" wp14:textId="3F673186">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25EDFEA5" wp14:textId="6364B542">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53AA4E0E" wp14:textId="7C94AF04">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79F8A952" wp14:textId="126275C3">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5B8AEA0C" wp14:textId="523F57F7">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4E1C7DCC" wp14:textId="2DC3B7E9">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58B02BCB" wp14:textId="39ED8920">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56DED5B" w:rsidP="556DED5B" w:rsidRDefault="556DED5B" w14:paraId="4929ECF1" w14:textId="36F5145B">
      <w:pPr>
        <w:pStyle w:val="Normal"/>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0C28C3B" w:rsidP="556DED5B" w:rsidRDefault="10C28C3B" w14:paraId="6E4FF5AF" w14:textId="52FBE7A3">
      <w:pPr>
        <w:pStyle w:val="Heading1"/>
        <w:rPr>
          <w:noProof w:val="0"/>
          <w:lang w:val="en-GB"/>
        </w:rPr>
      </w:pPr>
      <w:bookmarkStart w:name="_Toc2119949284" w:id="1366319834"/>
      <w:r w:rsidRPr="556DED5B" w:rsidR="10C28C3B">
        <w:rPr>
          <w:noProof w:val="0"/>
          <w:lang w:val="en-GB"/>
        </w:rPr>
        <w:t>Table of Contents</w:t>
      </w:r>
      <w:bookmarkEnd w:id="1366319834"/>
    </w:p>
    <w:sdt>
      <w:sdtPr>
        <w:id w:val="1791706342"/>
        <w:docPartObj>
          <w:docPartGallery w:val="Table of Contents"/>
          <w:docPartUnique/>
        </w:docPartObj>
      </w:sdtPr>
      <w:sdtContent>
        <w:p w:rsidR="556DED5B" w:rsidP="556DED5B" w:rsidRDefault="556DED5B" w14:paraId="6BF3934D" w14:textId="4881B69A">
          <w:pPr>
            <w:pStyle w:val="TOC1"/>
            <w:tabs>
              <w:tab w:val="right" w:leader="dot" w:pos="10080"/>
            </w:tabs>
            <w:bidi w:val="0"/>
            <w:rPr>
              <w:rStyle w:val="Hyperlink"/>
            </w:rPr>
          </w:pPr>
          <w:r>
            <w:fldChar w:fldCharType="begin"/>
          </w:r>
          <w:r>
            <w:instrText xml:space="preserve">TOC \o "1-9" \z \u \h</w:instrText>
          </w:r>
          <w:r>
            <w:fldChar w:fldCharType="separate"/>
          </w:r>
          <w:hyperlink w:anchor="_Toc2119949284">
            <w:r w:rsidRPr="556DED5B" w:rsidR="556DED5B">
              <w:rPr>
                <w:rStyle w:val="Hyperlink"/>
              </w:rPr>
              <w:t>Table of Contents</w:t>
            </w:r>
            <w:r>
              <w:tab/>
            </w:r>
            <w:r>
              <w:fldChar w:fldCharType="begin"/>
            </w:r>
            <w:r>
              <w:instrText xml:space="preserve">PAGEREF _Toc2119949284 \h</w:instrText>
            </w:r>
            <w:r>
              <w:fldChar w:fldCharType="separate"/>
            </w:r>
            <w:r w:rsidRPr="556DED5B" w:rsidR="556DED5B">
              <w:rPr>
                <w:rStyle w:val="Hyperlink"/>
              </w:rPr>
              <w:t>1</w:t>
            </w:r>
            <w:r>
              <w:fldChar w:fldCharType="end"/>
            </w:r>
          </w:hyperlink>
        </w:p>
        <w:p w:rsidR="556DED5B" w:rsidP="556DED5B" w:rsidRDefault="556DED5B" w14:paraId="4F7A2154" w14:textId="74F445CD">
          <w:pPr>
            <w:pStyle w:val="TOC1"/>
            <w:tabs>
              <w:tab w:val="right" w:leader="dot" w:pos="10080"/>
            </w:tabs>
            <w:bidi w:val="0"/>
            <w:rPr>
              <w:rStyle w:val="Hyperlink"/>
            </w:rPr>
          </w:pPr>
          <w:hyperlink w:anchor="_Toc718277388">
            <w:r w:rsidRPr="556DED5B" w:rsidR="556DED5B">
              <w:rPr>
                <w:rStyle w:val="Hyperlink"/>
              </w:rPr>
              <w:t>Introduction:</w:t>
            </w:r>
            <w:r>
              <w:tab/>
            </w:r>
            <w:r>
              <w:fldChar w:fldCharType="begin"/>
            </w:r>
            <w:r>
              <w:instrText xml:space="preserve">PAGEREF _Toc718277388 \h</w:instrText>
            </w:r>
            <w:r>
              <w:fldChar w:fldCharType="separate"/>
            </w:r>
            <w:r w:rsidRPr="556DED5B" w:rsidR="556DED5B">
              <w:rPr>
                <w:rStyle w:val="Hyperlink"/>
              </w:rPr>
              <w:t>2</w:t>
            </w:r>
            <w:r>
              <w:fldChar w:fldCharType="end"/>
            </w:r>
          </w:hyperlink>
        </w:p>
        <w:p w:rsidR="556DED5B" w:rsidP="556DED5B" w:rsidRDefault="556DED5B" w14:paraId="78AE46A4" w14:textId="31B66644">
          <w:pPr>
            <w:pStyle w:val="TOC1"/>
            <w:tabs>
              <w:tab w:val="right" w:leader="dot" w:pos="10080"/>
            </w:tabs>
            <w:bidi w:val="0"/>
            <w:rPr>
              <w:rStyle w:val="Hyperlink"/>
            </w:rPr>
          </w:pPr>
          <w:hyperlink w:anchor="_Toc1792557393">
            <w:r w:rsidRPr="556DED5B" w:rsidR="556DED5B">
              <w:rPr>
                <w:rStyle w:val="Hyperlink"/>
              </w:rPr>
              <w:t>Section 1: Presentation</w:t>
            </w:r>
            <w:r>
              <w:tab/>
            </w:r>
            <w:r>
              <w:fldChar w:fldCharType="begin"/>
            </w:r>
            <w:r>
              <w:instrText xml:space="preserve">PAGEREF _Toc1792557393 \h</w:instrText>
            </w:r>
            <w:r>
              <w:fldChar w:fldCharType="separate"/>
            </w:r>
            <w:r w:rsidRPr="556DED5B" w:rsidR="556DED5B">
              <w:rPr>
                <w:rStyle w:val="Hyperlink"/>
              </w:rPr>
              <w:t>2</w:t>
            </w:r>
            <w:r>
              <w:fldChar w:fldCharType="end"/>
            </w:r>
          </w:hyperlink>
        </w:p>
        <w:p w:rsidR="556DED5B" w:rsidP="556DED5B" w:rsidRDefault="556DED5B" w14:paraId="31D188D9" w14:textId="2E104356">
          <w:pPr>
            <w:pStyle w:val="TOC2"/>
            <w:tabs>
              <w:tab w:val="right" w:leader="dot" w:pos="10080"/>
            </w:tabs>
            <w:bidi w:val="0"/>
            <w:rPr>
              <w:rStyle w:val="Hyperlink"/>
            </w:rPr>
          </w:pPr>
          <w:hyperlink w:anchor="_Toc823197564">
            <w:r w:rsidRPr="556DED5B" w:rsidR="556DED5B">
              <w:rPr>
                <w:rStyle w:val="Hyperlink"/>
              </w:rPr>
              <w:t>Overview of Author</w:t>
            </w:r>
            <w:r>
              <w:tab/>
            </w:r>
            <w:r>
              <w:fldChar w:fldCharType="begin"/>
            </w:r>
            <w:r>
              <w:instrText xml:space="preserve">PAGEREF _Toc823197564 \h</w:instrText>
            </w:r>
            <w:r>
              <w:fldChar w:fldCharType="separate"/>
            </w:r>
            <w:r w:rsidRPr="556DED5B" w:rsidR="556DED5B">
              <w:rPr>
                <w:rStyle w:val="Hyperlink"/>
              </w:rPr>
              <w:t>2</w:t>
            </w:r>
            <w:r>
              <w:fldChar w:fldCharType="end"/>
            </w:r>
          </w:hyperlink>
        </w:p>
        <w:p w:rsidR="556DED5B" w:rsidP="556DED5B" w:rsidRDefault="556DED5B" w14:paraId="19F5502B" w14:textId="0626F973">
          <w:pPr>
            <w:pStyle w:val="TOC2"/>
            <w:tabs>
              <w:tab w:val="right" w:leader="dot" w:pos="10080"/>
            </w:tabs>
            <w:bidi w:val="0"/>
            <w:rPr>
              <w:rStyle w:val="Hyperlink"/>
            </w:rPr>
          </w:pPr>
          <w:hyperlink w:anchor="_Toc2116438398">
            <w:r w:rsidRPr="556DED5B" w:rsidR="556DED5B">
              <w:rPr>
                <w:rStyle w:val="Hyperlink"/>
              </w:rPr>
              <w:t>Screengrabs from initial presentation:</w:t>
            </w:r>
            <w:r>
              <w:tab/>
            </w:r>
            <w:r>
              <w:fldChar w:fldCharType="begin"/>
            </w:r>
            <w:r>
              <w:instrText xml:space="preserve">PAGEREF _Toc2116438398 \h</w:instrText>
            </w:r>
            <w:r>
              <w:fldChar w:fldCharType="separate"/>
            </w:r>
            <w:r w:rsidRPr="556DED5B" w:rsidR="556DED5B">
              <w:rPr>
                <w:rStyle w:val="Hyperlink"/>
              </w:rPr>
              <w:t>3</w:t>
            </w:r>
            <w:r>
              <w:fldChar w:fldCharType="end"/>
            </w:r>
          </w:hyperlink>
        </w:p>
        <w:p w:rsidR="556DED5B" w:rsidP="556DED5B" w:rsidRDefault="556DED5B" w14:paraId="0FEB8691" w14:textId="12FF14A7">
          <w:pPr>
            <w:pStyle w:val="TOC2"/>
            <w:tabs>
              <w:tab w:val="right" w:leader="dot" w:pos="10080"/>
            </w:tabs>
            <w:bidi w:val="0"/>
            <w:rPr>
              <w:rStyle w:val="Hyperlink"/>
            </w:rPr>
          </w:pPr>
          <w:hyperlink w:anchor="_Toc597172646">
            <w:r w:rsidRPr="556DED5B" w:rsidR="556DED5B">
              <w:rPr>
                <w:rStyle w:val="Hyperlink"/>
              </w:rPr>
              <w:t>Key Points Learned producing a presentation</w:t>
            </w:r>
            <w:r>
              <w:tab/>
            </w:r>
            <w:r>
              <w:fldChar w:fldCharType="begin"/>
            </w:r>
            <w:r>
              <w:instrText xml:space="preserve">PAGEREF _Toc597172646 \h</w:instrText>
            </w:r>
            <w:r>
              <w:fldChar w:fldCharType="separate"/>
            </w:r>
            <w:r w:rsidRPr="556DED5B" w:rsidR="556DED5B">
              <w:rPr>
                <w:rStyle w:val="Hyperlink"/>
              </w:rPr>
              <w:t>5</w:t>
            </w:r>
            <w:r>
              <w:fldChar w:fldCharType="end"/>
            </w:r>
          </w:hyperlink>
        </w:p>
        <w:p w:rsidR="556DED5B" w:rsidP="556DED5B" w:rsidRDefault="556DED5B" w14:paraId="1A84F866" w14:textId="23486CEB">
          <w:pPr>
            <w:pStyle w:val="TOC2"/>
            <w:tabs>
              <w:tab w:val="right" w:leader="dot" w:pos="10080"/>
            </w:tabs>
            <w:bidi w:val="0"/>
            <w:rPr>
              <w:rStyle w:val="Hyperlink"/>
            </w:rPr>
          </w:pPr>
          <w:hyperlink w:anchor="_Toc1771686078">
            <w:r w:rsidRPr="556DED5B" w:rsidR="556DED5B">
              <w:rPr>
                <w:rStyle w:val="Hyperlink"/>
              </w:rPr>
              <w:t>Areas for improvement in future presentations</w:t>
            </w:r>
            <w:r>
              <w:tab/>
            </w:r>
            <w:r>
              <w:fldChar w:fldCharType="begin"/>
            </w:r>
            <w:r>
              <w:instrText xml:space="preserve">PAGEREF _Toc1771686078 \h</w:instrText>
            </w:r>
            <w:r>
              <w:fldChar w:fldCharType="separate"/>
            </w:r>
            <w:r w:rsidRPr="556DED5B" w:rsidR="556DED5B">
              <w:rPr>
                <w:rStyle w:val="Hyperlink"/>
              </w:rPr>
              <w:t>5</w:t>
            </w:r>
            <w:r>
              <w:fldChar w:fldCharType="end"/>
            </w:r>
          </w:hyperlink>
        </w:p>
        <w:p w:rsidR="556DED5B" w:rsidP="556DED5B" w:rsidRDefault="556DED5B" w14:paraId="6807DA49" w14:textId="3ED34890">
          <w:pPr>
            <w:pStyle w:val="TOC1"/>
            <w:tabs>
              <w:tab w:val="right" w:leader="dot" w:pos="10080"/>
            </w:tabs>
            <w:bidi w:val="0"/>
            <w:rPr>
              <w:rStyle w:val="Hyperlink"/>
            </w:rPr>
          </w:pPr>
          <w:hyperlink w:anchor="_Toc832460570">
            <w:r w:rsidRPr="556DED5B" w:rsidR="556DED5B">
              <w:rPr>
                <w:rStyle w:val="Hyperlink"/>
              </w:rPr>
              <w:t>Section 2: Skills Evaluation</w:t>
            </w:r>
            <w:r>
              <w:tab/>
            </w:r>
            <w:r>
              <w:fldChar w:fldCharType="begin"/>
            </w:r>
            <w:r>
              <w:instrText xml:space="preserve">PAGEREF _Toc832460570 \h</w:instrText>
            </w:r>
            <w:r>
              <w:fldChar w:fldCharType="separate"/>
            </w:r>
            <w:r w:rsidRPr="556DED5B" w:rsidR="556DED5B">
              <w:rPr>
                <w:rStyle w:val="Hyperlink"/>
              </w:rPr>
              <w:t>6</w:t>
            </w:r>
            <w:r>
              <w:fldChar w:fldCharType="end"/>
            </w:r>
          </w:hyperlink>
        </w:p>
        <w:p w:rsidR="556DED5B" w:rsidP="556DED5B" w:rsidRDefault="556DED5B" w14:paraId="43EBAFD8" w14:textId="12F8D61E">
          <w:pPr>
            <w:pStyle w:val="TOC2"/>
            <w:tabs>
              <w:tab w:val="right" w:leader="dot" w:pos="10080"/>
            </w:tabs>
            <w:bidi w:val="0"/>
            <w:rPr>
              <w:rStyle w:val="Hyperlink"/>
            </w:rPr>
          </w:pPr>
          <w:hyperlink w:anchor="_Toc2105964398">
            <w:r w:rsidRPr="556DED5B" w:rsidR="556DED5B">
              <w:rPr>
                <w:rStyle w:val="Hyperlink"/>
              </w:rPr>
              <w:t>Skills required for successful learning in Higher Education</w:t>
            </w:r>
            <w:r>
              <w:tab/>
            </w:r>
            <w:r>
              <w:fldChar w:fldCharType="begin"/>
            </w:r>
            <w:r>
              <w:instrText xml:space="preserve">PAGEREF _Toc2105964398 \h</w:instrText>
            </w:r>
            <w:r>
              <w:fldChar w:fldCharType="separate"/>
            </w:r>
            <w:r w:rsidRPr="556DED5B" w:rsidR="556DED5B">
              <w:rPr>
                <w:rStyle w:val="Hyperlink"/>
              </w:rPr>
              <w:t>6</w:t>
            </w:r>
            <w:r>
              <w:fldChar w:fldCharType="end"/>
            </w:r>
          </w:hyperlink>
        </w:p>
        <w:p w:rsidR="556DED5B" w:rsidP="556DED5B" w:rsidRDefault="556DED5B" w14:paraId="4D725D22" w14:textId="27D1D5FF">
          <w:pPr>
            <w:pStyle w:val="TOC2"/>
            <w:tabs>
              <w:tab w:val="right" w:leader="dot" w:pos="10080"/>
            </w:tabs>
            <w:bidi w:val="0"/>
            <w:rPr>
              <w:rStyle w:val="Hyperlink"/>
            </w:rPr>
          </w:pPr>
          <w:hyperlink w:anchor="_Toc1640054364">
            <w:r w:rsidRPr="556DED5B" w:rsidR="556DED5B">
              <w:rPr>
                <w:rStyle w:val="Hyperlink"/>
              </w:rPr>
              <w:t>Transferrable skills employers look for in prospective job candidates.</w:t>
            </w:r>
            <w:r>
              <w:tab/>
            </w:r>
            <w:r>
              <w:fldChar w:fldCharType="begin"/>
            </w:r>
            <w:r>
              <w:instrText xml:space="preserve">PAGEREF _Toc1640054364 \h</w:instrText>
            </w:r>
            <w:r>
              <w:fldChar w:fldCharType="separate"/>
            </w:r>
            <w:r w:rsidRPr="556DED5B" w:rsidR="556DED5B">
              <w:rPr>
                <w:rStyle w:val="Hyperlink"/>
              </w:rPr>
              <w:t>7</w:t>
            </w:r>
            <w:r>
              <w:fldChar w:fldCharType="end"/>
            </w:r>
          </w:hyperlink>
        </w:p>
        <w:p w:rsidR="556DED5B" w:rsidP="556DED5B" w:rsidRDefault="556DED5B" w14:paraId="52487849" w14:textId="1FE83881">
          <w:pPr>
            <w:pStyle w:val="TOC2"/>
            <w:tabs>
              <w:tab w:val="right" w:leader="dot" w:pos="10080"/>
            </w:tabs>
            <w:bidi w:val="0"/>
            <w:rPr>
              <w:rStyle w:val="Hyperlink"/>
            </w:rPr>
          </w:pPr>
          <w:hyperlink w:anchor="_Toc1744292100">
            <w:r w:rsidRPr="556DED5B" w:rsidR="556DED5B">
              <w:rPr>
                <w:rStyle w:val="Hyperlink"/>
              </w:rPr>
              <w:t>Completed self-evaluation exercises</w:t>
            </w:r>
            <w:r>
              <w:tab/>
            </w:r>
            <w:r>
              <w:fldChar w:fldCharType="begin"/>
            </w:r>
            <w:r>
              <w:instrText xml:space="preserve">PAGEREF _Toc1744292100 \h</w:instrText>
            </w:r>
            <w:r>
              <w:fldChar w:fldCharType="separate"/>
            </w:r>
            <w:r w:rsidRPr="556DED5B" w:rsidR="556DED5B">
              <w:rPr>
                <w:rStyle w:val="Hyperlink"/>
              </w:rPr>
              <w:t>8</w:t>
            </w:r>
            <w:r>
              <w:fldChar w:fldCharType="end"/>
            </w:r>
          </w:hyperlink>
        </w:p>
        <w:p w:rsidR="556DED5B" w:rsidP="556DED5B" w:rsidRDefault="556DED5B" w14:paraId="75892D38" w14:textId="2CACCF3F">
          <w:pPr>
            <w:pStyle w:val="TOC2"/>
            <w:tabs>
              <w:tab w:val="right" w:leader="dot" w:pos="10080"/>
            </w:tabs>
            <w:bidi w:val="0"/>
            <w:rPr>
              <w:rStyle w:val="Hyperlink"/>
            </w:rPr>
          </w:pPr>
          <w:hyperlink w:anchor="_Toc1637087264">
            <w:r w:rsidRPr="556DED5B" w:rsidR="556DED5B">
              <w:rPr>
                <w:rStyle w:val="Hyperlink"/>
              </w:rPr>
              <w:t>Strengths and weaknesses of personality type</w:t>
            </w:r>
            <w:r>
              <w:tab/>
            </w:r>
            <w:r>
              <w:fldChar w:fldCharType="begin"/>
            </w:r>
            <w:r>
              <w:instrText xml:space="preserve">PAGEREF _Toc1637087264 \h</w:instrText>
            </w:r>
            <w:r>
              <w:fldChar w:fldCharType="separate"/>
            </w:r>
            <w:r w:rsidRPr="556DED5B" w:rsidR="556DED5B">
              <w:rPr>
                <w:rStyle w:val="Hyperlink"/>
              </w:rPr>
              <w:t>9</w:t>
            </w:r>
            <w:r>
              <w:fldChar w:fldCharType="end"/>
            </w:r>
          </w:hyperlink>
        </w:p>
        <w:p w:rsidR="556DED5B" w:rsidP="556DED5B" w:rsidRDefault="556DED5B" w14:paraId="36C6905D" w14:textId="47AD5D56">
          <w:pPr>
            <w:pStyle w:val="TOC2"/>
            <w:tabs>
              <w:tab w:val="right" w:leader="dot" w:pos="10080"/>
            </w:tabs>
            <w:bidi w:val="0"/>
            <w:rPr>
              <w:rStyle w:val="Hyperlink"/>
            </w:rPr>
          </w:pPr>
          <w:hyperlink w:anchor="_Toc2031465114">
            <w:r w:rsidRPr="556DED5B" w:rsidR="556DED5B">
              <w:rPr>
                <w:rStyle w:val="Hyperlink"/>
              </w:rPr>
              <w:t>Suitable career suggestions</w:t>
            </w:r>
            <w:r>
              <w:tab/>
            </w:r>
            <w:r>
              <w:fldChar w:fldCharType="begin"/>
            </w:r>
            <w:r>
              <w:instrText xml:space="preserve">PAGEREF _Toc2031465114 \h</w:instrText>
            </w:r>
            <w:r>
              <w:fldChar w:fldCharType="separate"/>
            </w:r>
            <w:r w:rsidRPr="556DED5B" w:rsidR="556DED5B">
              <w:rPr>
                <w:rStyle w:val="Hyperlink"/>
              </w:rPr>
              <w:t>10</w:t>
            </w:r>
            <w:r>
              <w:fldChar w:fldCharType="end"/>
            </w:r>
          </w:hyperlink>
        </w:p>
        <w:p w:rsidR="556DED5B" w:rsidP="556DED5B" w:rsidRDefault="556DED5B" w14:paraId="1B79BDB3" w14:textId="2BA00A70">
          <w:pPr>
            <w:pStyle w:val="TOC2"/>
            <w:tabs>
              <w:tab w:val="right" w:leader="dot" w:pos="10080"/>
            </w:tabs>
            <w:bidi w:val="0"/>
            <w:rPr>
              <w:rStyle w:val="Hyperlink"/>
            </w:rPr>
          </w:pPr>
          <w:hyperlink w:anchor="_Toc1379535232">
            <w:r w:rsidRPr="556DED5B" w:rsidR="556DED5B">
              <w:rPr>
                <w:rStyle w:val="Hyperlink"/>
              </w:rPr>
              <w:t>Long and short term goals</w:t>
            </w:r>
            <w:r>
              <w:tab/>
            </w:r>
            <w:r>
              <w:fldChar w:fldCharType="begin"/>
            </w:r>
            <w:r>
              <w:instrText xml:space="preserve">PAGEREF _Toc1379535232 \h</w:instrText>
            </w:r>
            <w:r>
              <w:fldChar w:fldCharType="separate"/>
            </w:r>
            <w:r w:rsidRPr="556DED5B" w:rsidR="556DED5B">
              <w:rPr>
                <w:rStyle w:val="Hyperlink"/>
              </w:rPr>
              <w:t>10</w:t>
            </w:r>
            <w:r>
              <w:fldChar w:fldCharType="end"/>
            </w:r>
          </w:hyperlink>
        </w:p>
        <w:p w:rsidR="556DED5B" w:rsidP="556DED5B" w:rsidRDefault="556DED5B" w14:paraId="21B11C57" w14:textId="4B9847CC">
          <w:pPr>
            <w:pStyle w:val="TOC1"/>
            <w:tabs>
              <w:tab w:val="right" w:leader="dot" w:pos="10080"/>
            </w:tabs>
            <w:bidi w:val="0"/>
            <w:rPr>
              <w:rStyle w:val="Hyperlink"/>
            </w:rPr>
          </w:pPr>
          <w:hyperlink w:anchor="_Toc954707187">
            <w:r w:rsidRPr="556DED5B" w:rsidR="556DED5B">
              <w:rPr>
                <w:rStyle w:val="Hyperlink"/>
              </w:rPr>
              <w:t>Section 3: Application</w:t>
            </w:r>
            <w:r>
              <w:tab/>
            </w:r>
            <w:r>
              <w:fldChar w:fldCharType="begin"/>
            </w:r>
            <w:r>
              <w:instrText xml:space="preserve">PAGEREF _Toc954707187 \h</w:instrText>
            </w:r>
            <w:r>
              <w:fldChar w:fldCharType="separate"/>
            </w:r>
            <w:r w:rsidRPr="556DED5B" w:rsidR="556DED5B">
              <w:rPr>
                <w:rStyle w:val="Hyperlink"/>
              </w:rPr>
              <w:t>12</w:t>
            </w:r>
            <w:r>
              <w:fldChar w:fldCharType="end"/>
            </w:r>
          </w:hyperlink>
        </w:p>
        <w:p w:rsidR="556DED5B" w:rsidP="556DED5B" w:rsidRDefault="556DED5B" w14:paraId="182540CA" w14:textId="5505D56D">
          <w:pPr>
            <w:pStyle w:val="TOC2"/>
            <w:tabs>
              <w:tab w:val="right" w:leader="dot" w:pos="10080"/>
            </w:tabs>
            <w:bidi w:val="0"/>
            <w:rPr>
              <w:rStyle w:val="Hyperlink"/>
            </w:rPr>
          </w:pPr>
          <w:hyperlink w:anchor="_Toc613930358">
            <w:r w:rsidRPr="556DED5B" w:rsidR="556DED5B">
              <w:rPr>
                <w:rStyle w:val="Hyperlink"/>
              </w:rPr>
              <w:t>Back up Strategy for data</w:t>
            </w:r>
            <w:r>
              <w:tab/>
            </w:r>
            <w:r>
              <w:fldChar w:fldCharType="begin"/>
            </w:r>
            <w:r>
              <w:instrText xml:space="preserve">PAGEREF _Toc613930358 \h</w:instrText>
            </w:r>
            <w:r>
              <w:fldChar w:fldCharType="separate"/>
            </w:r>
            <w:r w:rsidRPr="556DED5B" w:rsidR="556DED5B">
              <w:rPr>
                <w:rStyle w:val="Hyperlink"/>
              </w:rPr>
              <w:t>12</w:t>
            </w:r>
            <w:r>
              <w:fldChar w:fldCharType="end"/>
            </w:r>
          </w:hyperlink>
        </w:p>
        <w:p w:rsidR="556DED5B" w:rsidP="556DED5B" w:rsidRDefault="556DED5B" w14:paraId="47BB8188" w14:textId="1295C264">
          <w:pPr>
            <w:pStyle w:val="TOC2"/>
            <w:tabs>
              <w:tab w:val="right" w:leader="dot" w:pos="10080"/>
            </w:tabs>
            <w:bidi w:val="0"/>
            <w:rPr>
              <w:rStyle w:val="Hyperlink"/>
            </w:rPr>
          </w:pPr>
          <w:hyperlink w:anchor="_Toc865695950">
            <w:r w:rsidRPr="556DED5B" w:rsidR="556DED5B">
              <w:rPr>
                <w:rStyle w:val="Hyperlink"/>
              </w:rPr>
              <w:t>Time management and self-organisation:</w:t>
            </w:r>
            <w:r>
              <w:tab/>
            </w:r>
            <w:r>
              <w:fldChar w:fldCharType="begin"/>
            </w:r>
            <w:r>
              <w:instrText xml:space="preserve">PAGEREF _Toc865695950 \h</w:instrText>
            </w:r>
            <w:r>
              <w:fldChar w:fldCharType="separate"/>
            </w:r>
            <w:r w:rsidRPr="556DED5B" w:rsidR="556DED5B">
              <w:rPr>
                <w:rStyle w:val="Hyperlink"/>
              </w:rPr>
              <w:t>13</w:t>
            </w:r>
            <w:r>
              <w:fldChar w:fldCharType="end"/>
            </w:r>
          </w:hyperlink>
        </w:p>
        <w:p w:rsidR="556DED5B" w:rsidP="556DED5B" w:rsidRDefault="556DED5B" w14:paraId="22DFEAC7" w14:textId="24426E47">
          <w:pPr>
            <w:pStyle w:val="TOC2"/>
            <w:tabs>
              <w:tab w:val="right" w:leader="dot" w:pos="10080"/>
            </w:tabs>
            <w:bidi w:val="0"/>
            <w:rPr>
              <w:rStyle w:val="Hyperlink"/>
            </w:rPr>
          </w:pPr>
          <w:hyperlink w:anchor="_Toc1987120246">
            <w:r w:rsidRPr="556DED5B" w:rsidR="556DED5B">
              <w:rPr>
                <w:rStyle w:val="Hyperlink"/>
              </w:rPr>
              <w:t>Implementation of E-Portfolio</w:t>
            </w:r>
            <w:r>
              <w:tab/>
            </w:r>
            <w:r>
              <w:fldChar w:fldCharType="begin"/>
            </w:r>
            <w:r>
              <w:instrText xml:space="preserve">PAGEREF _Toc1987120246 \h</w:instrText>
            </w:r>
            <w:r>
              <w:fldChar w:fldCharType="separate"/>
            </w:r>
            <w:r w:rsidRPr="556DED5B" w:rsidR="556DED5B">
              <w:rPr>
                <w:rStyle w:val="Hyperlink"/>
              </w:rPr>
              <w:t>14</w:t>
            </w:r>
            <w:r>
              <w:fldChar w:fldCharType="end"/>
            </w:r>
          </w:hyperlink>
        </w:p>
        <w:p w:rsidR="556DED5B" w:rsidP="556DED5B" w:rsidRDefault="556DED5B" w14:paraId="33903CA5" w14:textId="2FEFB560">
          <w:pPr>
            <w:pStyle w:val="TOC2"/>
            <w:tabs>
              <w:tab w:val="right" w:leader="dot" w:pos="10080"/>
            </w:tabs>
            <w:bidi w:val="0"/>
            <w:rPr>
              <w:rStyle w:val="Hyperlink"/>
            </w:rPr>
          </w:pPr>
          <w:hyperlink w:anchor="_Toc854128232">
            <w:r w:rsidRPr="556DED5B" w:rsidR="556DED5B">
              <w:rPr>
                <w:rStyle w:val="Hyperlink"/>
              </w:rPr>
              <w:t>Torpex Literature Review</w:t>
            </w:r>
            <w:r>
              <w:tab/>
            </w:r>
            <w:r>
              <w:fldChar w:fldCharType="begin"/>
            </w:r>
            <w:r>
              <w:instrText xml:space="preserve">PAGEREF _Toc854128232 \h</w:instrText>
            </w:r>
            <w:r>
              <w:fldChar w:fldCharType="separate"/>
            </w:r>
            <w:r w:rsidRPr="556DED5B" w:rsidR="556DED5B">
              <w:rPr>
                <w:rStyle w:val="Hyperlink"/>
              </w:rPr>
              <w:t>15</w:t>
            </w:r>
            <w:r>
              <w:fldChar w:fldCharType="end"/>
            </w:r>
          </w:hyperlink>
        </w:p>
        <w:p w:rsidR="556DED5B" w:rsidP="556DED5B" w:rsidRDefault="556DED5B" w14:paraId="380929FC" w14:textId="10D8F14C">
          <w:pPr>
            <w:pStyle w:val="TOC2"/>
            <w:tabs>
              <w:tab w:val="right" w:leader="dot" w:pos="10080"/>
            </w:tabs>
            <w:bidi w:val="0"/>
            <w:rPr>
              <w:rStyle w:val="Hyperlink"/>
            </w:rPr>
          </w:pPr>
          <w:hyperlink w:anchor="_Toc1213482711">
            <w:r w:rsidRPr="556DED5B" w:rsidR="556DED5B">
              <w:rPr>
                <w:rStyle w:val="Hyperlink"/>
              </w:rPr>
              <w:t>Conclusion &amp; Evaluation:</w:t>
            </w:r>
            <w:r>
              <w:tab/>
            </w:r>
            <w:r>
              <w:fldChar w:fldCharType="begin"/>
            </w:r>
            <w:r>
              <w:instrText xml:space="preserve">PAGEREF _Toc1213482711 \h</w:instrText>
            </w:r>
            <w:r>
              <w:fldChar w:fldCharType="separate"/>
            </w:r>
            <w:r w:rsidRPr="556DED5B" w:rsidR="556DED5B">
              <w:rPr>
                <w:rStyle w:val="Hyperlink"/>
              </w:rPr>
              <w:t>17</w:t>
            </w:r>
            <w:r>
              <w:fldChar w:fldCharType="end"/>
            </w:r>
          </w:hyperlink>
        </w:p>
        <w:p w:rsidR="556DED5B" w:rsidP="556DED5B" w:rsidRDefault="556DED5B" w14:paraId="5BFE1079" w14:textId="48A509B1">
          <w:pPr>
            <w:pStyle w:val="TOC2"/>
            <w:tabs>
              <w:tab w:val="right" w:leader="dot" w:pos="10080"/>
            </w:tabs>
            <w:bidi w:val="0"/>
            <w:rPr>
              <w:rStyle w:val="Hyperlink"/>
            </w:rPr>
          </w:pPr>
          <w:hyperlink w:anchor="_Toc1363856952">
            <w:r w:rsidRPr="556DED5B" w:rsidR="556DED5B">
              <w:rPr>
                <w:rStyle w:val="Hyperlink"/>
              </w:rPr>
              <w:t>Appendices:</w:t>
            </w:r>
            <w:r>
              <w:tab/>
            </w:r>
            <w:r>
              <w:fldChar w:fldCharType="begin"/>
            </w:r>
            <w:r>
              <w:instrText xml:space="preserve">PAGEREF _Toc1363856952 \h</w:instrText>
            </w:r>
            <w:r>
              <w:fldChar w:fldCharType="separate"/>
            </w:r>
            <w:r w:rsidRPr="556DED5B" w:rsidR="556DED5B">
              <w:rPr>
                <w:rStyle w:val="Hyperlink"/>
              </w:rPr>
              <w:t>18</w:t>
            </w:r>
            <w:r>
              <w:fldChar w:fldCharType="end"/>
            </w:r>
          </w:hyperlink>
        </w:p>
        <w:p w:rsidR="556DED5B" w:rsidP="556DED5B" w:rsidRDefault="556DED5B" w14:paraId="73AFAC59" w14:textId="4F263177">
          <w:pPr>
            <w:pStyle w:val="TOC2"/>
            <w:tabs>
              <w:tab w:val="right" w:leader="dot" w:pos="10080"/>
            </w:tabs>
            <w:bidi w:val="0"/>
            <w:rPr>
              <w:rStyle w:val="Hyperlink"/>
            </w:rPr>
          </w:pPr>
          <w:hyperlink w:anchor="_Toc1735851212">
            <w:r w:rsidRPr="556DED5B" w:rsidR="556DED5B">
              <w:rPr>
                <w:rStyle w:val="Hyperlink"/>
              </w:rPr>
              <w:t>Bibliography</w:t>
            </w:r>
            <w:r>
              <w:tab/>
            </w:r>
            <w:r>
              <w:fldChar w:fldCharType="begin"/>
            </w:r>
            <w:r>
              <w:instrText xml:space="preserve">PAGEREF _Toc1735851212 \h</w:instrText>
            </w:r>
            <w:r>
              <w:fldChar w:fldCharType="separate"/>
            </w:r>
            <w:r w:rsidRPr="556DED5B" w:rsidR="556DED5B">
              <w:rPr>
                <w:rStyle w:val="Hyperlink"/>
              </w:rPr>
              <w:t>23</w:t>
            </w:r>
            <w:r>
              <w:fldChar w:fldCharType="end"/>
            </w:r>
          </w:hyperlink>
          <w:r>
            <w:fldChar w:fldCharType="end"/>
          </w:r>
        </w:p>
      </w:sdtContent>
    </w:sdt>
    <w:p xmlns:wp14="http://schemas.microsoft.com/office/word/2010/wordml" w:rsidP="7D013647" wp14:paraId="7864A845" wp14:textId="5E0A0189">
      <w:pPr>
        <w:pStyle w:val="Normal"/>
        <w:spacing w:line="360" w:lineRule="auto"/>
        <w:jc w:val="left"/>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5E22A559" wp14:textId="30119937">
      <w:pPr>
        <w:pStyle w:val="Normal"/>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2CDCEC44" wp14:textId="786FF307">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D013647" wp14:paraId="0433A119" wp14:textId="4DA276C6">
      <w:pPr>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556DED5B" wp14:paraId="48F79A22" wp14:textId="0CD37CDC">
      <w:pPr>
        <w:pStyle w:val="Normal"/>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56DED5B" w:rsidP="556DED5B" w:rsidRDefault="556DED5B" w14:paraId="53F28D8D" w14:textId="7474C1A5">
      <w:pPr>
        <w:pStyle w:val="Normal"/>
        <w:spacing w:line="360" w:lineRule="auto"/>
        <w:jc w:val="center"/>
        <w:rPr>
          <w:rStyle w:val="normaltextrun"/>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556DED5B" wp14:paraId="3A9C6F00" wp14:textId="00A14E09">
      <w:pPr>
        <w:pStyle w:val="Heading1"/>
        <w:keepNext w:val="1"/>
        <w:keepLines w:val="1"/>
        <w:spacing w:before="360" w:after="80" w:line="279" w:lineRule="auto"/>
        <w:rPr>
          <w:rFonts w:ascii="Calibri Light" w:hAnsi="Calibri Light" w:eastAsia="Calibri Light" w:cs="Calibri Light"/>
          <w:b w:val="0"/>
          <w:bCs w:val="0"/>
          <w:i w:val="0"/>
          <w:iCs w:val="0"/>
          <w:caps w:val="0"/>
          <w:smallCaps w:val="0"/>
          <w:noProof w:val="0"/>
          <w:color w:val="2E74B5"/>
          <w:sz w:val="40"/>
          <w:szCs w:val="40"/>
          <w:lang w:val="en-US"/>
        </w:rPr>
      </w:pPr>
      <w:bookmarkStart w:name="_Toc718277388" w:id="1759360039"/>
      <w:r w:rsidRPr="556DED5B" w:rsidR="0A42A7C6">
        <w:rPr>
          <w:rFonts w:ascii="Calibri Light" w:hAnsi="Calibri Light" w:eastAsia="Calibri Light" w:cs="Calibri Light"/>
          <w:b w:val="0"/>
          <w:bCs w:val="0"/>
          <w:i w:val="0"/>
          <w:iCs w:val="0"/>
          <w:caps w:val="0"/>
          <w:smallCaps w:val="0"/>
          <w:noProof w:val="0"/>
          <w:color w:val="2E74B5"/>
          <w:sz w:val="40"/>
          <w:szCs w:val="40"/>
          <w:lang w:val="en-US"/>
        </w:rPr>
        <w:t>Introduction:</w:t>
      </w:r>
      <w:bookmarkEnd w:id="1759360039"/>
    </w:p>
    <w:p xmlns:wp14="http://schemas.microsoft.com/office/word/2010/wordml" w:rsidP="7D013647" wp14:paraId="033AD4D2" wp14:textId="7112113F">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D766A1C" wp14:textId="18629768">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aim of this assignment is to provide evidence of the knowledge and skills learned throughout the study skills module. The author of this assignment is named Charlotte McCombe and is completing a Level 6 OME Technician degree apprenticeship. This combines workplace-based learning and studying at university. </w:t>
      </w:r>
    </w:p>
    <w:p xmlns:wp14="http://schemas.microsoft.com/office/word/2010/wordml" w:rsidP="556DED5B" wp14:paraId="06FC68C9" wp14:textId="13326929">
      <w:pPr>
        <w:pStyle w:val="Heading1"/>
        <w:keepNext w:val="1"/>
        <w:keepLines w:val="1"/>
        <w:spacing w:before="360" w:after="80" w:line="279" w:lineRule="auto"/>
        <w:rPr>
          <w:rFonts w:ascii="Calibri Light" w:hAnsi="Calibri Light" w:eastAsia="Calibri Light" w:cs="Calibri Light"/>
          <w:b w:val="0"/>
          <w:bCs w:val="0"/>
          <w:i w:val="0"/>
          <w:iCs w:val="0"/>
          <w:caps w:val="0"/>
          <w:smallCaps w:val="0"/>
          <w:noProof w:val="0"/>
          <w:color w:val="2E74B5"/>
          <w:sz w:val="40"/>
          <w:szCs w:val="40"/>
          <w:lang w:val="en-US"/>
        </w:rPr>
      </w:pPr>
      <w:bookmarkStart w:name="_Toc1792557393" w:id="1708890319"/>
      <w:r w:rsidRPr="556DED5B" w:rsidR="0A42A7C6">
        <w:rPr>
          <w:rFonts w:ascii="Calibri Light" w:hAnsi="Calibri Light" w:eastAsia="Calibri Light" w:cs="Calibri Light"/>
          <w:b w:val="0"/>
          <w:bCs w:val="0"/>
          <w:i w:val="0"/>
          <w:iCs w:val="0"/>
          <w:caps w:val="0"/>
          <w:smallCaps w:val="0"/>
          <w:noProof w:val="0"/>
          <w:color w:val="2E74B5"/>
          <w:sz w:val="40"/>
          <w:szCs w:val="40"/>
          <w:lang w:val="en-US"/>
        </w:rPr>
        <w:t>Section 1: Presentation</w:t>
      </w:r>
      <w:bookmarkEnd w:id="1708890319"/>
      <w:r w:rsidRPr="556DED5B" w:rsidR="0A42A7C6">
        <w:rPr>
          <w:rFonts w:ascii="Calibri Light" w:hAnsi="Calibri Light" w:eastAsia="Calibri Light" w:cs="Calibri Light"/>
          <w:b w:val="0"/>
          <w:bCs w:val="0"/>
          <w:i w:val="0"/>
          <w:iCs w:val="0"/>
          <w:caps w:val="0"/>
          <w:smallCaps w:val="0"/>
          <w:noProof w:val="0"/>
          <w:color w:val="2E74B5"/>
          <w:sz w:val="40"/>
          <w:szCs w:val="40"/>
          <w:lang w:val="en-US"/>
        </w:rPr>
        <w:t>  </w:t>
      </w:r>
    </w:p>
    <w:p xmlns:wp14="http://schemas.microsoft.com/office/word/2010/wordml" w:rsidP="556DED5B" wp14:paraId="530A4168" wp14:textId="0C29A51B">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823197564" w:id="731809309"/>
      <w:r w:rsidRPr="556DED5B" w:rsidR="0A42A7C6">
        <w:rPr>
          <w:rFonts w:ascii="Calibri Light" w:hAnsi="Calibri Light" w:eastAsia="Calibri Light" w:cs="Calibri Light"/>
          <w:b w:val="0"/>
          <w:bCs w:val="0"/>
          <w:i w:val="0"/>
          <w:iCs w:val="0"/>
          <w:caps w:val="0"/>
          <w:smallCaps w:val="0"/>
          <w:noProof w:val="0"/>
          <w:color w:val="2E74B5"/>
          <w:sz w:val="26"/>
          <w:szCs w:val="26"/>
          <w:lang w:val="en-US"/>
        </w:rPr>
        <w:t>Overview of Author</w:t>
      </w:r>
      <w:bookmarkEnd w:id="731809309"/>
    </w:p>
    <w:p xmlns:wp14="http://schemas.microsoft.com/office/word/2010/wordml" w:rsidP="7D013647" wp14:paraId="03DB84DC" wp14:textId="54995B3A">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workplace, responsibilities include the receipt, storage, and issue of several types of ammunition. This process covers the receipt of a delivery of ammunition which is unloaded from transport vehicles and loaded into storage buildings. This is then used in trials where it is unpacked and transported to a firing system where it is then used. </w:t>
      </w:r>
    </w:p>
    <w:p xmlns:wp14="http://schemas.microsoft.com/office/word/2010/wordml" w:rsidP="7D013647" wp14:paraId="2F44F148" wp14:textId="6AA9CAF6">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3225FC8" wp14:textId="46413BEA">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Personally, as an outgoing and adventurous the author thrives on new experiences and opportunities</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This includes the chance to travel, complete activities and learning. For example, the author has recently completed a tandem skydive and a backpacking trip for a month in Bali, Indonesia. Home comforts are also enjoyed with 2 spaniels at home who love venturing into the nearby Lake District.</w:t>
      </w:r>
    </w:p>
    <w:p xmlns:wp14="http://schemas.microsoft.com/office/word/2010/wordml" w:rsidP="7D013647" wp14:paraId="39817BFE" wp14:textId="188FC618">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2017AB15" wp14:textId="6D860D8E">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72A3924" wp14:textId="45B2CCE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F0EA351" wp14:textId="47EB0B0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10EB63C" wp14:textId="416DFDB7">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416B89E" wp14:textId="622FAA7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F69CCD3" wp14:textId="11E3F26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06CF882" wp14:textId="14A1FA68">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6C22313" wp14:textId="18D2CFDD">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DD4ED39" wp14:textId="65B8DA95">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CA9D898" wp14:textId="7A3B2758">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7FC1E60F" wp14:textId="6854D6C0">
      <w:pPr>
        <w:pStyle w:val="Heading2"/>
        <w:spacing w:before="0" w:beforeAutospacing="off" w:after="0" w:afterAutospacing="off" w:line="240" w:lineRule="auto"/>
        <w:rPr>
          <w:rFonts w:ascii="Calibri Light" w:hAnsi="Calibri Light" w:eastAsia="Calibri Light" w:cs="Calibri Light"/>
          <w:b w:val="0"/>
          <w:bCs w:val="0"/>
          <w:i w:val="0"/>
          <w:iCs w:val="0"/>
          <w:caps w:val="0"/>
          <w:smallCaps w:val="0"/>
          <w:noProof w:val="0"/>
          <w:color w:val="2E74B5"/>
          <w:sz w:val="26"/>
          <w:szCs w:val="26"/>
          <w:lang w:val="en-US"/>
        </w:rPr>
      </w:pPr>
      <w:bookmarkStart w:name="_Toc2116438398" w:id="258879158"/>
      <w:r w:rsidRPr="556DED5B" w:rsidR="0A42A7C6">
        <w:rPr>
          <w:rFonts w:ascii="Calibri Light" w:hAnsi="Calibri Light" w:eastAsia="Calibri Light" w:cs="Calibri Light"/>
          <w:b w:val="0"/>
          <w:bCs w:val="0"/>
          <w:i w:val="0"/>
          <w:iCs w:val="0"/>
          <w:caps w:val="0"/>
          <w:smallCaps w:val="0"/>
          <w:noProof w:val="0"/>
          <w:color w:val="2E74B5"/>
          <w:sz w:val="26"/>
          <w:szCs w:val="26"/>
          <w:lang w:val="en-GB"/>
        </w:rPr>
        <w:t xml:space="preserve">Screengrabs from </w:t>
      </w:r>
      <w:r w:rsidRPr="556DED5B" w:rsidR="0A42A7C6">
        <w:rPr>
          <w:rFonts w:ascii="Calibri Light" w:hAnsi="Calibri Light" w:eastAsia="Calibri Light" w:cs="Calibri Light"/>
          <w:b w:val="0"/>
          <w:bCs w:val="0"/>
          <w:i w:val="0"/>
          <w:iCs w:val="0"/>
          <w:caps w:val="0"/>
          <w:smallCaps w:val="0"/>
          <w:noProof w:val="0"/>
          <w:color w:val="2E74B5"/>
          <w:sz w:val="26"/>
          <w:szCs w:val="26"/>
          <w:lang w:val="en-GB"/>
        </w:rPr>
        <w:t>initial</w:t>
      </w:r>
      <w:r w:rsidRPr="556DED5B" w:rsidR="0A42A7C6">
        <w:rPr>
          <w:rFonts w:ascii="Calibri Light" w:hAnsi="Calibri Light" w:eastAsia="Calibri Light" w:cs="Calibri Light"/>
          <w:b w:val="0"/>
          <w:bCs w:val="0"/>
          <w:i w:val="0"/>
          <w:iCs w:val="0"/>
          <w:caps w:val="0"/>
          <w:smallCaps w:val="0"/>
          <w:noProof w:val="0"/>
          <w:color w:val="2E74B5"/>
          <w:sz w:val="26"/>
          <w:szCs w:val="26"/>
          <w:lang w:val="en-GB"/>
        </w:rPr>
        <w:t xml:space="preserve"> presentation:</w:t>
      </w:r>
      <w:bookmarkEnd w:id="258879158"/>
    </w:p>
    <w:p xmlns:wp14="http://schemas.microsoft.com/office/word/2010/wordml" w:rsidP="556DED5B" wp14:paraId="068A5992" wp14:textId="7A73CEB7">
      <w:pPr>
        <w:pStyle w:val="paragraph"/>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A contents page used at the beginning of the presentation allowed a quick overview to be given of what was going to be involved in the presentation</w:t>
      </w:r>
    </w:p>
    <w:p xmlns:wp14="http://schemas.microsoft.com/office/word/2010/wordml" w:rsidP="7D013647" wp14:paraId="1A5081A0" wp14:textId="5773D893">
      <w:pPr>
        <w:keepNext w:val="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17AF8208" wp14:anchorId="298309FB">
            <wp:extent cx="5657850" cy="3181350"/>
            <wp:effectExtent l="0" t="0" r="0" b="0"/>
            <wp:docPr id="1234108715" name="" title=""/>
            <wp:cNvGraphicFramePr>
              <a:graphicFrameLocks noChangeAspect="1"/>
            </wp:cNvGraphicFramePr>
            <a:graphic>
              <a:graphicData uri="http://schemas.openxmlformats.org/drawingml/2006/picture">
                <pic:pic>
                  <pic:nvPicPr>
                    <pic:cNvPr id="0" name=""/>
                    <pic:cNvPicPr/>
                  </pic:nvPicPr>
                  <pic:blipFill>
                    <a:blip r:embed="Rf0258ca648634f1d">
                      <a:extLst>
                        <a:ext xmlns:a="http://schemas.openxmlformats.org/drawingml/2006/main" uri="{28A0092B-C50C-407E-A947-70E740481C1C}">
                          <a14:useLocalDpi val="0"/>
                        </a:ext>
                      </a:extLst>
                    </a:blip>
                    <a:stretch>
                      <a:fillRect/>
                    </a:stretch>
                  </pic:blipFill>
                  <pic:spPr>
                    <a:xfrm>
                      <a:off x="0" y="0"/>
                      <a:ext cx="5657850" cy="3181350"/>
                    </a:xfrm>
                    <a:prstGeom prst="rect">
                      <a:avLst/>
                    </a:prstGeom>
                  </pic:spPr>
                </pic:pic>
              </a:graphicData>
            </a:graphic>
          </wp:inline>
        </w:drawing>
      </w:r>
    </w:p>
    <w:p xmlns:wp14="http://schemas.microsoft.com/office/word/2010/wordml" w:rsidP="7D013647" wp14:paraId="2307E987" wp14:textId="0A26F6B9">
      <w:pPr>
        <w:spacing w:after="200" w:line="24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Figure 1- Contents page from initial presentation</w:t>
      </w:r>
    </w:p>
    <w:p xmlns:wp14="http://schemas.microsoft.com/office/word/2010/wordml" w:rsidP="556DED5B" wp14:paraId="4C924510" wp14:textId="27CA541F">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DED5B" w:rsidR="452B3795">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visual timeline engaged the audience </w:t>
      </w:r>
      <w:r w:rsidRPr="556DED5B" w:rsidR="23DB9C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w:t>
      </w:r>
      <w:r w:rsidRPr="556DED5B" w:rsidR="23DB9C20">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easy </w:t>
      </w: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follow</w:t>
      </w:r>
      <w:r w:rsidRPr="556DED5B" w:rsidR="236476CC">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underst</w:t>
      </w:r>
      <w:r w:rsidRPr="556DED5B" w:rsidR="1BDC1D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ood </w:t>
      </w: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w:t>
      </w:r>
      <w:r w:rsidRPr="556DED5B" w:rsidR="0A6F5E3E">
        <w:rPr>
          <w:rFonts w:ascii="Calibri" w:hAnsi="Calibri" w:eastAsia="Calibri" w:cs="Calibri"/>
          <w:b w:val="0"/>
          <w:bCs w:val="0"/>
          <w:i w:val="0"/>
          <w:iCs w:val="0"/>
          <w:caps w:val="0"/>
          <w:smallCaps w:val="0"/>
          <w:noProof w:val="0"/>
          <w:color w:val="000000" w:themeColor="text1" w:themeTint="FF" w:themeShade="FF"/>
          <w:sz w:val="22"/>
          <w:szCs w:val="22"/>
          <w:lang w:val="en-GB"/>
        </w:rPr>
        <w:t>using chronological</w:t>
      </w:r>
      <w:r w:rsidRPr="556DED5B"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order.</w:t>
      </w:r>
      <w:r w:rsidR="5A9884FA">
        <w:drawing>
          <wp:inline xmlns:wp14="http://schemas.microsoft.com/office/word/2010/wordprocessingDrawing" wp14:editId="0A15075C" wp14:anchorId="0E5C2166">
            <wp:extent cx="5238748" cy="2952750"/>
            <wp:effectExtent l="0" t="0" r="0" b="0"/>
            <wp:docPr id="1524976535" name="" descr="cid:e1832095-2a0e-4fb5-a3d7-a2132c42bd20" title=""/>
            <wp:cNvGraphicFramePr>
              <a:graphicFrameLocks noChangeAspect="1"/>
            </wp:cNvGraphicFramePr>
            <a:graphic>
              <a:graphicData uri="http://schemas.openxmlformats.org/drawingml/2006/picture">
                <pic:pic>
                  <pic:nvPicPr>
                    <pic:cNvPr id="0" name=""/>
                    <pic:cNvPicPr/>
                  </pic:nvPicPr>
                  <pic:blipFill>
                    <a:blip r:embed="R22e4a44fb07744d8">
                      <a:extLst>
                        <a:ext xmlns:a="http://schemas.openxmlformats.org/drawingml/2006/main" uri="{28A0092B-C50C-407E-A947-70E740481C1C}">
                          <a14:useLocalDpi val="0"/>
                        </a:ext>
                      </a:extLst>
                    </a:blip>
                    <a:stretch>
                      <a:fillRect/>
                    </a:stretch>
                  </pic:blipFill>
                  <pic:spPr>
                    <a:xfrm>
                      <a:off x="0" y="0"/>
                      <a:ext cx="5238748" cy="2952750"/>
                    </a:xfrm>
                    <a:prstGeom prst="rect">
                      <a:avLst/>
                    </a:prstGeom>
                  </pic:spPr>
                </pic:pic>
              </a:graphicData>
            </a:graphic>
          </wp:inline>
        </w:drawing>
      </w:r>
    </w:p>
    <w:p xmlns:wp14="http://schemas.microsoft.com/office/word/2010/wordml" w:rsidP="556DED5B" wp14:paraId="6C2F29A2" wp14:textId="6647AF74">
      <w:pPr>
        <w:spacing w:after="200" w:line="240" w:lineRule="auto"/>
        <w:rPr>
          <w:rFonts w:ascii="Calibri" w:hAnsi="Calibri" w:eastAsia="Calibri" w:cs="Calibri"/>
          <w:b w:val="0"/>
          <w:bCs w:val="0"/>
          <w:i w:val="1"/>
          <w:iCs w:val="1"/>
          <w:caps w:val="0"/>
          <w:smallCaps w:val="0"/>
          <w:noProof w:val="0"/>
          <w:color w:val="44546A"/>
          <w:sz w:val="22"/>
          <w:szCs w:val="22"/>
          <w:lang w:val="en-US"/>
        </w:rPr>
      </w:pPr>
      <w:r w:rsidRPr="556DED5B" w:rsidR="6DA60BB0">
        <w:rPr>
          <w:rFonts w:ascii="Calibri" w:hAnsi="Calibri" w:eastAsia="Calibri" w:cs="Calibri"/>
          <w:b w:val="0"/>
          <w:bCs w:val="0"/>
          <w:i w:val="1"/>
          <w:iCs w:val="1"/>
          <w:caps w:val="0"/>
          <w:smallCaps w:val="0"/>
          <w:noProof w:val="0"/>
          <w:color w:val="44546A"/>
          <w:sz w:val="22"/>
          <w:szCs w:val="22"/>
          <w:lang w:val="en-GB"/>
        </w:rPr>
        <w:t>F</w:t>
      </w:r>
      <w:r w:rsidRPr="556DED5B" w:rsidR="0A42A7C6">
        <w:rPr>
          <w:rFonts w:ascii="Calibri" w:hAnsi="Calibri" w:eastAsia="Calibri" w:cs="Calibri"/>
          <w:b w:val="0"/>
          <w:bCs w:val="0"/>
          <w:i w:val="1"/>
          <w:iCs w:val="1"/>
          <w:caps w:val="0"/>
          <w:smallCaps w:val="0"/>
          <w:noProof w:val="0"/>
          <w:color w:val="44546A"/>
          <w:sz w:val="22"/>
          <w:szCs w:val="22"/>
          <w:lang w:val="en-GB"/>
        </w:rPr>
        <w:t xml:space="preserve">igure 2 - </w:t>
      </w:r>
      <w:r w:rsidRPr="556DED5B" w:rsidR="0A42A7C6">
        <w:rPr>
          <w:rFonts w:ascii="Calibri" w:hAnsi="Calibri" w:eastAsia="Calibri" w:cs="Calibri"/>
          <w:b w:val="0"/>
          <w:bCs w:val="0"/>
          <w:i w:val="1"/>
          <w:iCs w:val="1"/>
          <w:caps w:val="0"/>
          <w:smallCaps w:val="0"/>
          <w:noProof w:val="0"/>
          <w:color w:val="44546A"/>
          <w:sz w:val="22"/>
          <w:szCs w:val="22"/>
          <w:lang w:val="en-GB"/>
        </w:rPr>
        <w:t>Previous</w:t>
      </w:r>
      <w:r w:rsidRPr="556DED5B" w:rsidR="0A42A7C6">
        <w:rPr>
          <w:rFonts w:ascii="Calibri" w:hAnsi="Calibri" w:eastAsia="Calibri" w:cs="Calibri"/>
          <w:b w:val="0"/>
          <w:bCs w:val="0"/>
          <w:i w:val="1"/>
          <w:iCs w:val="1"/>
          <w:caps w:val="0"/>
          <w:smallCaps w:val="0"/>
          <w:noProof w:val="0"/>
          <w:color w:val="44546A"/>
          <w:sz w:val="22"/>
          <w:szCs w:val="22"/>
          <w:lang w:val="en-GB"/>
        </w:rPr>
        <w:t xml:space="preserve"> Employment Slide from Initial Presentatio</w:t>
      </w:r>
      <w:r w:rsidRPr="556DED5B" w:rsidR="5EFF0323">
        <w:rPr>
          <w:rFonts w:ascii="Calibri" w:hAnsi="Calibri" w:eastAsia="Calibri" w:cs="Calibri"/>
          <w:b w:val="0"/>
          <w:bCs w:val="0"/>
          <w:i w:val="1"/>
          <w:iCs w:val="1"/>
          <w:caps w:val="0"/>
          <w:smallCaps w:val="0"/>
          <w:noProof w:val="0"/>
          <w:color w:val="44546A"/>
          <w:sz w:val="22"/>
          <w:szCs w:val="22"/>
          <w:lang w:val="en-GB"/>
        </w:rPr>
        <w:t>n</w:t>
      </w:r>
    </w:p>
    <w:p w:rsidR="556DED5B" w:rsidP="556DED5B" w:rsidRDefault="556DED5B" w14:paraId="6EBA11E0" w14:textId="7747E16A">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2BCEB3E6" wp14:textId="2BDF587B">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Using both personal and professional goals gave an insight into the workplace and social life allowing more information to be shared about the author.</w:t>
      </w:r>
    </w:p>
    <w:p xmlns:wp14="http://schemas.microsoft.com/office/word/2010/wordml" w:rsidP="7D013647" wp14:paraId="168811D2" wp14:textId="3C1A6534">
      <w:pPr>
        <w:keepNext w:val="1"/>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7AEFAFD9" wp14:anchorId="604E4113">
            <wp:extent cx="5410198" cy="3048000"/>
            <wp:effectExtent l="0" t="0" r="0" b="0"/>
            <wp:docPr id="2056366136" name="" title=""/>
            <wp:cNvGraphicFramePr>
              <a:graphicFrameLocks noChangeAspect="1"/>
            </wp:cNvGraphicFramePr>
            <a:graphic>
              <a:graphicData uri="http://schemas.openxmlformats.org/drawingml/2006/picture">
                <pic:pic>
                  <pic:nvPicPr>
                    <pic:cNvPr id="0" name=""/>
                    <pic:cNvPicPr/>
                  </pic:nvPicPr>
                  <pic:blipFill>
                    <a:blip r:embed="Rd6150f9ac99e4114">
                      <a:extLst>
                        <a:ext xmlns:a="http://schemas.openxmlformats.org/drawingml/2006/main" uri="{28A0092B-C50C-407E-A947-70E740481C1C}">
                          <a14:useLocalDpi val="0"/>
                        </a:ext>
                      </a:extLst>
                    </a:blip>
                    <a:stretch>
                      <a:fillRect/>
                    </a:stretch>
                  </pic:blipFill>
                  <pic:spPr>
                    <a:xfrm>
                      <a:off x="0" y="0"/>
                      <a:ext cx="5410198" cy="3048000"/>
                    </a:xfrm>
                    <a:prstGeom prst="rect">
                      <a:avLst/>
                    </a:prstGeom>
                  </pic:spPr>
                </pic:pic>
              </a:graphicData>
            </a:graphic>
          </wp:inline>
        </w:drawing>
      </w:r>
    </w:p>
    <w:p xmlns:wp14="http://schemas.microsoft.com/office/word/2010/wordml" w:rsidP="7D013647" wp14:paraId="14762FDC" wp14:textId="2EB6E8CC">
      <w:pPr>
        <w:spacing w:after="200" w:line="24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Figure 3- Visions and Aspirations Slide from Initial Presentation</w:t>
      </w:r>
    </w:p>
    <w:p xmlns:wp14="http://schemas.microsoft.com/office/word/2010/wordml" w:rsidP="7D013647" wp14:paraId="49F87777" wp14:textId="587580E8">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Using both pictures and text to highlight interests which were then further expanded on through discussion</w:t>
      </w:r>
    </w:p>
    <w:p xmlns:wp14="http://schemas.microsoft.com/office/word/2010/wordml" w:rsidP="7D013647" wp14:paraId="28A98CA8" wp14:textId="1165F4FA">
      <w:pPr>
        <w:keepNext w:val="1"/>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0A3E695D" wp14:anchorId="031441CC">
            <wp:extent cx="5791202" cy="3352800"/>
            <wp:effectExtent l="0" t="0" r="0" b="0"/>
            <wp:docPr id="1935519571" name="" title=""/>
            <wp:cNvGraphicFramePr>
              <a:graphicFrameLocks noChangeAspect="1"/>
            </wp:cNvGraphicFramePr>
            <a:graphic>
              <a:graphicData uri="http://schemas.openxmlformats.org/drawingml/2006/picture">
                <pic:pic>
                  <pic:nvPicPr>
                    <pic:cNvPr id="0" name=""/>
                    <pic:cNvPicPr/>
                  </pic:nvPicPr>
                  <pic:blipFill>
                    <a:blip r:embed="Rc3f56cfbc9284824">
                      <a:extLst>
                        <a:ext xmlns:a="http://schemas.openxmlformats.org/drawingml/2006/main" uri="{28A0092B-C50C-407E-A947-70E740481C1C}">
                          <a14:useLocalDpi val="0"/>
                        </a:ext>
                      </a:extLst>
                    </a:blip>
                    <a:stretch>
                      <a:fillRect/>
                    </a:stretch>
                  </pic:blipFill>
                  <pic:spPr>
                    <a:xfrm>
                      <a:off x="0" y="0"/>
                      <a:ext cx="5791202" cy="3352800"/>
                    </a:xfrm>
                    <a:prstGeom prst="rect">
                      <a:avLst/>
                    </a:prstGeom>
                  </pic:spPr>
                </pic:pic>
              </a:graphicData>
            </a:graphic>
          </wp:inline>
        </w:drawing>
      </w:r>
    </w:p>
    <w:p xmlns:wp14="http://schemas.microsoft.com/office/word/2010/wordml" w:rsidP="7D013647" wp14:paraId="5F470C86" wp14:textId="411FA446">
      <w:pPr>
        <w:spacing w:after="200" w:line="24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 xml:space="preserve">Figure 4- My interests slide from </w:t>
      </w:r>
      <w:r w:rsidRPr="7D013647" w:rsidR="0A42A7C6">
        <w:rPr>
          <w:rFonts w:ascii="Calibri" w:hAnsi="Calibri" w:eastAsia="Calibri" w:cs="Calibri"/>
          <w:b w:val="0"/>
          <w:bCs w:val="0"/>
          <w:i w:val="1"/>
          <w:iCs w:val="1"/>
          <w:caps w:val="0"/>
          <w:smallCaps w:val="0"/>
          <w:noProof w:val="0"/>
          <w:color w:val="44546A"/>
          <w:sz w:val="22"/>
          <w:szCs w:val="22"/>
          <w:lang w:val="en-GB"/>
        </w:rPr>
        <w:t>initial</w:t>
      </w:r>
      <w:r w:rsidRPr="7D013647" w:rsidR="0A42A7C6">
        <w:rPr>
          <w:rFonts w:ascii="Calibri" w:hAnsi="Calibri" w:eastAsia="Calibri" w:cs="Calibri"/>
          <w:b w:val="0"/>
          <w:bCs w:val="0"/>
          <w:i w:val="1"/>
          <w:iCs w:val="1"/>
          <w:caps w:val="0"/>
          <w:smallCaps w:val="0"/>
          <w:noProof w:val="0"/>
          <w:color w:val="44546A"/>
          <w:sz w:val="22"/>
          <w:szCs w:val="22"/>
          <w:lang w:val="en-GB"/>
        </w:rPr>
        <w:t xml:space="preserve"> presentation</w:t>
      </w:r>
    </w:p>
    <w:p xmlns:wp14="http://schemas.microsoft.com/office/word/2010/wordml" w:rsidP="556DED5B" wp14:paraId="737F5BE1" wp14:textId="73FA24BE">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597172646" w:id="352424052"/>
      <w:r w:rsidRPr="556DED5B" w:rsidR="0A42A7C6">
        <w:rPr>
          <w:rFonts w:ascii="Calibri Light" w:hAnsi="Calibri Light" w:eastAsia="Calibri Light" w:cs="Calibri Light"/>
          <w:b w:val="0"/>
          <w:bCs w:val="0"/>
          <w:i w:val="0"/>
          <w:iCs w:val="0"/>
          <w:caps w:val="0"/>
          <w:smallCaps w:val="0"/>
          <w:noProof w:val="0"/>
          <w:color w:val="2E74B5"/>
          <w:sz w:val="26"/>
          <w:szCs w:val="26"/>
          <w:lang w:val="en-GB"/>
        </w:rPr>
        <w:t>Key Points Learned producing a presentation</w:t>
      </w:r>
      <w:bookmarkEnd w:id="352424052"/>
    </w:p>
    <w:p xmlns:wp14="http://schemas.microsoft.com/office/word/2010/wordml" w:rsidP="7D013647" wp14:paraId="267D0F55" wp14:textId="47C909A3">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Through completing research, it was highlighted that the visuals in a presentation are required to be professional and easy to follow. The wording on the slides should be to a minimum with the key words and statements included  [1] . This allowed further expansion on the information when presenting. It also allows the presentation to flow more for the audience as they can listen to the presenter instead of reading from the slides and are therefore more engaged throughout the presentation.</w:t>
      </w:r>
    </w:p>
    <w:p xmlns:wp14="http://schemas.microsoft.com/office/word/2010/wordml" w:rsidP="7D013647" wp14:paraId="4CB9AFF0" wp14:textId="512FFC7F">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Throughout the presentation both text and visuals were used. It also had a professional color scheme which allowed focus on the content of the presentation and wasn’t distracting from the main body of information. Using the wrong color scheme could have caused eye strain and can create effects for audience who may have color blindness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D013647" wp14:paraId="47F15026" wp14:textId="2008BEBD">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CD6A155" wp14:textId="171C83BB">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7467897A" wp14:textId="2C320B3B">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771686078" w:id="1427198547"/>
      <w:r w:rsidRPr="556DED5B" w:rsidR="0A42A7C6">
        <w:rPr>
          <w:rFonts w:ascii="Calibri Light" w:hAnsi="Calibri Light" w:eastAsia="Calibri Light" w:cs="Calibri Light"/>
          <w:b w:val="0"/>
          <w:bCs w:val="0"/>
          <w:i w:val="0"/>
          <w:iCs w:val="0"/>
          <w:caps w:val="0"/>
          <w:smallCaps w:val="0"/>
          <w:noProof w:val="0"/>
          <w:color w:val="2E74B5"/>
          <w:sz w:val="26"/>
          <w:szCs w:val="26"/>
          <w:lang w:val="en-US"/>
        </w:rPr>
        <w:t>Areas for improvement in future presentations</w:t>
      </w:r>
      <w:bookmarkEnd w:id="1427198547"/>
    </w:p>
    <w:p xmlns:wp14="http://schemas.microsoft.com/office/word/2010/wordml" w:rsidP="7D013647" wp14:paraId="30CCD2D9" wp14:textId="3BD924FF">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self-review the presentation was successful and delivered the aim of introducing the presenter. Both professional and personal aspects were covered introducing job responsibilities and personal qualities such as hobbies and interests. The delivery off the presentation was smooth following the structure stated at the beginning and was also within the timeframe of 5 minutes with time for questions at the end. Delivery was loud and clear to the whole room. </w:t>
      </w:r>
    </w:p>
    <w:p xmlns:wp14="http://schemas.microsoft.com/office/word/2010/wordml" w:rsidP="7D013647" wp14:paraId="05F50058" wp14:textId="71C2EB00">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20492B2F" wp14:textId="02D7966C">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Improvements that could be made for next time include pace of speech when delivering as talking quite fast can cause the audience not to follow the speech. Using something interactive in the presentation would also be beneficial to engage the audience. For example, a game/quiz or a poll to a question. This would engage the audience and make them feel more involved throughout.</w:t>
      </w:r>
    </w:p>
    <w:p xmlns:wp14="http://schemas.microsoft.com/office/word/2010/wordml" w:rsidP="7D013647" wp14:paraId="0F9DFD6D" wp14:textId="7EFE5EE8">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B02BEBB" wp14:textId="6F5DC4AF">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EAFFD45" wp14:textId="01DC597E">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7C5A2CB" wp14:textId="32F04A6C">
      <w:pPr>
        <w:pStyle w:val="Normal"/>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7D8C0A2D" wp14:textId="613D90CF">
      <w:pPr>
        <w:pStyle w:val="Heading1"/>
        <w:keepNext w:val="1"/>
        <w:keepLines w:val="1"/>
        <w:spacing w:before="360" w:after="80" w:line="279" w:lineRule="auto"/>
        <w:rPr>
          <w:rFonts w:ascii="Calibri" w:hAnsi="Calibri" w:eastAsia="Calibri" w:cs="Calibri"/>
          <w:b w:val="0"/>
          <w:bCs w:val="0"/>
          <w:i w:val="0"/>
          <w:iCs w:val="0"/>
          <w:caps w:val="0"/>
          <w:smallCaps w:val="0"/>
          <w:noProof w:val="0"/>
          <w:color w:val="00B050"/>
          <w:sz w:val="22"/>
          <w:szCs w:val="22"/>
          <w:lang w:val="en-US"/>
        </w:rPr>
      </w:pPr>
      <w:bookmarkStart w:name="_Toc832460570" w:id="2071960127"/>
      <w:r w:rsidRPr="556DED5B" w:rsidR="0A42A7C6">
        <w:rPr>
          <w:rFonts w:ascii="Calibri Light" w:hAnsi="Calibri Light" w:eastAsia="Calibri Light" w:cs="Calibri Light"/>
          <w:b w:val="0"/>
          <w:bCs w:val="0"/>
          <w:i w:val="0"/>
          <w:iCs w:val="0"/>
          <w:caps w:val="0"/>
          <w:smallCaps w:val="0"/>
          <w:noProof w:val="0"/>
          <w:color w:val="2E74B5"/>
          <w:sz w:val="40"/>
          <w:szCs w:val="40"/>
          <w:lang w:val="en-US"/>
        </w:rPr>
        <w:t>Section 2: Skills Evaluation</w:t>
      </w:r>
      <w:bookmarkEnd w:id="2071960127"/>
      <w:r w:rsidRPr="556DED5B" w:rsidR="0A42A7C6">
        <w:rPr>
          <w:rFonts w:ascii="Calibri Light" w:hAnsi="Calibri Light" w:eastAsia="Calibri Light" w:cs="Calibri Light"/>
          <w:b w:val="0"/>
          <w:bCs w:val="0"/>
          <w:i w:val="0"/>
          <w:iCs w:val="0"/>
          <w:caps w:val="0"/>
          <w:smallCaps w:val="0"/>
          <w:noProof w:val="0"/>
          <w:color w:val="2E74B5"/>
          <w:sz w:val="40"/>
          <w:szCs w:val="40"/>
          <w:lang w:val="en-US"/>
        </w:rPr>
        <w:t> </w:t>
      </w:r>
      <w:r w:rsidRPr="556DED5B" w:rsidR="0A42A7C6">
        <w:rPr>
          <w:rStyle w:val="eop"/>
          <w:rFonts w:ascii="Calibri" w:hAnsi="Calibri" w:eastAsia="Calibri" w:cs="Calibri"/>
          <w:b w:val="0"/>
          <w:bCs w:val="0"/>
          <w:i w:val="0"/>
          <w:iCs w:val="0"/>
          <w:caps w:val="0"/>
          <w:smallCaps w:val="0"/>
          <w:noProof w:val="0"/>
          <w:color w:val="00B050"/>
          <w:sz w:val="22"/>
          <w:szCs w:val="22"/>
          <w:lang w:val="en-US"/>
        </w:rPr>
        <w:t> </w:t>
      </w:r>
    </w:p>
    <w:p xmlns:wp14="http://schemas.microsoft.com/office/word/2010/wordml" w:rsidP="556DED5B" wp14:paraId="52BD85C3" wp14:textId="397D89CF">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2105964398" w:id="844119657"/>
      <w:r w:rsidRPr="556DED5B" w:rsidR="0A42A7C6">
        <w:rPr>
          <w:rFonts w:ascii="Calibri Light" w:hAnsi="Calibri Light" w:eastAsia="Calibri Light" w:cs="Calibri Light"/>
          <w:b w:val="0"/>
          <w:bCs w:val="0"/>
          <w:i w:val="0"/>
          <w:iCs w:val="0"/>
          <w:caps w:val="0"/>
          <w:smallCaps w:val="0"/>
          <w:noProof w:val="0"/>
          <w:color w:val="2E74B5"/>
          <w:sz w:val="26"/>
          <w:szCs w:val="26"/>
          <w:lang w:val="en-GB"/>
        </w:rPr>
        <w:t xml:space="preserve">Skills </w:t>
      </w:r>
      <w:r w:rsidRPr="556DED5B" w:rsidR="0A42A7C6">
        <w:rPr>
          <w:rFonts w:ascii="Calibri Light" w:hAnsi="Calibri Light" w:eastAsia="Calibri Light" w:cs="Calibri Light"/>
          <w:b w:val="0"/>
          <w:bCs w:val="0"/>
          <w:i w:val="0"/>
          <w:iCs w:val="0"/>
          <w:caps w:val="0"/>
          <w:smallCaps w:val="0"/>
          <w:noProof w:val="0"/>
          <w:color w:val="2E74B5"/>
          <w:sz w:val="26"/>
          <w:szCs w:val="26"/>
          <w:lang w:val="en-GB"/>
        </w:rPr>
        <w:t>required</w:t>
      </w:r>
      <w:r w:rsidRPr="556DED5B" w:rsidR="0A42A7C6">
        <w:rPr>
          <w:rFonts w:ascii="Calibri Light" w:hAnsi="Calibri Light" w:eastAsia="Calibri Light" w:cs="Calibri Light"/>
          <w:b w:val="0"/>
          <w:bCs w:val="0"/>
          <w:i w:val="0"/>
          <w:iCs w:val="0"/>
          <w:caps w:val="0"/>
          <w:smallCaps w:val="0"/>
          <w:noProof w:val="0"/>
          <w:color w:val="2E74B5"/>
          <w:sz w:val="26"/>
          <w:szCs w:val="26"/>
          <w:lang w:val="en-GB"/>
        </w:rPr>
        <w:t xml:space="preserve"> for successful learning in Higher Education</w:t>
      </w:r>
      <w:bookmarkEnd w:id="844119657"/>
    </w:p>
    <w:p xmlns:wp14="http://schemas.microsoft.com/office/word/2010/wordml" w:rsidP="7D013647" wp14:paraId="151F1368" wp14:textId="289EF40C">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075DC93F" wp14:textId="6ED80A99">
      <w:pPr>
        <w:pStyle w:val="paragraph"/>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Higher Education (HE) is the next step up in study from further education. There are expectations in HE for more work to be completed individually with less direction. As it is expected for independent study to be completed programmes and reading lists are supplied to complete reading around subjects covered in the course.</w:t>
      </w:r>
    </w:p>
    <w:p xmlns:wp14="http://schemas.microsoft.com/office/word/2010/wordml" w:rsidP="7D013647" wp14:paraId="6523B432" wp14:textId="005869F4">
      <w:pPr>
        <w:spacing w:after="0" w:line="360" w:lineRule="auto"/>
        <w:ind w:left="108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13B7358" wp14:textId="351FEBE8">
      <w:pPr>
        <w:pStyle w:val="paragraph"/>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Throughout higher education there are a range of skills, both practical and academic, required to succeed and maintain a healthy lifestyle ranging from note taking to budgeting  [2] . Highlighted by many universities including London School of science and Technology are skills including communication, writing skills, critical thinking and time management  [3] .</w:t>
      </w:r>
    </w:p>
    <w:p xmlns:wp14="http://schemas.microsoft.com/office/word/2010/wordml" w:rsidP="7D013647" wp14:paraId="34F1211C" wp14:textId="68604819">
      <w:pPr>
        <w:spacing w:after="0" w:line="360" w:lineRule="auto"/>
        <w:ind w:left="108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A8BFF26" wp14:textId="0AD4BE29">
      <w:pPr>
        <w:pStyle w:val="paragraph"/>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Time management is the ability to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plan ahead</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prioritise tasks and avoid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procrastination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4</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is important with both assignments and exams to meet deadlines and ensure preparedness for exams. Using aids such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planners and check lists can help improve time management such as the check list in appendix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5</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7B9C2454" wp14:textId="1516D724">
      <w:pPr>
        <w:spacing w:after="0" w:line="360" w:lineRule="auto"/>
        <w:ind w:left="108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D4028A4" wp14:textId="20F999B5">
      <w:pPr>
        <w:pStyle w:val="paragraph"/>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Communication is important both verbally and written as work can be expected to be delivered either way in a HE environment. Having good communication ensures that ideas can be clearly presented and understood by others. Good communication also includes the ability to listen and ask questions if something is not understood.</w:t>
      </w:r>
    </w:p>
    <w:p xmlns:wp14="http://schemas.microsoft.com/office/word/2010/wordml" w:rsidP="7D013647" wp14:paraId="7379DD7C" wp14:textId="710D1C84">
      <w:pPr>
        <w:spacing w:after="0" w:line="360" w:lineRule="auto"/>
        <w:ind w:left="108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AA8F02B" wp14:textId="064CF330">
      <w:pPr>
        <w:pStyle w:val="paragraph"/>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Critical thinking involves analysing and evaluating information to create your own assessment and conclusion from information  [6] . This is important as it develops independent thinking and helps create realistic and backed up arguments. Having all these skills will improve performance throughout higher education and improve success.</w:t>
      </w:r>
    </w:p>
    <w:p xmlns:wp14="http://schemas.microsoft.com/office/word/2010/wordml" w:rsidP="7D013647" wp14:paraId="3077116B" wp14:textId="3178CB94">
      <w:pPr>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663344C" wp14:textId="3BC81089">
      <w:pPr>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52F0BA0" wp14:textId="7319068C">
      <w:pPr>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5914C34" wp14:textId="44D00F3E">
      <w:pPr>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81EDD86" wp14:textId="0F1EC76A">
      <w:pPr>
        <w:pStyle w:val="Normal"/>
        <w:spacing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B3EE382" wp14:textId="495BA339">
      <w:pPr>
        <w:spacing w:after="0" w:line="240" w:lineRule="auto"/>
        <w:ind w:left="1080"/>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556DED5B" wp14:paraId="325F6727" wp14:textId="3A7C3E18">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640054364" w:id="72718256"/>
      <w:r w:rsidRPr="556DED5B" w:rsidR="0A42A7C6">
        <w:rPr>
          <w:rFonts w:ascii="Calibri Light" w:hAnsi="Calibri Light" w:eastAsia="Calibri Light" w:cs="Calibri Light"/>
          <w:b w:val="0"/>
          <w:bCs w:val="0"/>
          <w:i w:val="0"/>
          <w:iCs w:val="0"/>
          <w:caps w:val="0"/>
          <w:smallCaps w:val="0"/>
          <w:noProof w:val="0"/>
          <w:color w:val="2E74B5"/>
          <w:sz w:val="26"/>
          <w:szCs w:val="26"/>
          <w:lang w:val="en-GB"/>
        </w:rPr>
        <w:t>Transferrable skills employers look for in prospective job candidates.</w:t>
      </w:r>
      <w:bookmarkEnd w:id="72718256"/>
      <w:r w:rsidRPr="556DED5B" w:rsidR="0A42A7C6">
        <w:rPr>
          <w:rFonts w:ascii="Calibri Light" w:hAnsi="Calibri Light" w:eastAsia="Calibri Light" w:cs="Calibri Light"/>
          <w:b w:val="0"/>
          <w:bCs w:val="0"/>
          <w:i w:val="0"/>
          <w:iCs w:val="0"/>
          <w:caps w:val="0"/>
          <w:smallCaps w:val="0"/>
          <w:noProof w:val="0"/>
          <w:color w:val="2E74B5"/>
          <w:sz w:val="26"/>
          <w:szCs w:val="26"/>
          <w:lang w:val="en-GB"/>
        </w:rPr>
        <w:t> </w:t>
      </w:r>
    </w:p>
    <w:p xmlns:wp14="http://schemas.microsoft.com/office/word/2010/wordml" w:rsidP="7D013647" wp14:paraId="3F03BD76" wp14:textId="5344E26B">
      <w:pPr>
        <w:spacing w:after="0" w:line="240" w:lineRule="auto"/>
        <w:ind w:left="1080"/>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5D5F9716" wp14:textId="7F42D1E6">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Transferable skills are defined as “skills that you use in every job”</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[7]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could be skills gained in the workplace or skills gained outside of work that be transferred to the workplace. Transferable skills include hard skills such as practical skills and knowledge gained through experience. Soft skills are abilities or general traits developed throughout life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[8] .</w:t>
      </w:r>
    </w:p>
    <w:p xmlns:wp14="http://schemas.microsoft.com/office/word/2010/wordml" w:rsidP="7D013647" wp14:paraId="4F460995" wp14:textId="65619F4C">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B11FF2A" wp14:textId="573E29B4">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Some examples of soft skills include communication, leadership, teamwork and decision-making. Employers look for soft skills in applicants as they differ from person to person and can determine how well a person will suit a role and how they would suit a workplace. More than two thirds of employers say they value soft skills more than educational qualifications due to them being more highly rated and essential in the workplace  [9] . </w:t>
      </w:r>
    </w:p>
    <w:p xmlns:wp14="http://schemas.microsoft.com/office/word/2010/wordml" w:rsidP="7D013647" wp14:paraId="246EDABC" wp14:textId="0CC6CDBF">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Examples of hard skills include subject specific knowledge, skills and qualifications. For example, an engineer may be required to have a specific degree in the industry and knowledge of systems/programmes. These are required to perform tasks and jobs necessary to the role. Hard skills can be improved by completing qualifications or courses and completing activities to improve knowledge.</w:t>
      </w:r>
    </w:p>
    <w:p xmlns:wp14="http://schemas.microsoft.com/office/word/2010/wordml" w:rsidP="7D013647" wp14:paraId="18032B03" wp14:textId="40E0E755">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Looking at an application for an apprenticeship, they require more soft skills than hard skills due to them being a pathway into a career aimed at school leavers. In Appendix 2 the desired skills include self-motivation and eagerness to learn which are both soft skills and more development based. However, for a manager role in the same industry there are more hard skills required with subject specific knowledge and qualifications shown in Appendix 3.</w:t>
      </w:r>
    </w:p>
    <w:p xmlns:wp14="http://schemas.microsoft.com/office/word/2010/wordml" w:rsidP="7D013647" wp14:paraId="5201A37B" wp14:textId="4817EAAB">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CA4EDFF" wp14:textId="32BDA317">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C1F5D96" wp14:textId="2162F35C">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E5333D8" wp14:textId="534B52BC">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A520BBD" wp14:textId="1B76CCC0">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50666FF" wp14:textId="0F3F3452">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8B95350" wp14:textId="00E941F5">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1D7C2784" wp14:textId="0B973EE0">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744292100" w:id="160105173"/>
      <w:r w:rsidRPr="556DED5B" w:rsidR="0A42A7C6">
        <w:rPr>
          <w:rFonts w:ascii="Calibri Light" w:hAnsi="Calibri Light" w:eastAsia="Calibri Light" w:cs="Calibri Light"/>
          <w:b w:val="0"/>
          <w:bCs w:val="0"/>
          <w:i w:val="0"/>
          <w:iCs w:val="0"/>
          <w:caps w:val="0"/>
          <w:smallCaps w:val="0"/>
          <w:noProof w:val="0"/>
          <w:color w:val="2E74B5"/>
          <w:sz w:val="26"/>
          <w:szCs w:val="26"/>
          <w:lang w:val="en-GB"/>
        </w:rPr>
        <w:t>Completed self-evaluation exercises</w:t>
      </w:r>
      <w:bookmarkEnd w:id="160105173"/>
    </w:p>
    <w:p xmlns:wp14="http://schemas.microsoft.com/office/word/2010/wordml" w:rsidP="7D013647" wp14:paraId="38E254DA" wp14:textId="2B170887">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45376BF1" wp14:textId="0DBE60FA">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The Myres-Briggs indicator suggests there are 16 different personality types and focus on four functions rooting from Carl Jung’s theory of physiological types</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[10]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The tests are self-critical and therefore require self-judgement to be used when answering questions. Takers of the test can also get other people’s opinions however this may cause differing opinions and therefore not make results accurate.</w:t>
      </w:r>
    </w:p>
    <w:p xmlns:wp14="http://schemas.microsoft.com/office/word/2010/wordml" w:rsidP="7D013647" wp14:paraId="7E0C4828" wp14:textId="1AE538C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17B4D67" wp14:textId="26495CBE">
      <w:pPr>
        <w:keepNext w:val="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03E5BF61" wp14:anchorId="6955BA3D">
            <wp:extent cx="3333750" cy="3676650"/>
            <wp:effectExtent l="0" t="0" r="0" b="0"/>
            <wp:docPr id="670794848" name="" title=""/>
            <wp:cNvGraphicFramePr>
              <a:graphicFrameLocks noChangeAspect="1"/>
            </wp:cNvGraphicFramePr>
            <a:graphic>
              <a:graphicData uri="http://schemas.openxmlformats.org/drawingml/2006/picture">
                <pic:pic>
                  <pic:nvPicPr>
                    <pic:cNvPr id="0" name=""/>
                    <pic:cNvPicPr/>
                  </pic:nvPicPr>
                  <pic:blipFill>
                    <a:blip r:embed="Red375d4f55be4775">
                      <a:extLst>
                        <a:ext xmlns:a="http://schemas.openxmlformats.org/drawingml/2006/main" uri="{28A0092B-C50C-407E-A947-70E740481C1C}">
                          <a14:useLocalDpi val="0"/>
                        </a:ext>
                      </a:extLst>
                    </a:blip>
                    <a:stretch>
                      <a:fillRect/>
                    </a:stretch>
                  </pic:blipFill>
                  <pic:spPr>
                    <a:xfrm>
                      <a:off x="0" y="0"/>
                      <a:ext cx="3333750" cy="3676650"/>
                    </a:xfrm>
                    <a:prstGeom prst="rect">
                      <a:avLst/>
                    </a:prstGeom>
                  </pic:spPr>
                </pic:pic>
              </a:graphicData>
            </a:graphic>
          </wp:inline>
        </w:drawing>
      </w:r>
    </w:p>
    <w:p xmlns:wp14="http://schemas.microsoft.com/office/word/2010/wordml" w:rsidP="7D013647" wp14:paraId="16A11343" wp14:textId="4A3E429C">
      <w:pPr>
        <w:spacing w:after="200" w:line="24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Figure 5- Results from test at My Personality Test</w:t>
      </w:r>
    </w:p>
    <w:p xmlns:wp14="http://schemas.microsoft.com/office/word/2010/wordml" w:rsidP="556DED5B" wp14:paraId="542C0A11" wp14:textId="191F46B4">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637087264" w:id="1435119483"/>
      <w:r w:rsidRPr="556DED5B" w:rsidR="0A42A7C6">
        <w:rPr>
          <w:rFonts w:ascii="Calibri Light" w:hAnsi="Calibri Light" w:eastAsia="Calibri Light" w:cs="Calibri Light"/>
          <w:b w:val="0"/>
          <w:bCs w:val="0"/>
          <w:i w:val="0"/>
          <w:iCs w:val="0"/>
          <w:caps w:val="0"/>
          <w:smallCaps w:val="0"/>
          <w:noProof w:val="0"/>
          <w:color w:val="2E74B5"/>
          <w:sz w:val="26"/>
          <w:szCs w:val="26"/>
          <w:lang w:val="en-GB"/>
        </w:rPr>
        <w:t>Strengths and weaknesses of personality type</w:t>
      </w:r>
      <w:bookmarkEnd w:id="1435119483"/>
    </w:p>
    <w:p xmlns:wp14="http://schemas.microsoft.com/office/word/2010/wordml" w:rsidP="7D013647" wp14:paraId="0563086C" wp14:textId="6741092A">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Through completing various personality tests online results gave various answers such as the activist, the entertainer and the explorer. All these results had the similar values and all within the ESTP group (Extroverted, Sensing, Thinking, Perceiving). The test conducted on 16 personalities gave the personality type the activist and highlighted strengths such as building connections and quick problem solving which apply to the author.</w:t>
      </w:r>
    </w:p>
    <w:p xmlns:wp14="http://schemas.microsoft.com/office/word/2010/wordml" w:rsidP="7D013647" wp14:paraId="03CB58A0" wp14:textId="605FC16C">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B306ECD" wp14:textId="60E618E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It also showed weaknesses including short term focus and acting without thinking. These are qualities the author was self-aware of before conducting these tests. A test completed on Truity (Appendix 4) suggested that the ESTP type is excellent in emergencies, however this is not a true reflection of the author as sometimes these environments cause nervousness and overwhelming feelings.  </w:t>
      </w:r>
    </w:p>
    <w:p xmlns:wp14="http://schemas.microsoft.com/office/word/2010/wordml" w:rsidP="7D013647" wp14:paraId="3215F115" wp14:textId="4E40824D">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5B5F930" wp14:textId="02A57464">
      <w:pPr>
        <w:keepNext w:val="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20426DDA" wp14:anchorId="2507F0EE">
            <wp:extent cx="3771900" cy="2000250"/>
            <wp:effectExtent l="0" t="0" r="0" b="0"/>
            <wp:docPr id="605138948" name="" title=""/>
            <wp:cNvGraphicFramePr>
              <a:graphicFrameLocks noChangeAspect="1"/>
            </wp:cNvGraphicFramePr>
            <a:graphic>
              <a:graphicData uri="http://schemas.openxmlformats.org/drawingml/2006/picture">
                <pic:pic>
                  <pic:nvPicPr>
                    <pic:cNvPr id="0" name=""/>
                    <pic:cNvPicPr/>
                  </pic:nvPicPr>
                  <pic:blipFill>
                    <a:blip r:embed="Rc8ce833dfccc454c">
                      <a:extLst>
                        <a:ext xmlns:a="http://schemas.openxmlformats.org/drawingml/2006/main" uri="{28A0092B-C50C-407E-A947-70E740481C1C}">
                          <a14:useLocalDpi val="0"/>
                        </a:ext>
                      </a:extLst>
                    </a:blip>
                    <a:stretch>
                      <a:fillRect/>
                    </a:stretch>
                  </pic:blipFill>
                  <pic:spPr>
                    <a:xfrm>
                      <a:off x="0" y="0"/>
                      <a:ext cx="3771900" cy="2000250"/>
                    </a:xfrm>
                    <a:prstGeom prst="rect">
                      <a:avLst/>
                    </a:prstGeom>
                  </pic:spPr>
                </pic:pic>
              </a:graphicData>
            </a:graphic>
          </wp:inline>
        </w:drawing>
      </w:r>
    </w:p>
    <w:p xmlns:wp14="http://schemas.microsoft.com/office/word/2010/wordml" w:rsidP="7D013647" wp14:paraId="0F021C38" wp14:textId="0BCF6FE6">
      <w:pPr>
        <w:spacing w:after="200" w:line="24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Figure 6 - Strengths and weaknesses highlighted by 16 personalities</w:t>
      </w:r>
    </w:p>
    <w:p xmlns:wp14="http://schemas.microsoft.com/office/word/2010/wordml" w:rsidP="7D013647" wp14:paraId="7824A8F0" wp14:textId="1EBAC8CB">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Some of the key characteristics of an ESTP personality type include prefer practical over the abstract, have strong social skills and act impulsively at times which are applicable to the author</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[11]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Weaknesses with this personality type highlighted being perceived as insensitive</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[11]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is not how the author perceived herself before the test but upon reflection can notice how this applies. This is an area for improvement and development to be focused on in the future. To improve this more attention should be payed to see how others around them are feeling and how situations can be improved.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71262545" wp14:textId="59A7CA2B">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4B71FE0D" wp14:textId="29315A2C">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2031465114" w:id="1798770575"/>
      <w:r w:rsidRPr="556DED5B" w:rsidR="0A42A7C6">
        <w:rPr>
          <w:rFonts w:ascii="Calibri Light" w:hAnsi="Calibri Light" w:eastAsia="Calibri Light" w:cs="Calibri Light"/>
          <w:b w:val="0"/>
          <w:bCs w:val="0"/>
          <w:i w:val="0"/>
          <w:iCs w:val="0"/>
          <w:caps w:val="0"/>
          <w:smallCaps w:val="0"/>
          <w:noProof w:val="0"/>
          <w:color w:val="2E74B5"/>
          <w:sz w:val="26"/>
          <w:szCs w:val="26"/>
          <w:lang w:val="en-GB"/>
        </w:rPr>
        <w:t>Suitable career suggestions</w:t>
      </w:r>
      <w:bookmarkEnd w:id="1798770575"/>
    </w:p>
    <w:p xmlns:wp14="http://schemas.microsoft.com/office/word/2010/wordml" w:rsidP="7D013647" wp14:paraId="17B27D96" wp14:textId="6C07A4E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5D55E13" wp14:textId="15D4FC7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It is suggested that ESTP personality types are best in jobs working with others and fast paced to easy tedium. It is suggested that ETSP’s do well in careers such as sales and marketing</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[11]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however the author feels the OME technician role is applicable to this personality type due to the fast-paced work, varying routine and varying tasks.</w:t>
      </w:r>
    </w:p>
    <w:p xmlns:wp14="http://schemas.microsoft.com/office/word/2010/wordml" w:rsidP="7D013647" wp14:paraId="3B7287C2" wp14:textId="7BFEC45C">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1FC20B9" wp14:textId="6565DA39">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20A8422A" wp14:textId="16F5BCA2">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7143BC32" wp14:textId="1F3FEA28">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0A15A110" wp14:textId="7ECF4244">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16E5D616" wp14:textId="51DE309C">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429A9321" wp14:textId="2398FE10">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2E550BDD" wp14:textId="3B335568">
      <w:pPr>
        <w:spacing w:before="0" w:beforeAutospacing="off" w:after="0" w:afterAutospacing="off" w:line="240" w:lineRule="auto"/>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53EA994B" wp14:textId="4B200FBB">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7D013647" wp14:paraId="2A0C8A88" wp14:textId="25EFAE7F">
      <w:pPr>
        <w:spacing w:before="0" w:beforeAutospacing="off" w:after="0" w:afterAutospacing="off" w:line="240" w:lineRule="auto"/>
        <w:rPr>
          <w:rFonts w:ascii="Calibri" w:hAnsi="Calibri" w:eastAsia="Calibri" w:cs="Calibri"/>
          <w:b w:val="0"/>
          <w:bCs w:val="0"/>
          <w:i w:val="0"/>
          <w:iCs w:val="0"/>
          <w:caps w:val="0"/>
          <w:smallCaps w:val="0"/>
          <w:noProof w:val="0"/>
          <w:color w:val="00B050"/>
          <w:sz w:val="22"/>
          <w:szCs w:val="22"/>
          <w:lang w:val="en-US"/>
        </w:rPr>
      </w:pPr>
    </w:p>
    <w:p xmlns:wp14="http://schemas.microsoft.com/office/word/2010/wordml" w:rsidP="556DED5B" wp14:paraId="502770E9" wp14:textId="2846450C">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379535232" w:id="323601749"/>
      <w:r w:rsidRPr="556DED5B" w:rsidR="0A42A7C6">
        <w:rPr>
          <w:rFonts w:ascii="Calibri Light" w:hAnsi="Calibri Light" w:eastAsia="Calibri Light" w:cs="Calibri Light"/>
          <w:b w:val="0"/>
          <w:bCs w:val="0"/>
          <w:i w:val="0"/>
          <w:iCs w:val="0"/>
          <w:caps w:val="0"/>
          <w:smallCaps w:val="0"/>
          <w:noProof w:val="0"/>
          <w:color w:val="2E74B5"/>
          <w:sz w:val="26"/>
          <w:szCs w:val="26"/>
          <w:lang w:val="en-GB"/>
        </w:rPr>
        <w:t>Long and short term</w:t>
      </w:r>
      <w:r w:rsidRPr="556DED5B" w:rsidR="0A42A7C6">
        <w:rPr>
          <w:rFonts w:ascii="Calibri Light" w:hAnsi="Calibri Light" w:eastAsia="Calibri Light" w:cs="Calibri Light"/>
          <w:b w:val="0"/>
          <w:bCs w:val="0"/>
          <w:i w:val="0"/>
          <w:iCs w:val="0"/>
          <w:caps w:val="0"/>
          <w:smallCaps w:val="0"/>
          <w:noProof w:val="0"/>
          <w:color w:val="2E74B5"/>
          <w:sz w:val="26"/>
          <w:szCs w:val="26"/>
          <w:lang w:val="en-GB"/>
        </w:rPr>
        <w:t xml:space="preserve"> goals</w:t>
      </w:r>
      <w:bookmarkEnd w:id="323601749"/>
    </w:p>
    <w:p xmlns:wp14="http://schemas.microsoft.com/office/word/2010/wordml" w:rsidP="7D013647" wp14:paraId="44F0C031" wp14:textId="3363B0E7">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3D5AFF7" wp14:textId="21736EA4">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Setting goals will help improve both professional and personal motivation. They create an aim to work towards and create a sense of accomplishment. One method of doing this is to create S.M.A.R.T (Specific, Measurable, Achievable, Relevant, Time Bound) goals. Using this structure creates a well-defined and manageable goals. This can be applied to both long- and short-term goals as well as personal and professional as below: </w:t>
      </w:r>
    </w:p>
    <w:p xmlns:wp14="http://schemas.microsoft.com/office/word/2010/wordml" w:rsidP="7D013647" wp14:paraId="1B052C54" wp14:textId="530E201A">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14D86F4F" wp14:textId="17E6EDF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Short Term Goal 1- Revise consistently and keep up to date with work, ensuring time is spent on topics which require additional practice. </w:t>
      </w:r>
    </w:p>
    <w:p xmlns:wp14="http://schemas.microsoft.com/office/word/2010/wordml" w:rsidP="556DED5B" wp14:paraId="0183C19D" wp14:textId="240FE3E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S</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Ensure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time is spent revising difficult topics from classes. </w:t>
      </w:r>
    </w:p>
    <w:p xmlns:wp14="http://schemas.microsoft.com/office/word/2010/wordml" w:rsidP="556DED5B" wp14:paraId="26591C69" wp14:textId="1A420ED7">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M</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Using the weekly planner spend at least 2 hours on difficult topics or until comfortable with the topics. </w:t>
      </w:r>
    </w:p>
    <w:p xmlns:wp14="http://schemas.microsoft.com/office/word/2010/wordml" w:rsidP="556DED5B" wp14:paraId="05CDBCDD" wp14:textId="5B4BD52B">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A</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Spare time to spend on completing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research and practice as well as available help from tutors and fellow students. </w:t>
      </w:r>
    </w:p>
    <w:p xmlns:wp14="http://schemas.microsoft.com/office/word/2010/wordml" w:rsidP="556DED5B" wp14:paraId="33639776" wp14:textId="61A3D328">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 xml:space="preserve">R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Improves knowledge on whole module and relevant to assignments and course. </w:t>
      </w:r>
    </w:p>
    <w:p xmlns:wp14="http://schemas.microsoft.com/office/word/2010/wordml" w:rsidP="556DED5B" wp14:paraId="3AFEB280" wp14:textId="5428DB68">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T</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Knowledge to be up to date before exams or assignment due dates which varies throughout each semester. </w:t>
      </w:r>
    </w:p>
    <w:p xmlns:wp14="http://schemas.microsoft.com/office/word/2010/wordml" w:rsidP="7D013647" wp14:paraId="3A1DC34D" wp14:textId="5697E94F">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287FDDE2" wp14:textId="02FB9BFE">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Short Term Goal 2 – Become more confident in day-to-day duties in the workplace </w:t>
      </w:r>
    </w:p>
    <w:p xmlns:wp14="http://schemas.microsoft.com/office/word/2010/wordml" w:rsidP="556DED5B" wp14:paraId="6DEFF67F" wp14:textId="1E74C52E">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S</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Become a more valued team member with a higher skill set and greater amounts of confidence in daily duties. </w:t>
      </w:r>
    </w:p>
    <w:p xmlns:wp14="http://schemas.microsoft.com/office/word/2010/wordml" w:rsidP="556DED5B" wp14:paraId="63343CC8" wp14:textId="441C5A6D">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M</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Feedback from coworkers and self-evaluation on tasks to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areas that have been improved. </w:t>
      </w:r>
    </w:p>
    <w:p xmlns:wp14="http://schemas.microsoft.com/office/word/2010/wordml" w:rsidP="556DED5B" wp14:paraId="5031FBD6" wp14:textId="4EBC188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A</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Help from coworkers available to ask questions about what certain jobs are or how they are done as well as practical involvement. </w:t>
      </w:r>
    </w:p>
    <w:p xmlns:wp14="http://schemas.microsoft.com/office/word/2010/wordml" w:rsidP="556DED5B" wp14:paraId="1DB3FD80" wp14:textId="64A81875">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R</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Links directly to role and progression through apprenticeship to provide evidence for EPA. </w:t>
      </w:r>
    </w:p>
    <w:p xmlns:wp14="http://schemas.microsoft.com/office/word/2010/wordml" w:rsidP="556DED5B" wp14:paraId="1FD5038B" wp14:textId="32B33648">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T</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Goal to be more confident in three months with a wider range of knowledge on equipment and trials. </w:t>
      </w:r>
    </w:p>
    <w:p xmlns:wp14="http://schemas.microsoft.com/office/word/2010/wordml" w:rsidP="7D013647" wp14:paraId="32673501" wp14:textId="675DFF50">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76D4B453" wp14:textId="4B2C9093">
      <w:pPr>
        <w:spacing w:before="0" w:beforeAutospacing="off" w:after="0" w:afterAutospacing="off" w:line="360" w:lineRule="auto"/>
        <w:rPr>
          <w:rStyle w:val="eop"/>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649B6589" wp14:textId="751DCB60">
      <w:pPr>
        <w:spacing w:before="0" w:beforeAutospacing="off" w:after="0" w:afterAutospacing="off" w:line="360" w:lineRule="auto"/>
        <w:rPr>
          <w:rStyle w:val="eop"/>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5E5F149A" wp14:textId="429C1C9C">
      <w:pPr>
        <w:spacing w:before="0" w:beforeAutospacing="off" w:after="0" w:afterAutospacing="off" w:line="360" w:lineRule="auto"/>
        <w:rPr>
          <w:rStyle w:val="eop"/>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215D42C2" wp14:textId="10CAF3B2">
      <w:pPr>
        <w:spacing w:before="0" w:beforeAutospacing="off" w:after="0" w:afterAutospacing="off" w:line="360" w:lineRule="auto"/>
        <w:rPr>
          <w:rStyle w:val="eop"/>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6E7BC249" wp14:textId="20B23912">
      <w:pPr>
        <w:spacing w:before="0" w:beforeAutospacing="off" w:after="0" w:afterAutospacing="off" w:line="360" w:lineRule="auto"/>
        <w:rPr>
          <w:rStyle w:val="eop"/>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3FF0BD08" wp14:textId="4FA79A80">
      <w:pPr>
        <w:spacing w:before="0" w:beforeAutospacing="off" w:after="0" w:afterAutospacing="off" w:line="360" w:lineRule="auto"/>
        <w:rPr>
          <w:rStyle w:val="eop"/>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D013647" wp14:paraId="67CFD480" wp14:textId="3184852B">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Long Term Goal 1 – Discover a career pathway that would be interesting following the apprenticeship if not the current role. </w:t>
      </w:r>
    </w:p>
    <w:p xmlns:wp14="http://schemas.microsoft.com/office/word/2010/wordml" w:rsidP="556DED5B" wp14:paraId="7191F55D" wp14:textId="7741EE3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S</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Research at least 5 different pathways that are suitable for development and the skills and personal qualities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to progress into these roles. </w:t>
      </w:r>
    </w:p>
    <w:p xmlns:wp14="http://schemas.microsoft.com/office/word/2010/wordml" w:rsidP="556DED5B" wp14:paraId="6E998A3D" wp14:textId="3ED50121">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M</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Identify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various options</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have an idea which would be the best route to progress. </w:t>
      </w:r>
    </w:p>
    <w:p xmlns:wp14="http://schemas.microsoft.com/office/word/2010/wordml" w:rsidP="556DED5B" wp14:paraId="34A1475C" wp14:textId="5EDCE0FE">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A</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Discussions with coworkers and online research is acceptable to gather further information. </w:t>
      </w:r>
    </w:p>
    <w:p xmlns:wp14="http://schemas.microsoft.com/office/word/2010/wordml" w:rsidP="556DED5B" wp14:paraId="77747725" wp14:textId="4777987D">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R</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Focused on progression following the apprenticeship </w:t>
      </w:r>
    </w:p>
    <w:p xmlns:wp14="http://schemas.microsoft.com/office/word/2010/wordml" w:rsidP="556DED5B" wp14:paraId="6D3CB843" wp14:textId="64C5BAB8">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T</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Have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 good idea</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of a particular pathway by the end of the apprenticeship. </w:t>
      </w:r>
    </w:p>
    <w:p xmlns:wp14="http://schemas.microsoft.com/office/word/2010/wordml" w:rsidP="7D013647" wp14:paraId="21F2E596" wp14:textId="35BAB94D">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017DC47" wp14:textId="388080C0">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Long Term Goal 2 – Complete the Level 6 OME Apprenticeship  </w:t>
      </w:r>
    </w:p>
    <w:p xmlns:wp14="http://schemas.microsoft.com/office/word/2010/wordml" w:rsidP="556DED5B" wp14:paraId="5FF398FB" wp14:textId="5DAC92FF">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S</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Successfully complete the OME Level 6 Apprenticeship by passing the EPA and graduating from university. </w:t>
      </w:r>
    </w:p>
    <w:p xmlns:wp14="http://schemas.microsoft.com/office/word/2010/wordml" w:rsidP="556DED5B" wp14:paraId="37708C0D" wp14:textId="78CD171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M</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Progress is tracked using the e-portfolio and through exams and assignments </w:t>
      </w:r>
    </w:p>
    <w:p xmlns:wp14="http://schemas.microsoft.com/office/word/2010/wordml" w:rsidP="556DED5B" wp14:paraId="6686501E" wp14:textId="0F80F6A7">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A</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Adequate amounts of time within the workplace and university blocks to complete work to </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high standards</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56DED5B" wp14:paraId="676DFD90" wp14:textId="4B4AC8F0">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R</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The end goal of the apprenticeship is to complete the EPA and graduate with full time employment. </w:t>
      </w:r>
    </w:p>
    <w:p xmlns:wp14="http://schemas.microsoft.com/office/word/2010/wordml" w:rsidP="556DED5B" wp14:paraId="7BA603C2" wp14:textId="0398B956">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1"/>
          <w:bCs w:val="1"/>
          <w:i w:val="0"/>
          <w:iCs w:val="0"/>
          <w:caps w:val="0"/>
          <w:smallCaps w:val="0"/>
          <w:noProof w:val="0"/>
          <w:color w:val="000000" w:themeColor="text1" w:themeTint="FF" w:themeShade="FF"/>
          <w:sz w:val="22"/>
          <w:szCs w:val="22"/>
          <w:lang w:val="en-GB"/>
        </w:rPr>
        <w:t>T</w:t>
      </w: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 Apprenticeship to be completed by 2029 with regular progress reviews.</w:t>
      </w:r>
    </w:p>
    <w:p xmlns:wp14="http://schemas.microsoft.com/office/word/2010/wordml" w:rsidP="7D013647" wp14:paraId="0EC941DC" wp14:textId="546B3CD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01774CD" wp14:textId="7C58BFCD">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23C95AA" wp14:textId="50611A71">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C3EFF9B" wp14:textId="0D4868D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707BA6E" wp14:textId="3C5FD35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4A96DDE" wp14:textId="4D9F9F5E">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B2B7164" wp14:textId="18E4EC73">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714E4E4" wp14:textId="6A978FC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ACF6B00" wp14:textId="25A62B6F">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181503D" wp14:textId="210B83CA">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5F46377" wp14:textId="6157D9FB">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D4B9A07" wp14:textId="4239E599">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3D26682" wp14:textId="7C303F8A">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1471FE0" wp14:textId="0044D18D">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1308BF2C" wp14:textId="57F58D91">
      <w:pPr>
        <w:pStyle w:val="Heading1"/>
        <w:keepNext w:val="1"/>
        <w:keepLines w:val="1"/>
        <w:spacing w:before="360" w:after="80" w:line="279" w:lineRule="auto"/>
        <w:rPr>
          <w:rFonts w:ascii="Calibri Light" w:hAnsi="Calibri Light" w:eastAsia="Calibri Light" w:cs="Calibri Light"/>
          <w:b w:val="0"/>
          <w:bCs w:val="0"/>
          <w:i w:val="0"/>
          <w:iCs w:val="0"/>
          <w:caps w:val="0"/>
          <w:smallCaps w:val="0"/>
          <w:noProof w:val="0"/>
          <w:color w:val="2E74B5"/>
          <w:sz w:val="40"/>
          <w:szCs w:val="40"/>
          <w:lang w:val="en-US"/>
        </w:rPr>
      </w:pPr>
      <w:bookmarkStart w:name="_Toc954707187" w:id="649971994"/>
      <w:r w:rsidRPr="556DED5B" w:rsidR="0A42A7C6">
        <w:rPr>
          <w:rFonts w:ascii="Calibri Light" w:hAnsi="Calibri Light" w:eastAsia="Calibri Light" w:cs="Calibri Light"/>
          <w:b w:val="0"/>
          <w:bCs w:val="0"/>
          <w:i w:val="0"/>
          <w:iCs w:val="0"/>
          <w:caps w:val="0"/>
          <w:smallCaps w:val="0"/>
          <w:noProof w:val="0"/>
          <w:color w:val="2E74B5"/>
          <w:sz w:val="40"/>
          <w:szCs w:val="40"/>
          <w:lang w:val="en-US"/>
        </w:rPr>
        <w:t>Section 3: Application</w:t>
      </w:r>
      <w:bookmarkEnd w:id="649971994"/>
      <w:r w:rsidRPr="556DED5B" w:rsidR="0A42A7C6">
        <w:rPr>
          <w:rFonts w:ascii="Calibri Light" w:hAnsi="Calibri Light" w:eastAsia="Calibri Light" w:cs="Calibri Light"/>
          <w:b w:val="0"/>
          <w:bCs w:val="0"/>
          <w:i w:val="0"/>
          <w:iCs w:val="0"/>
          <w:caps w:val="0"/>
          <w:smallCaps w:val="0"/>
          <w:noProof w:val="0"/>
          <w:color w:val="2E74B5"/>
          <w:sz w:val="40"/>
          <w:szCs w:val="40"/>
          <w:lang w:val="en-US"/>
        </w:rPr>
        <w:t>  </w:t>
      </w:r>
    </w:p>
    <w:p xmlns:wp14="http://schemas.microsoft.com/office/word/2010/wordml" w:rsidP="556DED5B" wp14:paraId="723A41D2" wp14:textId="4B2C430C">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613930358" w:id="1880404452"/>
      <w:r w:rsidRPr="556DED5B" w:rsidR="0A42A7C6">
        <w:rPr>
          <w:rFonts w:ascii="Calibri Light" w:hAnsi="Calibri Light" w:eastAsia="Calibri Light" w:cs="Calibri Light"/>
          <w:b w:val="0"/>
          <w:bCs w:val="0"/>
          <w:i w:val="0"/>
          <w:iCs w:val="0"/>
          <w:caps w:val="0"/>
          <w:smallCaps w:val="0"/>
          <w:noProof w:val="0"/>
          <w:color w:val="2E74B5"/>
          <w:sz w:val="26"/>
          <w:szCs w:val="26"/>
          <w:lang w:val="en-GB"/>
        </w:rPr>
        <w:t>Back up Strategy for data</w:t>
      </w:r>
      <w:bookmarkEnd w:id="1880404452"/>
    </w:p>
    <w:p xmlns:wp14="http://schemas.microsoft.com/office/word/2010/wordml" w:rsidP="7D013647" wp14:paraId="321B5A8C" wp14:textId="43FF0DEB">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The 3 different places rule is used when storing data. It highlights the importance of always storing multiple copies of data. This rule suggests having at least three copies on two devices and having 1 offsite such as on a different device. The method used by the author involves storing data on 2 separate devices and an online cloud.  For sensitive data such as workplace evidence for the end point assessment, this can only be stored on a works device. </w:t>
      </w:r>
    </w:p>
    <w:p xmlns:wp14="http://schemas.microsoft.com/office/word/2010/wordml" w:rsidP="7D013647" wp14:paraId="5D024AD9" wp14:textId="4F11D15C">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 device such as an external hard drive could also be used as they offer large storage capacities and are portable. They are also relatively easy to use and relatively cheap. However, these devices are often fragile and can be easily broken or lost due to their small size. Losing or breaking this device would cause data to be lost and has security risks if data was sensitive. Although encryptions could be used this method is not as reliable as using an online storage method. Chosen not to use a device such as an external hard drive due to them being easily lost and minimal security</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[12] </w:t>
      </w: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7D013647" wp14:paraId="6A553CCA" wp14:textId="663D6A97">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60767B4" wp14:textId="69D2F401">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Using an online storage method as well as storing on a device means it can be easily accessed on any device including mobiles and laptops. It can also be used for collaboration and allows multiple people to work on a document at the same time, which is beneficial for group work. Most online storage methods also offer multi factor authentication for additional security. However, disadvantages include a subscription must be purchased if not provided through an institution/workplace and can be expensive for some users. There is also the need for a network connection for updates on documents to be uploaded as they change and for uploading files. This means any changes that are made could be lost if the device does not connect to a network before the changes are saved. For example, if a device loses battery while offline the changes will not be saved, and the work will be lost. This method also backs up data whenever it is edited to ensure that data is the most up to date version.</w:t>
      </w:r>
    </w:p>
    <w:p xmlns:wp14="http://schemas.microsoft.com/office/word/2010/wordml" w:rsidP="7D013647" wp14:paraId="06FA175F" wp14:textId="5939D580">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D8B3287" wp14:textId="7171BB67">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7BD8053" wp14:textId="273C8AD6">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757AB56" wp14:textId="3CE2C538">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9E8ADC0" wp14:textId="4CAAEA3C">
      <w:pPr>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ECCEFE4" wp14:textId="49A30B77">
      <w:pPr>
        <w:pStyle w:val="Normal"/>
        <w:spacing w:beforeAutospacing="on" w:after="0" w:afterAutospacing="on"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0CFE82AF" wp14:textId="187E3342">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865695950" w:id="2129479034"/>
      <w:r w:rsidRPr="556DED5B" w:rsidR="0A42A7C6">
        <w:rPr>
          <w:rFonts w:ascii="Calibri Light" w:hAnsi="Calibri Light" w:eastAsia="Calibri Light" w:cs="Calibri Light"/>
          <w:b w:val="0"/>
          <w:bCs w:val="0"/>
          <w:i w:val="0"/>
          <w:iCs w:val="0"/>
          <w:caps w:val="0"/>
          <w:smallCaps w:val="0"/>
          <w:noProof w:val="0"/>
          <w:color w:val="2E74B5"/>
          <w:sz w:val="26"/>
          <w:szCs w:val="26"/>
          <w:lang w:val="en-GB"/>
        </w:rPr>
        <w:t>Time management and self-organisation:</w:t>
      </w:r>
      <w:bookmarkEnd w:id="2129479034"/>
      <w:r w:rsidRPr="556DED5B" w:rsidR="0A42A7C6">
        <w:rPr>
          <w:rFonts w:ascii="Calibri Light" w:hAnsi="Calibri Light" w:eastAsia="Calibri Light" w:cs="Calibri Light"/>
          <w:b w:val="0"/>
          <w:bCs w:val="0"/>
          <w:i w:val="0"/>
          <w:iCs w:val="0"/>
          <w:caps w:val="0"/>
          <w:smallCaps w:val="0"/>
          <w:noProof w:val="0"/>
          <w:color w:val="2E74B5"/>
          <w:sz w:val="26"/>
          <w:szCs w:val="26"/>
          <w:lang w:val="en-GB"/>
        </w:rPr>
        <w:t> </w:t>
      </w:r>
    </w:p>
    <w:p xmlns:wp14="http://schemas.microsoft.com/office/word/2010/wordml" w:rsidP="7D013647" wp14:paraId="7378EFA9" wp14:textId="26FE766D">
      <w:pPr>
        <w:spacing w:before="0" w:beforeAutospacing="off" w:after="0" w:afterAutospacing="off" w:line="240" w:lineRule="auto"/>
        <w:ind w:left="0"/>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1C3E3F5E" wp14:textId="37D167E7">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In order to improve organisation and routine which were highlighted as weaknesses in the personality tests an electronic weekly planner is used.</w:t>
      </w:r>
    </w:p>
    <w:p xmlns:wp14="http://schemas.microsoft.com/office/word/2010/wordml" w:rsidP="7D013647" wp14:paraId="5A7F1D30" wp14:textId="5E76727D">
      <w:pPr>
        <w:keepNext w:val="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227DA23E" wp14:anchorId="0E7FEEDC">
            <wp:extent cx="4686300" cy="3619500"/>
            <wp:effectExtent l="0" t="0" r="0" b="0"/>
            <wp:docPr id="1117820571" name="" title=""/>
            <wp:cNvGraphicFramePr>
              <a:graphicFrameLocks noChangeAspect="1"/>
            </wp:cNvGraphicFramePr>
            <a:graphic>
              <a:graphicData uri="http://schemas.openxmlformats.org/drawingml/2006/picture">
                <pic:pic>
                  <pic:nvPicPr>
                    <pic:cNvPr id="0" name=""/>
                    <pic:cNvPicPr/>
                  </pic:nvPicPr>
                  <pic:blipFill>
                    <a:blip r:embed="R9a4c9dbf443c4a2b">
                      <a:extLst>
                        <a:ext xmlns:a="http://schemas.openxmlformats.org/drawingml/2006/main" uri="{28A0092B-C50C-407E-A947-70E740481C1C}">
                          <a14:useLocalDpi val="0"/>
                        </a:ext>
                      </a:extLst>
                    </a:blip>
                    <a:stretch>
                      <a:fillRect/>
                    </a:stretch>
                  </pic:blipFill>
                  <pic:spPr>
                    <a:xfrm>
                      <a:off x="0" y="0"/>
                      <a:ext cx="4686300" cy="3619500"/>
                    </a:xfrm>
                    <a:prstGeom prst="rect">
                      <a:avLst/>
                    </a:prstGeom>
                  </pic:spPr>
                </pic:pic>
              </a:graphicData>
            </a:graphic>
          </wp:inline>
        </w:drawing>
      </w:r>
    </w:p>
    <w:p xmlns:wp14="http://schemas.microsoft.com/office/word/2010/wordml" w:rsidP="7D013647" wp14:paraId="75176B8A" wp14:textId="6D1F774A">
      <w:pPr>
        <w:spacing w:after="200" w:line="24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Figure 7 - Weekly planner</w:t>
      </w:r>
    </w:p>
    <w:p xmlns:wp14="http://schemas.microsoft.com/office/word/2010/wordml" w:rsidP="7D013647" wp14:paraId="7BD74D1E" wp14:textId="2997940D">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The example above shows a weekly schedule for a one-week block at university. It highlights the lecture times using blue blocks. Using this visual also allows time to identified for completing assignments or revision shown in the orange blocks. The colour code allows the timetable to be easily understood and differentiate between independent study and lectures. The ongoing assignments section tracks the key information and looks further in the future past the schedule. The further work section can be used for notes throughout the week such as topics that require more practise or important information. This gives an overview of everything relating to study and will improve organisation.</w:t>
      </w:r>
    </w:p>
    <w:p xmlns:wp14="http://schemas.microsoft.com/office/word/2010/wordml" w:rsidP="7D013647" wp14:paraId="161D06AC" wp14:textId="41B1B039">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Using breaks throughout the day enables motivation to be improved and less tedium. This also improves time management as time is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allocated</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complete work and therefore is not left to last minute which can cause further stress. As dislike of routine was identified as a weakness in the personality test using this planner will provide a stricter daily routine with an aim of improving productivity and organisation</w:t>
      </w:r>
      <w:r w:rsidRPr="7D013647" w:rsidR="1E438F22">
        <w:rPr>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7D013647" wp14:paraId="2D1A83F0" wp14:textId="436A44DF">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1FB36F6F" wp14:textId="1DB4B2AB">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987120246" w:id="1889452528"/>
      <w:r w:rsidRPr="556DED5B" w:rsidR="0A42A7C6">
        <w:rPr>
          <w:rFonts w:ascii="Calibri Light" w:hAnsi="Calibri Light" w:eastAsia="Calibri Light" w:cs="Calibri Light"/>
          <w:b w:val="0"/>
          <w:bCs w:val="0"/>
          <w:i w:val="0"/>
          <w:iCs w:val="0"/>
          <w:caps w:val="0"/>
          <w:smallCaps w:val="0"/>
          <w:noProof w:val="0"/>
          <w:color w:val="2E74B5"/>
          <w:sz w:val="26"/>
          <w:szCs w:val="26"/>
          <w:lang w:val="en-GB"/>
        </w:rPr>
        <w:t>Implementation of E-Portfolio</w:t>
      </w:r>
      <w:bookmarkEnd w:id="1889452528"/>
    </w:p>
    <w:p xmlns:wp14="http://schemas.microsoft.com/office/word/2010/wordml" w:rsidP="7D013647" wp14:paraId="2A24D3FF" wp14:textId="78D2CCEB">
      <w:pPr>
        <w:spacing w:before="240" w:after="24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US"/>
        </w:rPr>
        <w:t>The e-portfolio is used to organise all work completed through the course of the apprenticeship. This included both work completed for university such as PowerPoint presentations and assignments. It also tracks knowledge, skills and behaviors completed in the workplace/university through documented tasks, these are required for the end point assessment of the apprenticeship.</w:t>
      </w:r>
    </w:p>
    <w:p xmlns:wp14="http://schemas.microsoft.com/office/word/2010/wordml" w:rsidP="7D013647" wp14:paraId="5E6F3FDD" wp14:textId="7576B9F2">
      <w:pPr>
        <w:keepNext w:val="1"/>
        <w:spacing w:before="240" w:after="240"/>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778223D8" wp14:anchorId="30E6F58B">
            <wp:extent cx="5724524" cy="3219450"/>
            <wp:effectExtent l="0" t="0" r="0" b="0"/>
            <wp:docPr id="1987666769" name="" title=""/>
            <wp:cNvGraphicFramePr>
              <a:graphicFrameLocks noChangeAspect="1"/>
            </wp:cNvGraphicFramePr>
            <a:graphic>
              <a:graphicData uri="http://schemas.openxmlformats.org/drawingml/2006/picture">
                <pic:pic>
                  <pic:nvPicPr>
                    <pic:cNvPr id="0" name=""/>
                    <pic:cNvPicPr/>
                  </pic:nvPicPr>
                  <pic:blipFill>
                    <a:blip r:embed="Ra81c62d6889841e6">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xmlns:wp14="http://schemas.microsoft.com/office/word/2010/wordml" w:rsidP="7D013647" wp14:paraId="329B50F7" wp14:textId="70DF8923">
      <w:pPr>
        <w:spacing w:after="200" w:line="24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Figure 8- E-Portfolio Flow Chart</w:t>
      </w:r>
    </w:p>
    <w:p xmlns:wp14="http://schemas.microsoft.com/office/word/2010/wordml" w:rsidP="7D013647" wp14:paraId="009825C0" wp14:textId="783E62AB">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US"/>
        </w:rPr>
        <w:t>The e portfolio is made up of three main sections which are: academic development – this keeps track of university work and is a place to store assignments or documents, personal development – an area to store personal information such as personal statements and certificates, and professional development – an area to track evidence towards knowledge, skills and behaviors. The portfolio follows the same structure on both devices and OneDrive, with the evidence for professional development being stored on a works device due to sensitivity.  This structure allows the contents to be clearly found following a series of simple paths. To ensure this data does not get lost if the device breaks it is also stored on a shared network so it can be accessed from a different device but cannot be accessed or edited by others, only the creators account.</w:t>
      </w:r>
    </w:p>
    <w:p xmlns:wp14="http://schemas.microsoft.com/office/word/2010/wordml" w:rsidP="7D013647" wp14:paraId="3B5ACBDE" wp14:textId="0A0EAC2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90DD83B" wp14:textId="2089218F">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r w:rsidRPr="7D013647" w:rsidR="0A42A7C6">
        <w:rPr>
          <w:rStyle w:val="eop"/>
          <w:rFonts w:ascii="Calibri" w:hAnsi="Calibri" w:eastAsia="Calibri" w:cs="Calibri"/>
          <w:b w:val="0"/>
          <w:bCs w:val="0"/>
          <w:i w:val="0"/>
          <w:iCs w:val="0"/>
          <w:caps w:val="0"/>
          <w:smallCaps w:val="0"/>
          <w:noProof w:val="0"/>
          <w:color w:val="FF0000"/>
          <w:sz w:val="22"/>
          <w:szCs w:val="22"/>
          <w:lang w:val="en-GB"/>
        </w:rPr>
        <w:t> </w:t>
      </w:r>
    </w:p>
    <w:p xmlns:wp14="http://schemas.microsoft.com/office/word/2010/wordml" w:rsidP="556DED5B" wp14:paraId="55F6AB8B" wp14:textId="38BA1035">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854128232" w:id="288438183"/>
      <w:r w:rsidRPr="556DED5B" w:rsidR="0A42A7C6">
        <w:rPr>
          <w:rFonts w:ascii="Calibri Light" w:hAnsi="Calibri Light" w:eastAsia="Calibri Light" w:cs="Calibri Light"/>
          <w:b w:val="0"/>
          <w:bCs w:val="0"/>
          <w:i w:val="0"/>
          <w:iCs w:val="0"/>
          <w:caps w:val="0"/>
          <w:smallCaps w:val="0"/>
          <w:noProof w:val="0"/>
          <w:color w:val="2E74B5"/>
          <w:sz w:val="26"/>
          <w:szCs w:val="26"/>
          <w:lang w:val="en-GB"/>
        </w:rPr>
        <w:t>Torpex Literature Review</w:t>
      </w:r>
      <w:bookmarkEnd w:id="288438183"/>
    </w:p>
    <w:p xmlns:wp14="http://schemas.microsoft.com/office/word/2010/wordml" w:rsidP="7D013647" wp14:paraId="16CDCB1B" wp14:textId="7299ED62">
      <w:pPr>
        <w:spacing w:before="0" w:beforeAutospacing="off" w:after="0" w:afterAutospacing="off" w:line="240" w:lineRule="auto"/>
        <w:ind w:left="1080"/>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3E117FA3" wp14:textId="7D1C5C78">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Torpex is a shortened name for torpedo explosive which was a powerful secondary explosive developed to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battle against submarines during the second world </w:t>
      </w:r>
      <w:r w:rsidRPr="7D013647" w:rsidR="1E925356">
        <w:rPr>
          <w:rFonts w:ascii="Calibri" w:hAnsi="Calibri" w:eastAsia="Calibri" w:cs="Calibri"/>
          <w:b w:val="0"/>
          <w:bCs w:val="0"/>
          <w:i w:val="0"/>
          <w:iCs w:val="0"/>
          <w:caps w:val="0"/>
          <w:smallCaps w:val="0"/>
          <w:noProof w:val="0"/>
          <w:color w:val="000000" w:themeColor="text1" w:themeTint="FF" w:themeShade="FF"/>
          <w:sz w:val="22"/>
          <w:szCs w:val="22"/>
          <w:lang w:val="en-GB"/>
        </w:rPr>
        <w:t>war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13</w:t>
      </w:r>
      <w:r w:rsidRPr="7D013647" w:rsidR="2D580FE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composition and the use in shape charges was ideal for this due to its armour piercing explosive force and underwater applications  [14] The composition of torpex was 42% Research Department Explosive(RDX), 40% trinitrotoluene (TNT) and 18% aluminium powder  [15] .This composition was tested using different materials percentages however was the most effective compared to other compositions shown in Appendix 4.</w:t>
      </w:r>
    </w:p>
    <w:p xmlns:wp14="http://schemas.microsoft.com/office/word/2010/wordml" w:rsidP="7D013647" wp14:paraId="1CD40916" wp14:textId="4CD22C63">
      <w:pPr>
        <w:keepNext w:val="1"/>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5697B63C" wp14:anchorId="07A0A213">
            <wp:extent cx="3638550" cy="2533650"/>
            <wp:effectExtent l="0" t="0" r="0" b="0"/>
            <wp:docPr id="655753072" name="" title=""/>
            <wp:cNvGraphicFramePr>
              <a:graphicFrameLocks noChangeAspect="1"/>
            </wp:cNvGraphicFramePr>
            <a:graphic>
              <a:graphicData uri="http://schemas.openxmlformats.org/drawingml/2006/picture">
                <pic:pic>
                  <pic:nvPicPr>
                    <pic:cNvPr id="0" name=""/>
                    <pic:cNvPicPr/>
                  </pic:nvPicPr>
                  <pic:blipFill>
                    <a:blip r:embed="R584f8b33be3d4ab7">
                      <a:extLst>
                        <a:ext xmlns:a="http://schemas.openxmlformats.org/drawingml/2006/main" uri="{28A0092B-C50C-407E-A947-70E740481C1C}">
                          <a14:useLocalDpi val="0"/>
                        </a:ext>
                      </a:extLst>
                    </a:blip>
                    <a:stretch>
                      <a:fillRect/>
                    </a:stretch>
                  </pic:blipFill>
                  <pic:spPr>
                    <a:xfrm>
                      <a:off x="0" y="0"/>
                      <a:ext cx="3638550" cy="2533650"/>
                    </a:xfrm>
                    <a:prstGeom prst="rect">
                      <a:avLst/>
                    </a:prstGeom>
                  </pic:spPr>
                </pic:pic>
              </a:graphicData>
            </a:graphic>
          </wp:inline>
        </w:drawing>
      </w:r>
    </w:p>
    <w:p xmlns:wp14="http://schemas.microsoft.com/office/word/2010/wordml" w:rsidP="7D013647" wp14:paraId="5A138CD8" wp14:textId="0407D173">
      <w:pPr>
        <w:spacing w:after="200" w:line="360" w:lineRule="auto"/>
        <w:rPr>
          <w:rFonts w:ascii="Calibri" w:hAnsi="Calibri" w:eastAsia="Calibri" w:cs="Calibri"/>
          <w:b w:val="0"/>
          <w:bCs w:val="0"/>
          <w:i w:val="1"/>
          <w:iCs w:val="1"/>
          <w:caps w:val="0"/>
          <w:smallCaps w:val="0"/>
          <w:noProof w:val="0"/>
          <w:color w:val="44546A"/>
          <w:sz w:val="22"/>
          <w:szCs w:val="22"/>
          <w:lang w:val="en-US"/>
        </w:rPr>
      </w:pPr>
      <w:r w:rsidRPr="7D013647" w:rsidR="0A42A7C6">
        <w:rPr>
          <w:rFonts w:ascii="Calibri" w:hAnsi="Calibri" w:eastAsia="Calibri" w:cs="Calibri"/>
          <w:b w:val="0"/>
          <w:bCs w:val="0"/>
          <w:i w:val="1"/>
          <w:iCs w:val="1"/>
          <w:caps w:val="0"/>
          <w:smallCaps w:val="0"/>
          <w:noProof w:val="0"/>
          <w:color w:val="44546A"/>
          <w:sz w:val="22"/>
          <w:szCs w:val="22"/>
          <w:lang w:val="en-GB"/>
        </w:rPr>
        <w:t>Figure 9- Compositions of RDX/TNT/Al tested</w:t>
      </w:r>
    </w:p>
    <w:p xmlns:wp14="http://schemas.microsoft.com/office/word/2010/wordml" w:rsidP="7D013647" wp14:paraId="1732F0AC" wp14:textId="29EA927A">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54FE8EC" wp14:textId="5F4324B5">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test completed was replacing the aluminium with magnesium, this created a castable mixture with properties and power comparable to normal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torpex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16</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.The</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main composition of torpex proves to be effective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In</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underwater weapons due to its ability to produce underwater shockwaves and high velocity </w:t>
      </w:r>
      <w:r w:rsidRPr="7D013647" w:rsidR="52A6A80E">
        <w:rPr>
          <w:rFonts w:ascii="Calibri" w:hAnsi="Calibri" w:eastAsia="Calibri" w:cs="Calibri"/>
          <w:b w:val="0"/>
          <w:bCs w:val="0"/>
          <w:i w:val="0"/>
          <w:iCs w:val="0"/>
          <w:caps w:val="0"/>
          <w:smallCaps w:val="0"/>
          <w:noProof w:val="0"/>
          <w:color w:val="000000" w:themeColor="text1" w:themeTint="FF" w:themeShade="FF"/>
          <w:sz w:val="22"/>
          <w:szCs w:val="22"/>
          <w:lang w:val="en-GB"/>
        </w:rPr>
        <w:t>fragmentation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13</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2E0BA83D" wp14:textId="12BF6758">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5A6BE39" wp14:textId="4958D248">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Torpex was less sensitive to TNT which made it safer to handle Torpex was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generally stable</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can give off a gas if moisture is present. Some compositions of torpex used wax which was to lower the sensitivity of the product however seen negative effects [14]. Topex is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somewhat shock</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bullet </w:t>
      </w:r>
      <w:r w:rsidRPr="7D013647" w:rsidR="2F34ED85">
        <w:rPr>
          <w:rFonts w:ascii="Calibri" w:hAnsi="Calibri" w:eastAsia="Calibri" w:cs="Calibri"/>
          <w:b w:val="0"/>
          <w:bCs w:val="0"/>
          <w:i w:val="0"/>
          <w:iCs w:val="0"/>
          <w:caps w:val="0"/>
          <w:smallCaps w:val="0"/>
          <w:noProof w:val="0"/>
          <w:color w:val="000000" w:themeColor="text1" w:themeTint="FF" w:themeShade="FF"/>
          <w:sz w:val="22"/>
          <w:szCs w:val="22"/>
          <w:lang w:val="en-GB"/>
        </w:rPr>
        <w:t>sensitive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13</w:t>
      </w:r>
      <w:r w:rsidRPr="7D013647" w:rsidR="1575085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could lead to unwanted detonation. When used in aircrafts the sensitivity caused a risk to pilots but was disregarded as a casualty rate for torpedo planes were already extremely </w:t>
      </w:r>
      <w:r w:rsidRPr="7D013647" w:rsidR="2969B7DB">
        <w:rPr>
          <w:rFonts w:ascii="Calibri" w:hAnsi="Calibri" w:eastAsia="Calibri" w:cs="Calibri"/>
          <w:b w:val="0"/>
          <w:bCs w:val="0"/>
          <w:i w:val="0"/>
          <w:iCs w:val="0"/>
          <w:caps w:val="0"/>
          <w:smallCaps w:val="0"/>
          <w:noProof w:val="0"/>
          <w:color w:val="000000" w:themeColor="text1" w:themeTint="FF" w:themeShade="FF"/>
          <w:sz w:val="22"/>
          <w:szCs w:val="22"/>
          <w:lang w:val="en-GB"/>
        </w:rPr>
        <w:t>high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17</w:t>
      </w:r>
      <w:r w:rsidRPr="7D013647" w:rsidR="77E0572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2E520AF9" wp14:textId="713467F6">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7562026" wp14:textId="312FC4A7">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Torpex was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mainly used</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battle against German U-boats in World War 2 in weapons such as torpedoes and underwater mines in naval warfare. Due to the shortage of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aircraft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seek out enemy boats and an effective anti-submarine weapon a new composition of explosive proved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highly powerful</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7D013647" w:rsidR="43DCBC33">
        <w:rPr>
          <w:rFonts w:ascii="Calibri" w:hAnsi="Calibri" w:eastAsia="Calibri" w:cs="Calibri"/>
          <w:b w:val="0"/>
          <w:bCs w:val="0"/>
          <w:i w:val="0"/>
          <w:iCs w:val="0"/>
          <w:caps w:val="0"/>
          <w:smallCaps w:val="0"/>
          <w:noProof w:val="0"/>
          <w:color w:val="000000" w:themeColor="text1" w:themeTint="FF" w:themeShade="FF"/>
          <w:sz w:val="22"/>
          <w:szCs w:val="22"/>
          <w:lang w:val="en-GB"/>
        </w:rPr>
        <w:t>effective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18</w:t>
      </w:r>
      <w:r w:rsidRPr="7D013647" w:rsidR="6FD7633F">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explosive caused higher fragment velocity fragmentation than alternatives such as composition B making it the best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option</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attacking </w:t>
      </w:r>
      <w:r w:rsidRPr="7D013647" w:rsidR="05504C51">
        <w:rPr>
          <w:rFonts w:ascii="Calibri" w:hAnsi="Calibri" w:eastAsia="Calibri" w:cs="Calibri"/>
          <w:b w:val="0"/>
          <w:bCs w:val="0"/>
          <w:i w:val="0"/>
          <w:iCs w:val="0"/>
          <w:caps w:val="0"/>
          <w:smallCaps w:val="0"/>
          <w:noProof w:val="0"/>
          <w:color w:val="000000" w:themeColor="text1" w:themeTint="FF" w:themeShade="FF"/>
          <w:sz w:val="22"/>
          <w:szCs w:val="22"/>
          <w:lang w:val="en-GB"/>
        </w:rPr>
        <w:t>submarines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19</w:t>
      </w:r>
      <w:r w:rsidRPr="7D013647" w:rsidR="0ABF59D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Disadvantage – Then sensitivity does not make it a good filler for aerial bombs as drops on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a hard surface</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could cause it to detonate when not </w:t>
      </w:r>
      <w:r w:rsidRPr="7D013647" w:rsidR="3E11047B">
        <w:rPr>
          <w:rFonts w:ascii="Calibri" w:hAnsi="Calibri" w:eastAsia="Calibri" w:cs="Calibri"/>
          <w:b w:val="0"/>
          <w:bCs w:val="0"/>
          <w:i w:val="0"/>
          <w:iCs w:val="0"/>
          <w:caps w:val="0"/>
          <w:smallCaps w:val="0"/>
          <w:noProof w:val="0"/>
          <w:color w:val="000000" w:themeColor="text1" w:themeTint="FF" w:themeShade="FF"/>
          <w:sz w:val="22"/>
          <w:szCs w:val="22"/>
          <w:lang w:val="en-GB"/>
        </w:rPr>
        <w:t>intended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15</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sensitivity did not make it a good filler for aerial bombs or aerial operations as drops on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a hard surface</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could cause it to detonate when not </w:t>
      </w:r>
      <w:r w:rsidRPr="7D013647" w:rsidR="784E5F5B">
        <w:rPr>
          <w:rFonts w:ascii="Calibri" w:hAnsi="Calibri" w:eastAsia="Calibri" w:cs="Calibri"/>
          <w:b w:val="0"/>
          <w:bCs w:val="0"/>
          <w:i w:val="0"/>
          <w:iCs w:val="0"/>
          <w:caps w:val="0"/>
          <w:smallCaps w:val="0"/>
          <w:noProof w:val="0"/>
          <w:color w:val="000000" w:themeColor="text1" w:themeTint="FF" w:themeShade="FF"/>
          <w:sz w:val="22"/>
          <w:szCs w:val="22"/>
          <w:lang w:val="en-GB"/>
        </w:rPr>
        <w:t>intended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15</w:t>
      </w:r>
      <w:r w:rsidRPr="7D013647" w:rsidR="06B1C9C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D013647" wp14:paraId="5E4541E6" wp14:textId="293F214D">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C5E12B5" wp14:textId="3EC65DAB">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When torpex was introduced in 1942 the uses of depth charges gained success on enemy submarine attacks. This seen a rise from 2-3% to up to 40% in the success of attacks on the German U-</w:t>
      </w:r>
      <w:r w:rsidRPr="7D013647" w:rsidR="7936589D">
        <w:rPr>
          <w:rFonts w:ascii="Calibri" w:hAnsi="Calibri" w:eastAsia="Calibri" w:cs="Calibri"/>
          <w:b w:val="0"/>
          <w:bCs w:val="0"/>
          <w:i w:val="0"/>
          <w:iCs w:val="0"/>
          <w:caps w:val="0"/>
          <w:smallCaps w:val="0"/>
          <w:noProof w:val="0"/>
          <w:color w:val="000000" w:themeColor="text1" w:themeTint="FF" w:themeShade="FF"/>
          <w:sz w:val="22"/>
          <w:szCs w:val="22"/>
          <w:lang w:val="en-GB"/>
        </w:rPr>
        <w:t>Boats [</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20</w:t>
      </w:r>
      <w:r w:rsidRPr="7D013647" w:rsidR="5EACE60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newly crafted explosive in the Second World War proved to be highly effective with its aim of batting the German U-Boats.</w:t>
      </w:r>
    </w:p>
    <w:p xmlns:wp14="http://schemas.microsoft.com/office/word/2010/wordml" w:rsidP="7D013647" wp14:paraId="414F7239" wp14:textId="2A2D4D9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2DF9E28" wp14:textId="1CC3A78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338DE99" wp14:textId="7DAFFCF8">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1B9B035" wp14:textId="73EF487A">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69E8475" wp14:textId="6AC3782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C8F134C" wp14:textId="7BB3FF5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85F3195" wp14:textId="3A9B501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7B5324C" wp14:textId="205AACA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FB32DD0" wp14:textId="6033FFC8">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5F3A325" wp14:textId="02C0495A">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3B8AED2" wp14:textId="5BEA5F66">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35E745E" wp14:textId="7B9DDF6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3155C95" wp14:textId="6EEC128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AE77B42" wp14:textId="67ED7E8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015674F" wp14:textId="4013900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602DF89" wp14:textId="340D29B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68B2B5A" wp14:textId="2F072989">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11FCC24" wp14:textId="6C9D584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BFDACFD" wp14:textId="46F79DE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F042E63" wp14:textId="1BBF85D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C18FA4E" wp14:textId="77F441F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23D8A7B" wp14:textId="04CFA9D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7E75BBF" wp14:textId="6957E94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7C22423" wp14:textId="73B3A1B2">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E637510" wp14:textId="7F07556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9C68B5A" wp14:textId="3D3AA9E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5C7C163" wp14:textId="64CCDA2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13C13E83" wp14:textId="6DB6B8F7">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213482711" w:id="89454265"/>
      <w:r w:rsidRPr="556DED5B" w:rsidR="0A42A7C6">
        <w:rPr>
          <w:rFonts w:ascii="Calibri Light" w:hAnsi="Calibri Light" w:eastAsia="Calibri Light" w:cs="Calibri Light"/>
          <w:b w:val="0"/>
          <w:bCs w:val="0"/>
          <w:i w:val="0"/>
          <w:iCs w:val="0"/>
          <w:caps w:val="0"/>
          <w:smallCaps w:val="0"/>
          <w:noProof w:val="0"/>
          <w:color w:val="2E74B5"/>
          <w:sz w:val="26"/>
          <w:szCs w:val="26"/>
          <w:lang w:val="en-GB"/>
        </w:rPr>
        <w:t>Conclusion &amp; Evaluation:</w:t>
      </w:r>
      <w:bookmarkEnd w:id="89454265"/>
      <w:r w:rsidRPr="556DED5B" w:rsidR="0A42A7C6">
        <w:rPr>
          <w:rFonts w:ascii="Calibri Light" w:hAnsi="Calibri Light" w:eastAsia="Calibri Light" w:cs="Calibri Light"/>
          <w:b w:val="0"/>
          <w:bCs w:val="0"/>
          <w:i w:val="0"/>
          <w:iCs w:val="0"/>
          <w:caps w:val="0"/>
          <w:smallCaps w:val="0"/>
          <w:noProof w:val="0"/>
          <w:color w:val="2E74B5"/>
          <w:sz w:val="26"/>
          <w:szCs w:val="26"/>
          <w:lang w:val="en-GB"/>
        </w:rPr>
        <w:t> </w:t>
      </w:r>
    </w:p>
    <w:p xmlns:wp14="http://schemas.microsoft.com/office/word/2010/wordml" w:rsidP="7D013647" wp14:paraId="2A8ECA0F" wp14:textId="6763CB3C">
      <w:pPr>
        <w:spacing w:before="0" w:beforeAutospacing="off" w:after="0" w:afterAutospacing="off" w:line="240" w:lineRule="auto"/>
        <w:ind w:left="720"/>
        <w:rPr>
          <w:rFonts w:ascii="Calibri" w:hAnsi="Calibri" w:eastAsia="Calibri" w:cs="Calibri"/>
          <w:b w:val="0"/>
          <w:bCs w:val="0"/>
          <w:i w:val="0"/>
          <w:iCs w:val="0"/>
          <w:caps w:val="0"/>
          <w:smallCaps w:val="0"/>
          <w:noProof w:val="0"/>
          <w:color w:val="FF0000"/>
          <w:sz w:val="22"/>
          <w:szCs w:val="22"/>
          <w:lang w:val="en-US"/>
        </w:rPr>
      </w:pPr>
      <w:r w:rsidRPr="7D013647" w:rsidR="0A42A7C6">
        <w:rPr>
          <w:rStyle w:val="eop"/>
          <w:rFonts w:ascii="Calibri" w:hAnsi="Calibri" w:eastAsia="Calibri" w:cs="Calibri"/>
          <w:b w:val="0"/>
          <w:bCs w:val="0"/>
          <w:i w:val="0"/>
          <w:iCs w:val="0"/>
          <w:caps w:val="0"/>
          <w:smallCaps w:val="0"/>
          <w:noProof w:val="0"/>
          <w:color w:val="FF0000"/>
          <w:sz w:val="22"/>
          <w:szCs w:val="22"/>
          <w:lang w:val="en-GB"/>
        </w:rPr>
        <w:t> </w:t>
      </w:r>
    </w:p>
    <w:p xmlns:wp14="http://schemas.microsoft.com/office/word/2010/wordml" w:rsidP="7D013647" wp14:paraId="1DC353D4" wp14:textId="4F56D962">
      <w:pPr>
        <w:pStyle w:val="paragraph"/>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this module has been extremely beneficial in highlighting the educational skills required to be successful throughout higher education. Additionally, the module has determined strengths and areas for improvement in an educational setting. </w:t>
      </w:r>
      <w:r w:rsidRPr="7D013647" w:rsidR="5E984F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topics covered </w:t>
      </w:r>
      <w:r w:rsidRPr="7D013647" w:rsidR="6DB14047">
        <w:rPr>
          <w:rFonts w:ascii="Calibri" w:hAnsi="Calibri" w:eastAsia="Calibri" w:cs="Calibri"/>
          <w:b w:val="0"/>
          <w:bCs w:val="0"/>
          <w:i w:val="0"/>
          <w:iCs w:val="0"/>
          <w:caps w:val="0"/>
          <w:smallCaps w:val="0"/>
          <w:noProof w:val="0"/>
          <w:color w:val="000000" w:themeColor="text1" w:themeTint="FF" w:themeShade="FF"/>
          <w:sz w:val="22"/>
          <w:szCs w:val="22"/>
          <w:lang w:val="en-GB"/>
        </w:rPr>
        <w:t>have provided baseline skills such as referencing and revision techniques</w:t>
      </w:r>
      <w:r w:rsidRPr="7D013647" w:rsidR="270FFE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which are a necessity for completing the degree.</w:t>
      </w:r>
      <w:r w:rsidRPr="7D013647" w:rsidR="6DB140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696187EC">
        <w:rPr>
          <w:rFonts w:ascii="Calibri" w:hAnsi="Calibri" w:eastAsia="Calibri" w:cs="Calibri"/>
          <w:b w:val="0"/>
          <w:bCs w:val="0"/>
          <w:i w:val="0"/>
          <w:iCs w:val="0"/>
          <w:caps w:val="0"/>
          <w:smallCaps w:val="0"/>
          <w:noProof w:val="0"/>
          <w:color w:val="000000" w:themeColor="text1" w:themeTint="FF" w:themeShade="FF"/>
          <w:sz w:val="22"/>
          <w:szCs w:val="22"/>
          <w:lang w:val="en-GB"/>
        </w:rPr>
        <w:t>Giving a presentation</w:t>
      </w:r>
      <w:r w:rsidRPr="7D013647" w:rsidR="276409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introduce yourself</w:t>
      </w:r>
      <w:r w:rsidRPr="7D013647" w:rsidR="696187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013647" w:rsidR="696187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early on in this module has improved confidence </w:t>
      </w:r>
      <w:r w:rsidRPr="7D013647" w:rsidR="7B1D11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w:t>
      </w:r>
      <w:r w:rsidRPr="7D013647" w:rsidR="7B1D11B5">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7D013647" w:rsidR="7B1D11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do again in the future. The module has been </w:t>
      </w:r>
      <w:r w:rsidRPr="7D013647" w:rsidR="7B1D11B5">
        <w:rPr>
          <w:rFonts w:ascii="Calibri" w:hAnsi="Calibri" w:eastAsia="Calibri" w:cs="Calibri"/>
          <w:b w:val="0"/>
          <w:bCs w:val="0"/>
          <w:i w:val="0"/>
          <w:iCs w:val="0"/>
          <w:caps w:val="0"/>
          <w:smallCaps w:val="0"/>
          <w:noProof w:val="0"/>
          <w:color w:val="000000" w:themeColor="text1" w:themeTint="FF" w:themeShade="FF"/>
          <w:sz w:val="22"/>
          <w:szCs w:val="22"/>
          <w:lang w:val="en-GB"/>
        </w:rPr>
        <w:t>very beneficial</w:t>
      </w:r>
      <w:r w:rsidRPr="7D013647" w:rsidR="7B1D11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providing key contacts who can provide suppo</w:t>
      </w:r>
      <w:r w:rsidRPr="7D013647" w:rsidR="1F797E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rt if </w:t>
      </w:r>
      <w:r w:rsidRPr="7D013647" w:rsidR="1F797E94">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7D013647" w:rsidR="1F797E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when at university and away from study. The literature review has been interesting as a chance to get introduced to the industry before </w:t>
      </w:r>
      <w:r w:rsidRPr="7D013647" w:rsidR="5A313BCB">
        <w:rPr>
          <w:rFonts w:ascii="Calibri" w:hAnsi="Calibri" w:eastAsia="Calibri" w:cs="Calibri"/>
          <w:b w:val="0"/>
          <w:bCs w:val="0"/>
          <w:i w:val="0"/>
          <w:iCs w:val="0"/>
          <w:caps w:val="0"/>
          <w:smallCaps w:val="0"/>
          <w:noProof w:val="0"/>
          <w:color w:val="000000" w:themeColor="text1" w:themeTint="FF" w:themeShade="FF"/>
          <w:sz w:val="22"/>
          <w:szCs w:val="22"/>
          <w:lang w:val="en-GB"/>
        </w:rPr>
        <w:t>starting the subject specific modules.</w:t>
      </w:r>
    </w:p>
    <w:p xmlns:wp14="http://schemas.microsoft.com/office/word/2010/wordml" w:rsidP="7D013647" wp14:paraId="1BDAA8A8" wp14:textId="76BD3DCE">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6397543" wp14:textId="1A127175">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D5FBCD7" wp14:textId="3921DEF6">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8FCAA8F" wp14:textId="51C68A33">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9635893" wp14:textId="6919012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404251C" wp14:textId="5266936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CCE7A81" wp14:textId="07B76585">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B3457BB" wp14:textId="54BEA407">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69D8614" wp14:textId="36B4A90F">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5B4324A" wp14:textId="1DCE8369">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B83F396" wp14:textId="256A48E3">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AC2B44E" wp14:textId="19D7B26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38B0075" wp14:textId="2CEA63E2">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B3A8566" wp14:textId="65AC5CD1">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2E9ABD0" wp14:textId="2E615EF7">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CC157A8" wp14:textId="7B3EB963">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FE0A08F" wp14:textId="4F32A5AA">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7C30582" wp14:textId="17E239C3">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4577D96" wp14:textId="48CE9EE3">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3CC4F0F" wp14:textId="22669E80">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D62D26C" wp14:textId="587DD42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1F4A9D8" wp14:textId="75C866C6">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284DD6D9" wp14:textId="616CC903">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US"/>
        </w:rPr>
      </w:pPr>
      <w:bookmarkStart w:name="_Toc1363856952" w:id="1344134664"/>
      <w:r w:rsidRPr="556DED5B" w:rsidR="0A42A7C6">
        <w:rPr>
          <w:rFonts w:ascii="Calibri Light" w:hAnsi="Calibri Light" w:eastAsia="Calibri Light" w:cs="Calibri Light"/>
          <w:b w:val="0"/>
          <w:bCs w:val="0"/>
          <w:i w:val="0"/>
          <w:iCs w:val="0"/>
          <w:caps w:val="0"/>
          <w:smallCaps w:val="0"/>
          <w:noProof w:val="0"/>
          <w:color w:val="2E74B5"/>
          <w:sz w:val="26"/>
          <w:szCs w:val="26"/>
          <w:lang w:val="en-GB"/>
        </w:rPr>
        <w:t>Appendices:</w:t>
      </w:r>
      <w:bookmarkEnd w:id="1344134664"/>
      <w:r w:rsidRPr="556DED5B" w:rsidR="0A42A7C6">
        <w:rPr>
          <w:rFonts w:ascii="Calibri Light" w:hAnsi="Calibri Light" w:eastAsia="Calibri Light" w:cs="Calibri Light"/>
          <w:b w:val="0"/>
          <w:bCs w:val="0"/>
          <w:i w:val="0"/>
          <w:iCs w:val="0"/>
          <w:caps w:val="0"/>
          <w:smallCaps w:val="0"/>
          <w:noProof w:val="0"/>
          <w:color w:val="2E74B5"/>
          <w:sz w:val="26"/>
          <w:szCs w:val="26"/>
          <w:lang w:val="en-GB"/>
        </w:rPr>
        <w:t> </w:t>
      </w:r>
    </w:p>
    <w:p xmlns:wp14="http://schemas.microsoft.com/office/word/2010/wordml" w:rsidP="556DED5B" wp14:paraId="5236E379" wp14:textId="6C552DBA">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Appendix 1: Time Management Checklist</w:t>
      </w:r>
      <w:r w:rsidRPr="556DED5B" w:rsidR="093E2A3A">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[5]</w:t>
      </w:r>
    </w:p>
    <w:p xmlns:wp14="http://schemas.microsoft.com/office/word/2010/wordml" w:rsidP="7D013647" wp14:paraId="0177F328" wp14:textId="5463E7C9">
      <w:pPr>
        <w:spacing w:before="0" w:beforeAutospacing="off" w:after="0" w:afterAutospacing="off" w:line="240" w:lineRule="auto"/>
        <w:ind w:left="0" w:firstLine="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EF421DF" wp14:textId="66FD97CE">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r w:rsidR="0A42A7C6">
        <w:drawing>
          <wp:inline xmlns:wp14="http://schemas.microsoft.com/office/word/2010/wordprocessingDrawing" wp14:editId="2147169B" wp14:anchorId="7D54A40F">
            <wp:extent cx="4286250" cy="4724398"/>
            <wp:effectExtent l="0" t="0" r="0" b="0"/>
            <wp:docPr id="59380890" name="" descr="cid:b7493c77-2e74-4f60-83ac-abee1cde044c" title=""/>
            <wp:cNvGraphicFramePr>
              <a:graphicFrameLocks noChangeAspect="1"/>
            </wp:cNvGraphicFramePr>
            <a:graphic>
              <a:graphicData uri="http://schemas.openxmlformats.org/drawingml/2006/picture">
                <pic:pic>
                  <pic:nvPicPr>
                    <pic:cNvPr id="0" name=""/>
                    <pic:cNvPicPr/>
                  </pic:nvPicPr>
                  <pic:blipFill>
                    <a:blip r:embed="Rc643850af0f74122">
                      <a:extLst>
                        <a:ext xmlns:a="http://schemas.openxmlformats.org/drawingml/2006/main" uri="{28A0092B-C50C-407E-A947-70E740481C1C}">
                          <a14:useLocalDpi val="0"/>
                        </a:ext>
                      </a:extLst>
                    </a:blip>
                    <a:stretch>
                      <a:fillRect/>
                    </a:stretch>
                  </pic:blipFill>
                  <pic:spPr>
                    <a:xfrm>
                      <a:off x="0" y="0"/>
                      <a:ext cx="4286250" cy="4724398"/>
                    </a:xfrm>
                    <a:prstGeom prst="rect">
                      <a:avLst/>
                    </a:prstGeom>
                  </pic:spPr>
                </pic:pic>
              </a:graphicData>
            </a:graphic>
          </wp:inline>
        </w:drawing>
      </w:r>
    </w:p>
    <w:p xmlns:wp14="http://schemas.microsoft.com/office/word/2010/wordml" w:rsidP="7D013647" wp14:paraId="4DB80EAF" wp14:textId="35D20CA9">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16A822B8" wp14:textId="449909A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4C3889E" wp14:textId="10465DA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6BE66A5" wp14:textId="6BCD2B3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90D3408" wp14:textId="098192F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C77D1E1" wp14:textId="4CA718F9">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7522BEC" wp14:textId="7BD5806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F6243C4" wp14:textId="3D2E13A6">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66C8A23E" wp14:textId="621B421A">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56DED5B" w:rsidP="556DED5B" w:rsidRDefault="556DED5B" w14:paraId="532B9CEE" w14:textId="445E8B5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04CD92B" wp14:textId="4DF489D6">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A4AD5AF" wp14:textId="441A553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095D049" wp14:textId="09307AD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59FBA4F" wp14:textId="5C84DD8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BEDAFF5" wp14:textId="38BB77D6">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95CEC03" wp14:textId="3AFB684A">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473B1ED" wp14:textId="3B2BF8C8">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Appendix 2:</w:t>
      </w:r>
    </w:p>
    <w:p xmlns:wp14="http://schemas.microsoft.com/office/word/2010/wordml" w:rsidP="7D013647" wp14:paraId="51AEF10C" wp14:textId="0BA86AE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Job description for apprentice in defence Industry</w:t>
      </w:r>
    </w:p>
    <w:p xmlns:wp14="http://schemas.microsoft.com/office/word/2010/wordml" w:rsidP="7D013647" wp14:paraId="73DFEA0A" wp14:textId="559ACC11">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r w:rsidR="0A42A7C6">
        <w:drawing>
          <wp:inline xmlns:wp14="http://schemas.microsoft.com/office/word/2010/wordprocessingDrawing" wp14:editId="74A2EEBD" wp14:anchorId="22EAEB47">
            <wp:extent cx="5724524" cy="3181350"/>
            <wp:effectExtent l="0" t="0" r="0" b="0"/>
            <wp:docPr id="489313678" name="" title=""/>
            <wp:cNvGraphicFramePr>
              <a:graphicFrameLocks noChangeAspect="1"/>
            </wp:cNvGraphicFramePr>
            <a:graphic>
              <a:graphicData uri="http://schemas.openxmlformats.org/drawingml/2006/picture">
                <pic:pic>
                  <pic:nvPicPr>
                    <pic:cNvPr id="0" name=""/>
                    <pic:cNvPicPr/>
                  </pic:nvPicPr>
                  <pic:blipFill>
                    <a:blip r:embed="R7ec7ac4b4eb04bf3">
                      <a:extLst>
                        <a:ext xmlns:a="http://schemas.openxmlformats.org/drawingml/2006/main" uri="{28A0092B-C50C-407E-A947-70E740481C1C}">
                          <a14:useLocalDpi val="0"/>
                        </a:ext>
                      </a:extLst>
                    </a:blip>
                    <a:stretch>
                      <a:fillRect/>
                    </a:stretch>
                  </pic:blipFill>
                  <pic:spPr>
                    <a:xfrm>
                      <a:off x="0" y="0"/>
                      <a:ext cx="5724524" cy="3181350"/>
                    </a:xfrm>
                    <a:prstGeom prst="rect">
                      <a:avLst/>
                    </a:prstGeom>
                  </pic:spPr>
                </pic:pic>
              </a:graphicData>
            </a:graphic>
          </wp:inline>
        </w:drawing>
      </w:r>
    </w:p>
    <w:p xmlns:wp14="http://schemas.microsoft.com/office/word/2010/wordml" w:rsidP="7D013647" wp14:paraId="42823DD2" wp14:textId="49F467E0">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46448C82" wp14:textId="750495EE">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2E611A74" wp14:textId="07F4EC6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730A959" wp14:textId="1B27B35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9F6425A" wp14:textId="23BA8B9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9E57E6E" wp14:textId="08AECCEC">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74E800E" wp14:textId="1229655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FD4F27A" wp14:textId="1DEC9A7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BC8D283" wp14:textId="37A265B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6B060AF" wp14:textId="331D68D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5DDA4DD" wp14:textId="20C6610A">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B90E0A0" wp14:textId="61F736A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DE687DC" wp14:textId="3D0ED8F6">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F155180" wp14:textId="3CBE38C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BEFDDF2" wp14:textId="32F0372B">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1C155A1" wp14:textId="03B73F9C">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36C1441" wp14:textId="67C23956">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48389EE" wp14:textId="447F175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175B152" wp14:textId="39292A4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20098E0" wp14:textId="228F328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A169F66" wp14:textId="1A3108F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28AEB986" wp14:textId="4BFD8C2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56DED5B" w:rsidP="556DED5B" w:rsidRDefault="556DED5B" w14:paraId="03DF7ED9" w14:textId="1D26A94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C79D6B8" wp14:textId="5445463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5257E33" wp14:textId="5F4E7C6A">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1AEA60C" wp14:textId="478E108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618A817" wp14:textId="429CECCA">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7DA34E1" wp14:textId="3E8E3D32">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235D118" wp14:textId="690D98A8">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Appendix 3:</w:t>
      </w:r>
    </w:p>
    <w:p xmlns:wp14="http://schemas.microsoft.com/office/word/2010/wordml" w:rsidP="7D013647" wp14:paraId="4BD9B16C" wp14:textId="4ED46F3A">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Job description for an Energetics Enclosure Stockpile Manager</w:t>
      </w:r>
    </w:p>
    <w:p xmlns:wp14="http://schemas.microsoft.com/office/word/2010/wordml" w:rsidP="7D013647" wp14:paraId="2B5C9822" wp14:textId="3C91AAEC">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0AB2C373" wp14:textId="646E607C">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r w:rsidR="0A42A7C6">
        <w:drawing>
          <wp:inline xmlns:wp14="http://schemas.microsoft.com/office/word/2010/wordprocessingDrawing" wp14:editId="7FD2E946" wp14:anchorId="46EA627B">
            <wp:extent cx="5724524" cy="3276600"/>
            <wp:effectExtent l="0" t="0" r="0" b="0"/>
            <wp:docPr id="1412776656" name="" title=""/>
            <wp:cNvGraphicFramePr>
              <a:graphicFrameLocks noChangeAspect="1"/>
            </wp:cNvGraphicFramePr>
            <a:graphic>
              <a:graphicData uri="http://schemas.openxmlformats.org/drawingml/2006/picture">
                <pic:pic>
                  <pic:nvPicPr>
                    <pic:cNvPr id="0" name=""/>
                    <pic:cNvPicPr/>
                  </pic:nvPicPr>
                  <pic:blipFill>
                    <a:blip r:embed="R5f77a73f9b424ca1">
                      <a:extLst>
                        <a:ext xmlns:a="http://schemas.openxmlformats.org/drawingml/2006/main" uri="{28A0092B-C50C-407E-A947-70E740481C1C}">
                          <a14:useLocalDpi val="0"/>
                        </a:ext>
                      </a:extLst>
                    </a:blip>
                    <a:stretch>
                      <a:fillRect/>
                    </a:stretch>
                  </pic:blipFill>
                  <pic:spPr>
                    <a:xfrm>
                      <a:off x="0" y="0"/>
                      <a:ext cx="5724524" cy="3276600"/>
                    </a:xfrm>
                    <a:prstGeom prst="rect">
                      <a:avLst/>
                    </a:prstGeom>
                  </pic:spPr>
                </pic:pic>
              </a:graphicData>
            </a:graphic>
          </wp:inline>
        </w:drawing>
      </w:r>
    </w:p>
    <w:p xmlns:wp14="http://schemas.microsoft.com/office/word/2010/wordml" w:rsidP="7D013647" wp14:paraId="6AABDF24" wp14:textId="744D25A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B50117F" wp14:textId="0398C546">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83B57AA" wp14:textId="60C09739">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EC93B05" wp14:textId="2FFB684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8F82988" wp14:textId="187A9472">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DB7FF7C" wp14:textId="46D8BCA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A445464" wp14:textId="4CF16D6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1D2EA5D" wp14:textId="392C712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EBBDFCD" wp14:textId="125D552C">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9A27322" wp14:textId="3FE2AB2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AE77541" wp14:textId="1AC39B1B">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46F610C" wp14:textId="150F350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5AF1382" wp14:textId="429984C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8249B1B" wp14:textId="3E51D39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F0319BF" wp14:textId="2EAAC42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D4BD64D" wp14:textId="22B21F2B">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714B181" wp14:textId="3DF5F28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0BB4D2F7" wp14:textId="0F0A5DE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56DED5B" w:rsidP="556DED5B" w:rsidRDefault="556DED5B" w14:paraId="6BCA639E" w14:textId="6ED3C82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EC611C2" wp14:textId="5699823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2E2A12D" wp14:textId="066B106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8BDA58F" wp14:textId="1BD4B8B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C6DFECA" wp14:textId="6B5D962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B7FF695" wp14:textId="27EA0F3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2A406EF" wp14:textId="2339A28C">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DE1F5A2" wp14:textId="1CB99BE1">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9787B0A" wp14:textId="3595611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Appendix 4 – Personality test completed on Truity</w:t>
      </w:r>
    </w:p>
    <w:p xmlns:wp14="http://schemas.microsoft.com/office/word/2010/wordml" w:rsidP="7D013647" wp14:paraId="28981D1F" wp14:textId="7B5DD09B">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r w:rsidR="0A42A7C6">
        <w:drawing>
          <wp:inline xmlns:wp14="http://schemas.microsoft.com/office/word/2010/wordprocessingDrawing" wp14:editId="590E1EA9" wp14:anchorId="036BB1D0">
            <wp:extent cx="5724524" cy="2857500"/>
            <wp:effectExtent l="0" t="0" r="0" b="0"/>
            <wp:docPr id="1837489582" name="" title=""/>
            <wp:cNvGraphicFramePr>
              <a:graphicFrameLocks noChangeAspect="1"/>
            </wp:cNvGraphicFramePr>
            <a:graphic>
              <a:graphicData uri="http://schemas.openxmlformats.org/drawingml/2006/picture">
                <pic:pic>
                  <pic:nvPicPr>
                    <pic:cNvPr id="0" name=""/>
                    <pic:cNvPicPr/>
                  </pic:nvPicPr>
                  <pic:blipFill>
                    <a:blip r:embed="R943a0a02fd0d406c">
                      <a:extLst>
                        <a:ext xmlns:a="http://schemas.openxmlformats.org/drawingml/2006/main" uri="{28A0092B-C50C-407E-A947-70E740481C1C}">
                          <a14:useLocalDpi val="0"/>
                        </a:ext>
                      </a:extLst>
                    </a:blip>
                    <a:stretch>
                      <a:fillRect/>
                    </a:stretch>
                  </pic:blipFill>
                  <pic:spPr>
                    <a:xfrm>
                      <a:off x="0" y="0"/>
                      <a:ext cx="5724524" cy="2857500"/>
                    </a:xfrm>
                    <a:prstGeom prst="rect">
                      <a:avLst/>
                    </a:prstGeom>
                  </pic:spPr>
                </pic:pic>
              </a:graphicData>
            </a:graphic>
          </wp:inline>
        </w:drawing>
      </w:r>
    </w:p>
    <w:p xmlns:wp14="http://schemas.microsoft.com/office/word/2010/wordml" w:rsidP="7D013647" wp14:paraId="4206FF25" wp14:textId="56DED207">
      <w:pPr>
        <w:spacing w:before="0" w:beforeAutospacing="off" w:after="0" w:afterAutospacing="off" w:line="240" w:lineRule="auto"/>
        <w:rPr>
          <w:rFonts w:ascii="Calibri" w:hAnsi="Calibri" w:eastAsia="Calibri" w:cs="Calibri"/>
          <w:b w:val="0"/>
          <w:bCs w:val="0"/>
          <w:i w:val="0"/>
          <w:iCs w:val="0"/>
          <w:caps w:val="0"/>
          <w:smallCaps w:val="0"/>
          <w:noProof w:val="0"/>
          <w:color w:val="FF0000"/>
          <w:sz w:val="22"/>
          <w:szCs w:val="22"/>
          <w:lang w:val="en-US"/>
        </w:rPr>
      </w:pPr>
    </w:p>
    <w:p xmlns:wp14="http://schemas.microsoft.com/office/word/2010/wordml" w:rsidP="7D013647" wp14:paraId="0C3E4FFE" wp14:textId="70E6AE4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629C19A" wp14:textId="6B5EDD9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0B7F81F" wp14:textId="7C7B021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5C7B873" wp14:textId="13E3760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5C066C1" wp14:textId="6203068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5002FA8" wp14:textId="6E48F9E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E78C9A3" wp14:textId="490B57B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4A13346" wp14:textId="282D6FA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6639594" wp14:textId="2285B31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C904594" wp14:textId="3152BC4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9ECEF8F" wp14:textId="41298CE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CCA8B54" wp14:textId="2464EAB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B40A02C" wp14:textId="7A0F8CA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741FE50" wp14:textId="0B4C363B">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E4B393B" wp14:textId="744B4F95">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0AFD4ED" wp14:textId="233A6B38">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CC43FEB" wp14:textId="489D72C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D48EDFF" wp14:textId="39FAD9A8">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C355D0E" wp14:textId="176145DB">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F29BBE5" wp14:textId="530F307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84EEF08" wp14:textId="39FFC5B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A949427" wp14:textId="0188D24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67B686AE" wp14:textId="77338C04">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56DED5B" w:rsidP="556DED5B" w:rsidRDefault="556DED5B" w14:paraId="550DE2E4" w14:textId="5C4787E1">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F331D26" wp14:textId="412F7FB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5530998" wp14:textId="68297FA3">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11152F7" wp14:textId="249B6BBF">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DBEDB8B" wp14:textId="235660EF">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DD0BDE0" wp14:textId="72253F57">
      <w:pPr>
        <w:pStyle w:val="Normal"/>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354C007" wp14:textId="65CEB240">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48BE2A0B" wp14:textId="0F4EF84E">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56DED5B" w:rsidR="0A42A7C6">
        <w:rPr>
          <w:rStyle w:val="eop"/>
          <w:rFonts w:ascii="Calibri" w:hAnsi="Calibri" w:eastAsia="Calibri" w:cs="Calibri"/>
          <w:b w:val="0"/>
          <w:bCs w:val="0"/>
          <w:i w:val="0"/>
          <w:iCs w:val="0"/>
          <w:caps w:val="0"/>
          <w:smallCaps w:val="0"/>
          <w:noProof w:val="0"/>
          <w:color w:val="000000" w:themeColor="text1" w:themeTint="FF" w:themeShade="FF"/>
          <w:sz w:val="22"/>
          <w:szCs w:val="22"/>
          <w:lang w:val="en-GB"/>
        </w:rPr>
        <w:t>Appendix 5 – Compositions of Torpex used in service munitions</w:t>
      </w:r>
      <w:r w:rsidRPr="556DED5B" w:rsidR="6253C19B">
        <w:rPr>
          <w:rStyle w:val="eop"/>
          <w:rFonts w:ascii="Calibri" w:hAnsi="Calibri" w:eastAsia="Calibri" w:cs="Calibri"/>
          <w:b w:val="0"/>
          <w:bCs w:val="0"/>
          <w:i w:val="0"/>
          <w:iCs w:val="0"/>
          <w:caps w:val="0"/>
          <w:smallCaps w:val="0"/>
          <w:noProof w:val="0"/>
          <w:color w:val="000000" w:themeColor="text1" w:themeTint="FF" w:themeShade="FF"/>
          <w:sz w:val="22"/>
          <w:szCs w:val="22"/>
          <w:lang w:val="en-GB"/>
        </w:rPr>
        <w:t xml:space="preserve"> [15]</w:t>
      </w:r>
    </w:p>
    <w:p xmlns:wp14="http://schemas.microsoft.com/office/word/2010/wordml" w:rsidP="7D013647" wp14:paraId="1ED72DBF" wp14:textId="2D84FEF4">
      <w:pPr>
        <w:rPr>
          <w:rFonts w:ascii="Calibri" w:hAnsi="Calibri" w:eastAsia="Calibri" w:cs="Calibri"/>
          <w:b w:val="0"/>
          <w:bCs w:val="0"/>
          <w:i w:val="0"/>
          <w:iCs w:val="0"/>
          <w:caps w:val="0"/>
          <w:smallCaps w:val="0"/>
          <w:noProof w:val="0"/>
          <w:color w:val="000000" w:themeColor="text1" w:themeTint="FF" w:themeShade="FF"/>
          <w:sz w:val="22"/>
          <w:szCs w:val="22"/>
          <w:lang w:val="en-US"/>
        </w:rPr>
      </w:pPr>
      <w:r w:rsidR="0A42A7C6">
        <w:drawing>
          <wp:inline xmlns:wp14="http://schemas.microsoft.com/office/word/2010/wordprocessingDrawing" wp14:editId="57C393DE" wp14:anchorId="296BF58C">
            <wp:extent cx="5295898" cy="2457450"/>
            <wp:effectExtent l="0" t="0" r="0" b="0"/>
            <wp:docPr id="1822817616" name="" title=""/>
            <wp:cNvGraphicFramePr>
              <a:graphicFrameLocks noChangeAspect="1"/>
            </wp:cNvGraphicFramePr>
            <a:graphic>
              <a:graphicData uri="http://schemas.openxmlformats.org/drawingml/2006/picture">
                <pic:pic>
                  <pic:nvPicPr>
                    <pic:cNvPr id="0" name=""/>
                    <pic:cNvPicPr/>
                  </pic:nvPicPr>
                  <pic:blipFill>
                    <a:blip r:embed="R416cc397ba2b4273">
                      <a:extLst>
                        <a:ext xmlns:a="http://schemas.openxmlformats.org/drawingml/2006/main" uri="{28A0092B-C50C-407E-A947-70E740481C1C}">
                          <a14:useLocalDpi val="0"/>
                        </a:ext>
                      </a:extLst>
                    </a:blip>
                    <a:stretch>
                      <a:fillRect/>
                    </a:stretch>
                  </pic:blipFill>
                  <pic:spPr>
                    <a:xfrm>
                      <a:off x="0" y="0"/>
                      <a:ext cx="5295898" cy="2457450"/>
                    </a:xfrm>
                    <a:prstGeom prst="rect">
                      <a:avLst/>
                    </a:prstGeom>
                  </pic:spPr>
                </pic:pic>
              </a:graphicData>
            </a:graphic>
          </wp:inline>
        </w:drawing>
      </w:r>
    </w:p>
    <w:p xmlns:wp14="http://schemas.microsoft.com/office/word/2010/wordml" w:rsidP="7D013647" wp14:paraId="2BE69CF1" wp14:textId="6CFB2033">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C7774AE" wp14:textId="071300FE">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401E723" wp14:textId="247FA91B">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10E26CB" wp14:textId="26BE3A12">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1C004D2F" wp14:textId="70C2D404">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55B148B" wp14:textId="6A9089AF">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CFF3BE0" wp14:textId="63C9FCE2">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34A1F863" wp14:textId="0916C6D7">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F035728" wp14:textId="579BE228">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40A8429B" wp14:textId="5DC41E3F">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211970DB" wp14:textId="39F2E1C2">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0FD80F7" wp14:textId="44AF5AD1">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787372BB" wp14:textId="2637D096">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8906BE7" wp14:textId="580115E7">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A0F3C98" wp14:textId="3A8CBA9C">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69BA277F" wp14:textId="3F1B21D9">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05B02B72" wp14:textId="2A631439">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D013647" wp14:paraId="54D5B8FF" wp14:textId="7247FBAB">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56DED5B" wp14:paraId="00DA94EA" wp14:textId="604F2632">
      <w:pPr>
        <w:pStyle w:val="Heading2"/>
        <w:keepNext w:val="1"/>
        <w:keepLines w:val="1"/>
        <w:spacing w:before="40" w:after="0"/>
        <w:rPr>
          <w:rFonts w:ascii="Calibri Light" w:hAnsi="Calibri Light" w:eastAsia="Calibri Light" w:cs="Calibri Light"/>
          <w:b w:val="0"/>
          <w:bCs w:val="0"/>
          <w:i w:val="0"/>
          <w:iCs w:val="0"/>
          <w:caps w:val="0"/>
          <w:smallCaps w:val="0"/>
          <w:noProof w:val="0"/>
          <w:color w:val="2E74B5"/>
          <w:sz w:val="26"/>
          <w:szCs w:val="26"/>
          <w:lang w:val="en-GB"/>
        </w:rPr>
      </w:pPr>
      <w:bookmarkStart w:name="_Toc1735851212" w:id="662625312"/>
      <w:r w:rsidRPr="556DED5B" w:rsidR="3EAC3039">
        <w:rPr>
          <w:rFonts w:ascii="Calibri Light" w:hAnsi="Calibri Light" w:eastAsia="Calibri Light" w:cs="Calibri Light"/>
          <w:b w:val="0"/>
          <w:bCs w:val="0"/>
          <w:i w:val="0"/>
          <w:iCs w:val="0"/>
          <w:caps w:val="0"/>
          <w:smallCaps w:val="0"/>
          <w:noProof w:val="0"/>
          <w:color w:val="2E74B5"/>
          <w:sz w:val="26"/>
          <w:szCs w:val="26"/>
          <w:lang w:val="en-GB"/>
        </w:rPr>
        <w:t>Bibliography</w:t>
      </w:r>
      <w:bookmarkEnd w:id="662625312"/>
    </w:p>
    <w:tbl>
      <w:tblPr>
        <w:tblStyle w:val="TableNormal"/>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ayout w:type="fixed"/>
        <w:tblLook w:val="04A0" w:firstRow="1" w:lastRow="0" w:firstColumn="1" w:lastColumn="0" w:noHBand="0" w:noVBand="1"/>
      </w:tblPr>
      <w:tblGrid>
        <w:gridCol w:w="701"/>
        <w:gridCol w:w="8299"/>
      </w:tblGrid>
      <w:tr w:rsidR="7D013647" w:rsidTr="7D013647" w14:paraId="3D56E8B4">
        <w:trPr>
          <w:trHeight w:val="300"/>
        </w:trPr>
        <w:tc>
          <w:tcPr>
            <w:tcW w:w="701" w:type="dxa"/>
            <w:tcMar/>
            <w:vAlign w:val="top"/>
          </w:tcPr>
          <w:p w:rsidR="7D013647" w:rsidP="7D013647" w:rsidRDefault="7D013647" w14:paraId="3A3D13B6" w14:textId="721DC9C0">
            <w:pPr>
              <w:rPr>
                <w:rFonts w:ascii="Calibri" w:hAnsi="Calibri" w:eastAsia="Calibri" w:cs="Calibri"/>
                <w:b w:val="0"/>
                <w:bCs w:val="0"/>
                <w:i w:val="0"/>
                <w:iCs w:val="0"/>
                <w:sz w:val="24"/>
                <w:szCs w:val="24"/>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 </w:t>
            </w:r>
          </w:p>
        </w:tc>
        <w:tc>
          <w:tcPr>
            <w:tcW w:w="8299" w:type="dxa"/>
            <w:tcMar/>
            <w:vAlign w:val="top"/>
          </w:tcPr>
          <w:p w:rsidR="7D013647" w:rsidP="7D013647" w:rsidRDefault="7D013647" w14:paraId="69287025" w14:textId="48B3F361">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P. Fox, “15 PowerPoint Tips to Make Your Slides More Effective,” ispring, 5 July 2024. [Online]. Available: </w:t>
            </w:r>
            <w:hyperlink r:id="R8b02f5c2940d4ba4">
              <w:r w:rsidRPr="7D013647" w:rsidR="7D013647">
                <w:rPr>
                  <w:rStyle w:val="Hyperlink"/>
                  <w:rFonts w:ascii="Calibri" w:hAnsi="Calibri" w:eastAsia="Calibri" w:cs="Calibri"/>
                  <w:b w:val="0"/>
                  <w:bCs w:val="0"/>
                  <w:i w:val="0"/>
                  <w:iCs w:val="0"/>
                  <w:sz w:val="22"/>
                  <w:szCs w:val="22"/>
                  <w:lang w:val="en-GB"/>
                </w:rPr>
                <w:t>https://www.ispringsolutions.com/blog/10-powerpoint-tips-to-make-your-slides-more-effective</w:t>
              </w:r>
            </w:hyperlink>
            <w:r w:rsidRPr="7D013647" w:rsidR="7D013647">
              <w:rPr>
                <w:rFonts w:ascii="Calibri" w:hAnsi="Calibri" w:eastAsia="Calibri" w:cs="Calibri"/>
                <w:b w:val="0"/>
                <w:bCs w:val="0"/>
                <w:i w:val="0"/>
                <w:iCs w:val="0"/>
                <w:color w:val="000000" w:themeColor="text1" w:themeTint="FF" w:themeShade="FF"/>
                <w:sz w:val="22"/>
                <w:szCs w:val="22"/>
                <w:lang w:val="en-GB"/>
              </w:rPr>
              <w:t>. [Accessed 8 December 2024].</w:t>
            </w:r>
          </w:p>
        </w:tc>
      </w:tr>
      <w:tr w:rsidR="7D013647" w:rsidTr="7D013647" w14:paraId="57115A16">
        <w:trPr>
          <w:trHeight w:val="300"/>
        </w:trPr>
        <w:tc>
          <w:tcPr>
            <w:tcW w:w="701" w:type="dxa"/>
            <w:tcMar/>
            <w:vAlign w:val="top"/>
          </w:tcPr>
          <w:p w:rsidR="7D013647" w:rsidP="7D013647" w:rsidRDefault="7D013647" w14:paraId="70EF6EF2" w14:textId="51350669">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[2] </w:t>
            </w:r>
          </w:p>
        </w:tc>
        <w:tc>
          <w:tcPr>
            <w:tcW w:w="8299" w:type="dxa"/>
            <w:tcMar/>
            <w:vAlign w:val="top"/>
          </w:tcPr>
          <w:p w:rsidR="7D013647" w:rsidP="7D013647" w:rsidRDefault="7D013647" w14:paraId="3BD88B16" w14:textId="41B7DD28">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The Stay Club, “Essential Skills needed for University,” The Stay Club, 7 November 2023. [Online]. Available: </w:t>
            </w:r>
            <w:hyperlink r:id="R98da207271174d20">
              <w:r w:rsidRPr="7D013647" w:rsidR="7D013647">
                <w:rPr>
                  <w:rStyle w:val="Hyperlink"/>
                  <w:rFonts w:ascii="Calibri" w:hAnsi="Calibri" w:eastAsia="Calibri" w:cs="Calibri"/>
                  <w:b w:val="0"/>
                  <w:bCs w:val="0"/>
                  <w:i w:val="0"/>
                  <w:iCs w:val="0"/>
                  <w:sz w:val="22"/>
                  <w:szCs w:val="22"/>
                  <w:lang w:val="en-GB"/>
                </w:rPr>
                <w:t>https://www.thestayclub.com/blog/essential-skills-needed-for-university/</w:t>
              </w:r>
            </w:hyperlink>
            <w:r w:rsidRPr="7D013647" w:rsidR="7D013647">
              <w:rPr>
                <w:rFonts w:ascii="Calibri" w:hAnsi="Calibri" w:eastAsia="Calibri" w:cs="Calibri"/>
                <w:b w:val="0"/>
                <w:bCs w:val="0"/>
                <w:i w:val="0"/>
                <w:iCs w:val="0"/>
                <w:color w:val="000000" w:themeColor="text1" w:themeTint="FF" w:themeShade="FF"/>
                <w:sz w:val="22"/>
                <w:szCs w:val="22"/>
                <w:lang w:val="en-GB"/>
              </w:rPr>
              <w:t>. [Accessed 20 December 2024].</w:t>
            </w:r>
          </w:p>
        </w:tc>
      </w:tr>
      <w:tr w:rsidR="7D013647" w:rsidTr="7D013647" w14:paraId="58430564">
        <w:trPr>
          <w:trHeight w:val="300"/>
        </w:trPr>
        <w:tc>
          <w:tcPr>
            <w:tcW w:w="701" w:type="dxa"/>
            <w:tcMar/>
            <w:vAlign w:val="top"/>
          </w:tcPr>
          <w:p w:rsidR="7D013647" w:rsidP="7D013647" w:rsidRDefault="7D013647" w14:paraId="4CCF0007" w14:textId="6111566E">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[3] </w:t>
            </w:r>
          </w:p>
        </w:tc>
        <w:tc>
          <w:tcPr>
            <w:tcW w:w="8299" w:type="dxa"/>
            <w:tcMar/>
            <w:vAlign w:val="top"/>
          </w:tcPr>
          <w:p w:rsidR="7D013647" w:rsidP="7D013647" w:rsidRDefault="7D013647" w14:paraId="4FC85296" w14:textId="1D5F68A4">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A. Kaiser and G. Z. , “The importance of study skills in HE for learners to enhance and develop their studies further,” London School of Science and Technology, 9 March 2022. [Online]. Available: </w:t>
            </w:r>
            <w:hyperlink r:id="R734315deb9b94f3c">
              <w:r w:rsidRPr="7D013647" w:rsidR="7D013647">
                <w:rPr>
                  <w:rStyle w:val="Hyperlink"/>
                  <w:rFonts w:ascii="Calibri" w:hAnsi="Calibri" w:eastAsia="Calibri" w:cs="Calibri"/>
                  <w:b w:val="0"/>
                  <w:bCs w:val="0"/>
                  <w:i w:val="0"/>
                  <w:iCs w:val="0"/>
                  <w:sz w:val="22"/>
                  <w:szCs w:val="22"/>
                  <w:lang w:val="en-GB"/>
                </w:rPr>
                <w:t>https://www.lsst.ac/blogs/the-importance-of-study-skills-in-he-for-learners-to-enhance-and-develop-their-studies-further/</w:t>
              </w:r>
            </w:hyperlink>
            <w:r w:rsidRPr="7D013647" w:rsidR="7D013647">
              <w:rPr>
                <w:rFonts w:ascii="Calibri" w:hAnsi="Calibri" w:eastAsia="Calibri" w:cs="Calibri"/>
                <w:b w:val="0"/>
                <w:bCs w:val="0"/>
                <w:i w:val="0"/>
                <w:iCs w:val="0"/>
                <w:color w:val="000000" w:themeColor="text1" w:themeTint="FF" w:themeShade="FF"/>
                <w:sz w:val="22"/>
                <w:szCs w:val="22"/>
                <w:lang w:val="en-GB"/>
              </w:rPr>
              <w:t>. [Accessed 21 December 2024].</w:t>
            </w:r>
          </w:p>
        </w:tc>
      </w:tr>
      <w:tr w:rsidR="7D013647" w:rsidTr="7D013647" w14:paraId="17843132">
        <w:trPr>
          <w:trHeight w:val="300"/>
        </w:trPr>
        <w:tc>
          <w:tcPr>
            <w:tcW w:w="701" w:type="dxa"/>
            <w:tcMar/>
            <w:vAlign w:val="top"/>
          </w:tcPr>
          <w:p w:rsidR="7D013647" w:rsidP="7D013647" w:rsidRDefault="7D013647" w14:paraId="07756725" w14:textId="7C1ED5C4">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[4] </w:t>
            </w:r>
          </w:p>
        </w:tc>
        <w:tc>
          <w:tcPr>
            <w:tcW w:w="8299" w:type="dxa"/>
            <w:tcMar/>
            <w:vAlign w:val="top"/>
          </w:tcPr>
          <w:p w:rsidR="7D013647" w:rsidP="7D013647" w:rsidRDefault="7D013647" w14:paraId="06F515AC" w14:textId="38EA54A5">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B. Nanchalos, “The power of effective time management,” University of Lincoln, 14 September 2023. [Online]. Available: </w:t>
            </w:r>
            <w:hyperlink r:id="R0e7ad9c7015d4493">
              <w:r w:rsidRPr="7D013647" w:rsidR="7D013647">
                <w:rPr>
                  <w:rStyle w:val="Hyperlink"/>
                  <w:rFonts w:ascii="Calibri" w:hAnsi="Calibri" w:eastAsia="Calibri" w:cs="Calibri"/>
                  <w:b w:val="0"/>
                  <w:bCs w:val="0"/>
                  <w:i w:val="0"/>
                  <w:iCs w:val="0"/>
                  <w:sz w:val="22"/>
                  <w:szCs w:val="22"/>
                  <w:lang w:val="en-GB"/>
                </w:rPr>
                <w:t>https://online.lincoln.ac.uk/the-power-of-effective-time-management/</w:t>
              </w:r>
            </w:hyperlink>
            <w:r w:rsidRPr="7D013647" w:rsidR="7D013647">
              <w:rPr>
                <w:rFonts w:ascii="Calibri" w:hAnsi="Calibri" w:eastAsia="Calibri" w:cs="Calibri"/>
                <w:b w:val="0"/>
                <w:bCs w:val="0"/>
                <w:i w:val="0"/>
                <w:iCs w:val="0"/>
                <w:color w:val="000000" w:themeColor="text1" w:themeTint="FF" w:themeShade="FF"/>
                <w:sz w:val="22"/>
                <w:szCs w:val="22"/>
                <w:lang w:val="en-GB"/>
              </w:rPr>
              <w:t>. [Accessed 21 December 2024].</w:t>
            </w:r>
          </w:p>
        </w:tc>
      </w:tr>
      <w:tr w:rsidR="7D013647" w:rsidTr="7D013647" w14:paraId="7904526D">
        <w:trPr>
          <w:trHeight w:val="300"/>
        </w:trPr>
        <w:tc>
          <w:tcPr>
            <w:tcW w:w="701" w:type="dxa"/>
            <w:tcMar/>
            <w:vAlign w:val="top"/>
          </w:tcPr>
          <w:p w:rsidR="7D013647" w:rsidP="7D013647" w:rsidRDefault="7D013647" w14:paraId="31195D12" w14:textId="05BA2223">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[5] </w:t>
            </w:r>
          </w:p>
        </w:tc>
        <w:tc>
          <w:tcPr>
            <w:tcW w:w="8299" w:type="dxa"/>
            <w:tcMar/>
            <w:vAlign w:val="top"/>
          </w:tcPr>
          <w:p w:rsidR="7D013647" w:rsidP="7D013647" w:rsidRDefault="7D013647" w14:paraId="5F78C248" w14:textId="5246961E">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S. Cottrell, “Time Management,” in </w:t>
            </w:r>
            <w:r w:rsidRPr="7D013647" w:rsidR="7D013647">
              <w:rPr>
                <w:rFonts w:ascii="Calibri" w:hAnsi="Calibri" w:eastAsia="Calibri" w:cs="Calibri"/>
                <w:b w:val="0"/>
                <w:bCs w:val="0"/>
                <w:i w:val="1"/>
                <w:iCs w:val="1"/>
                <w:color w:val="000000" w:themeColor="text1" w:themeTint="FF" w:themeShade="FF"/>
                <w:sz w:val="22"/>
                <w:szCs w:val="22"/>
                <w:lang w:val="en-GB"/>
              </w:rPr>
              <w:t>The Study Skills Handbook</w:t>
            </w:r>
            <w:r w:rsidRPr="7D013647" w:rsidR="7D013647">
              <w:rPr>
                <w:rFonts w:ascii="Calibri" w:hAnsi="Calibri" w:eastAsia="Calibri" w:cs="Calibri"/>
                <w:b w:val="0"/>
                <w:bCs w:val="0"/>
                <w:i w:val="0"/>
                <w:iCs w:val="0"/>
                <w:color w:val="000000" w:themeColor="text1" w:themeTint="FF" w:themeShade="FF"/>
                <w:sz w:val="22"/>
                <w:szCs w:val="22"/>
                <w:lang w:val="en-GB"/>
              </w:rPr>
              <w:t>, London, Bloomsbury Publishing Plc, 2024, pp. 121-149.</w:t>
            </w:r>
          </w:p>
        </w:tc>
      </w:tr>
      <w:tr w:rsidR="7D013647" w:rsidTr="7D013647" w14:paraId="1022D6FE">
        <w:trPr>
          <w:trHeight w:val="300"/>
        </w:trPr>
        <w:tc>
          <w:tcPr>
            <w:tcW w:w="701" w:type="dxa"/>
            <w:tcMar/>
            <w:vAlign w:val="top"/>
          </w:tcPr>
          <w:p w:rsidR="7D013647" w:rsidP="7D013647" w:rsidRDefault="7D013647" w14:paraId="58F723B4" w14:textId="75E2900E">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[6] </w:t>
            </w:r>
          </w:p>
        </w:tc>
        <w:tc>
          <w:tcPr>
            <w:tcW w:w="8299" w:type="dxa"/>
            <w:tcMar/>
            <w:vAlign w:val="top"/>
          </w:tcPr>
          <w:p w:rsidR="7D013647" w:rsidP="7D013647" w:rsidRDefault="7D013647" w14:paraId="4E54A06B" w14:textId="6B72F61B">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The University of Edinburgh, “Critical Thinking,” The University of Edinburgh, 26 February 2024. [Online]. Available: </w:t>
            </w:r>
            <w:hyperlink r:id="R2f06ba2008d94198">
              <w:r w:rsidRPr="7D013647" w:rsidR="7D013647">
                <w:rPr>
                  <w:rStyle w:val="Hyperlink"/>
                  <w:rFonts w:ascii="Calibri" w:hAnsi="Calibri" w:eastAsia="Calibri" w:cs="Calibri"/>
                  <w:b w:val="0"/>
                  <w:bCs w:val="0"/>
                  <w:i w:val="0"/>
                  <w:iCs w:val="0"/>
                  <w:sz w:val="22"/>
                  <w:szCs w:val="22"/>
                  <w:lang w:val="en-GB"/>
                </w:rPr>
                <w:t>https://institute-academic-development.ed.ac.uk/study-hub/learning-resources/critical</w:t>
              </w:r>
            </w:hyperlink>
            <w:r w:rsidRPr="7D013647" w:rsidR="7D013647">
              <w:rPr>
                <w:rFonts w:ascii="Calibri" w:hAnsi="Calibri" w:eastAsia="Calibri" w:cs="Calibri"/>
                <w:b w:val="0"/>
                <w:bCs w:val="0"/>
                <w:i w:val="0"/>
                <w:iCs w:val="0"/>
                <w:color w:val="000000" w:themeColor="text1" w:themeTint="FF" w:themeShade="FF"/>
                <w:sz w:val="22"/>
                <w:szCs w:val="22"/>
                <w:lang w:val="en-GB"/>
              </w:rPr>
              <w:t>. [Accessed 18 December 2024].</w:t>
            </w:r>
          </w:p>
        </w:tc>
      </w:tr>
      <w:tr w:rsidR="7D013647" w:rsidTr="7D013647" w14:paraId="67FA881D">
        <w:trPr>
          <w:trHeight w:val="300"/>
        </w:trPr>
        <w:tc>
          <w:tcPr>
            <w:tcW w:w="701" w:type="dxa"/>
            <w:tcMar/>
            <w:vAlign w:val="top"/>
          </w:tcPr>
          <w:p w:rsidR="7D013647" w:rsidP="7D013647" w:rsidRDefault="7D013647" w14:paraId="3E32B6DA" w14:textId="7A5AFCC9">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[7] </w:t>
            </w:r>
          </w:p>
        </w:tc>
        <w:tc>
          <w:tcPr>
            <w:tcW w:w="8299" w:type="dxa"/>
            <w:tcMar/>
            <w:vAlign w:val="top"/>
          </w:tcPr>
          <w:p w:rsidR="7D013647" w:rsidP="7D013647" w:rsidRDefault="7D013647" w14:paraId="4265B238" w14:textId="7198B320">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R. Pelta, “15 Transferable Skills That Companies Want: Examples and Definitions,” Flexjobs, 5 July 2024. [Online]. Available: </w:t>
            </w:r>
            <w:hyperlink r:id="Rde803f0eedea452d">
              <w:r w:rsidRPr="7D013647" w:rsidR="7D013647">
                <w:rPr>
                  <w:rStyle w:val="Hyperlink"/>
                  <w:rFonts w:ascii="Calibri" w:hAnsi="Calibri" w:eastAsia="Calibri" w:cs="Calibri"/>
                  <w:b w:val="0"/>
                  <w:bCs w:val="0"/>
                  <w:i w:val="0"/>
                  <w:iCs w:val="0"/>
                  <w:sz w:val="22"/>
                  <w:szCs w:val="22"/>
                  <w:lang w:val="en-GB"/>
                </w:rPr>
                <w:t>https://www.flexjobs.com/blog/post/transferable-skills?utm_source=qa</w:t>
              </w:r>
            </w:hyperlink>
            <w:r w:rsidRPr="7D013647" w:rsidR="7D013647">
              <w:rPr>
                <w:rFonts w:ascii="Calibri" w:hAnsi="Calibri" w:eastAsia="Calibri" w:cs="Calibri"/>
                <w:b w:val="0"/>
                <w:bCs w:val="0"/>
                <w:i w:val="0"/>
                <w:iCs w:val="0"/>
                <w:color w:val="000000" w:themeColor="text1" w:themeTint="FF" w:themeShade="FF"/>
                <w:sz w:val="22"/>
                <w:szCs w:val="22"/>
                <w:lang w:val="en-GB"/>
              </w:rPr>
              <w:t>. [Accessed 14 December 2024].</w:t>
            </w:r>
          </w:p>
        </w:tc>
      </w:tr>
      <w:tr w:rsidR="7D013647" w:rsidTr="7D013647" w14:paraId="28276BC0">
        <w:trPr>
          <w:trHeight w:val="300"/>
        </w:trPr>
        <w:tc>
          <w:tcPr>
            <w:tcW w:w="701" w:type="dxa"/>
            <w:tcMar/>
            <w:vAlign w:val="top"/>
          </w:tcPr>
          <w:p w:rsidR="7D013647" w:rsidP="7D013647" w:rsidRDefault="7D013647" w14:paraId="2688CB8E" w14:textId="6DD2FF72">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[8] </w:t>
            </w:r>
          </w:p>
        </w:tc>
        <w:tc>
          <w:tcPr>
            <w:tcW w:w="8299" w:type="dxa"/>
            <w:tcMar/>
            <w:vAlign w:val="top"/>
          </w:tcPr>
          <w:p w:rsidR="7D013647" w:rsidP="7D013647" w:rsidRDefault="7D013647" w14:paraId="1C7CDE66" w14:textId="3843364F">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B. Long, “Hard Skills vs. Soft Skills: What Are They? (With Examples),” Insight Global, 16 August 2022. [Online]. Available: </w:t>
            </w:r>
            <w:hyperlink r:id="Ra0548d0d34e84c06">
              <w:r w:rsidRPr="7D013647" w:rsidR="7D013647">
                <w:rPr>
                  <w:rStyle w:val="Hyperlink"/>
                  <w:rFonts w:ascii="Calibri" w:hAnsi="Calibri" w:eastAsia="Calibri" w:cs="Calibri"/>
                  <w:b w:val="0"/>
                  <w:bCs w:val="0"/>
                  <w:i w:val="0"/>
                  <w:iCs w:val="0"/>
                  <w:sz w:val="22"/>
                  <w:szCs w:val="22"/>
                  <w:lang w:val="en-GB"/>
                </w:rPr>
                <w:t>https://insightglobal.com/blog/hard-skills-vs-soft-skills/</w:t>
              </w:r>
            </w:hyperlink>
            <w:r w:rsidRPr="7D013647" w:rsidR="7D013647">
              <w:rPr>
                <w:rFonts w:ascii="Calibri" w:hAnsi="Calibri" w:eastAsia="Calibri" w:cs="Calibri"/>
                <w:b w:val="0"/>
                <w:bCs w:val="0"/>
                <w:i w:val="0"/>
                <w:iCs w:val="0"/>
                <w:color w:val="000000" w:themeColor="text1" w:themeTint="FF" w:themeShade="FF"/>
                <w:sz w:val="22"/>
                <w:szCs w:val="22"/>
                <w:lang w:val="en-GB"/>
              </w:rPr>
              <w:t>. [Accessed 23 December 2024].</w:t>
            </w:r>
          </w:p>
        </w:tc>
      </w:tr>
      <w:tr w:rsidR="7D013647" w:rsidTr="7D013647" w14:paraId="5AB46E2B">
        <w:trPr>
          <w:trHeight w:val="300"/>
        </w:trPr>
        <w:tc>
          <w:tcPr>
            <w:tcW w:w="701" w:type="dxa"/>
            <w:tcMar/>
            <w:vAlign w:val="top"/>
          </w:tcPr>
          <w:p w:rsidR="7D013647" w:rsidP="7D013647" w:rsidRDefault="7D013647" w14:paraId="2009C968" w14:textId="6430C0E5">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[9] </w:t>
            </w:r>
          </w:p>
        </w:tc>
        <w:tc>
          <w:tcPr>
            <w:tcW w:w="8299" w:type="dxa"/>
            <w:tcMar/>
            <w:vAlign w:val="top"/>
          </w:tcPr>
          <w:p w:rsidR="7D013647" w:rsidP="7D013647" w:rsidRDefault="7D013647" w14:paraId="4121EB13" w14:textId="2B772D62">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M. Mayne, “Two thirds of employers value soft skills more than educational qualifications when hiring, research finds,” People Management, 16 August 2024. [Online]. Available: </w:t>
            </w:r>
            <w:hyperlink r:id="R082f39a7c4424e44">
              <w:r w:rsidRPr="7D013647" w:rsidR="7D013647">
                <w:rPr>
                  <w:rStyle w:val="Hyperlink"/>
                  <w:rFonts w:ascii="Calibri" w:hAnsi="Calibri" w:eastAsia="Calibri" w:cs="Calibri"/>
                  <w:b w:val="0"/>
                  <w:bCs w:val="0"/>
                  <w:i w:val="0"/>
                  <w:iCs w:val="0"/>
                  <w:sz w:val="22"/>
                  <w:szCs w:val="22"/>
                  <w:lang w:val="en-GB"/>
                </w:rPr>
                <w:t>https://www.peoplemanagement.co.uk/article/1885308/two-thirds-employers-value-soft-skills-educational-qualifications-when-hiring-research-finds</w:t>
              </w:r>
            </w:hyperlink>
            <w:r w:rsidRPr="7D013647" w:rsidR="7D013647">
              <w:rPr>
                <w:rFonts w:ascii="Calibri" w:hAnsi="Calibri" w:eastAsia="Calibri" w:cs="Calibri"/>
                <w:b w:val="0"/>
                <w:bCs w:val="0"/>
                <w:i w:val="0"/>
                <w:iCs w:val="0"/>
                <w:color w:val="000000" w:themeColor="text1" w:themeTint="FF" w:themeShade="FF"/>
                <w:sz w:val="22"/>
                <w:szCs w:val="22"/>
                <w:lang w:val="en-GB"/>
              </w:rPr>
              <w:t>. [Accessed 23 December 2024].</w:t>
            </w:r>
          </w:p>
        </w:tc>
      </w:tr>
      <w:tr w:rsidR="7D013647" w:rsidTr="7D013647" w14:paraId="55AF274E">
        <w:trPr>
          <w:trHeight w:val="300"/>
        </w:trPr>
        <w:tc>
          <w:tcPr>
            <w:tcW w:w="701" w:type="dxa"/>
            <w:tcMar/>
            <w:vAlign w:val="top"/>
          </w:tcPr>
          <w:p w:rsidR="7D013647" w:rsidP="7D013647" w:rsidRDefault="7D013647" w14:paraId="15DB9C11" w14:textId="0C58F2CD">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[10] </w:t>
            </w:r>
          </w:p>
        </w:tc>
        <w:tc>
          <w:tcPr>
            <w:tcW w:w="8299" w:type="dxa"/>
            <w:tcMar/>
            <w:vAlign w:val="top"/>
          </w:tcPr>
          <w:p w:rsidR="7D013647" w:rsidP="7D013647" w:rsidRDefault="7D013647" w14:paraId="37CB5FAD" w14:textId="62FA41FA">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J. Simkus, “Myers-Briggs Type Indicator (MBTI): 16 Personality Types,” Simply Psychology, 29 January 2024. [Online]. Available: </w:t>
            </w:r>
            <w:hyperlink r:id="R40cf074fe6a5409d">
              <w:r w:rsidRPr="7D013647" w:rsidR="7D013647">
                <w:rPr>
                  <w:rStyle w:val="Hyperlink"/>
                  <w:rFonts w:ascii="Calibri" w:hAnsi="Calibri" w:eastAsia="Calibri" w:cs="Calibri"/>
                  <w:b w:val="0"/>
                  <w:bCs w:val="0"/>
                  <w:i w:val="0"/>
                  <w:iCs w:val="0"/>
                  <w:sz w:val="22"/>
                  <w:szCs w:val="22"/>
                  <w:lang w:val="en-GB"/>
                </w:rPr>
                <w:t>https://www.simplypsychology.org/the-myers-briggs-type-indicator.html</w:t>
              </w:r>
            </w:hyperlink>
            <w:r w:rsidRPr="7D013647" w:rsidR="7D013647">
              <w:rPr>
                <w:rFonts w:ascii="Calibri" w:hAnsi="Calibri" w:eastAsia="Calibri" w:cs="Calibri"/>
                <w:b w:val="0"/>
                <w:bCs w:val="0"/>
                <w:i w:val="0"/>
                <w:iCs w:val="0"/>
                <w:color w:val="000000" w:themeColor="text1" w:themeTint="FF" w:themeShade="FF"/>
                <w:sz w:val="22"/>
                <w:szCs w:val="22"/>
                <w:lang w:val="en-GB"/>
              </w:rPr>
              <w:t>. . [Accessed 8 December 2024].</w:t>
            </w:r>
          </w:p>
        </w:tc>
      </w:tr>
      <w:tr w:rsidR="7D013647" w:rsidTr="7D013647" w14:paraId="7D39C4E4">
        <w:trPr>
          <w:trHeight w:val="300"/>
        </w:trPr>
        <w:tc>
          <w:tcPr>
            <w:tcW w:w="701" w:type="dxa"/>
            <w:tcMar/>
            <w:vAlign w:val="top"/>
          </w:tcPr>
          <w:p w:rsidR="7D013647" w:rsidP="7D013647" w:rsidRDefault="7D013647" w14:paraId="40A8FCC3" w14:textId="234B6350">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[11] </w:t>
            </w:r>
          </w:p>
        </w:tc>
        <w:tc>
          <w:tcPr>
            <w:tcW w:w="8299" w:type="dxa"/>
            <w:tcMar/>
            <w:vAlign w:val="top"/>
          </w:tcPr>
          <w:p w:rsidR="7D013647" w:rsidP="7D013647" w:rsidRDefault="7D013647" w14:paraId="30DCC2F0" w14:textId="493F031A">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K. Cherry, “ESTP: The Persuader (Extraverted, Sensing, Thinking, Perceiving),” verywell mind, 14 March 2023. [Online]. Available: </w:t>
            </w:r>
            <w:hyperlink r:id="R031dd74b06d547ce">
              <w:r w:rsidRPr="7D013647" w:rsidR="7D013647">
                <w:rPr>
                  <w:rStyle w:val="Hyperlink"/>
                  <w:rFonts w:ascii="Calibri" w:hAnsi="Calibri" w:eastAsia="Calibri" w:cs="Calibri"/>
                  <w:b w:val="0"/>
                  <w:bCs w:val="0"/>
                  <w:i w:val="0"/>
                  <w:iCs w:val="0"/>
                  <w:sz w:val="22"/>
                  <w:szCs w:val="22"/>
                  <w:lang w:val="en-GB"/>
                </w:rPr>
                <w:t>https://www.verywellmind.com/estp-extraverted-sensing-thinking-perceiving-2795986</w:t>
              </w:r>
            </w:hyperlink>
            <w:r w:rsidRPr="7D013647" w:rsidR="7D013647">
              <w:rPr>
                <w:rFonts w:ascii="Calibri" w:hAnsi="Calibri" w:eastAsia="Calibri" w:cs="Calibri"/>
                <w:b w:val="0"/>
                <w:bCs w:val="0"/>
                <w:i w:val="0"/>
                <w:iCs w:val="0"/>
                <w:color w:val="000000" w:themeColor="text1" w:themeTint="FF" w:themeShade="FF"/>
                <w:sz w:val="22"/>
                <w:szCs w:val="22"/>
                <w:lang w:val="en-GB"/>
              </w:rPr>
              <w:t>. [Accessed 3 January 2025].</w:t>
            </w:r>
          </w:p>
        </w:tc>
      </w:tr>
      <w:tr w:rsidR="7D013647" w:rsidTr="7D013647" w14:paraId="16E1217D">
        <w:trPr>
          <w:trHeight w:val="300"/>
        </w:trPr>
        <w:tc>
          <w:tcPr>
            <w:tcW w:w="701" w:type="dxa"/>
            <w:tcMar/>
            <w:vAlign w:val="top"/>
          </w:tcPr>
          <w:p w:rsidR="7D013647" w:rsidP="7D013647" w:rsidRDefault="7D013647" w14:paraId="4AF76AED" w14:textId="244EFAA3">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[12] </w:t>
            </w:r>
          </w:p>
        </w:tc>
        <w:tc>
          <w:tcPr>
            <w:tcW w:w="8299" w:type="dxa"/>
            <w:tcMar/>
            <w:vAlign w:val="top"/>
          </w:tcPr>
          <w:p w:rsidR="7D013647" w:rsidP="7D013647" w:rsidRDefault="7D013647" w14:paraId="197D0F7F" w14:textId="07DFE4FC">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F. Khan, “Exploring the Advantages and Disadvantages of Using External Hard Drives: A Comprehensive Guide,” Directmacro, 19 April 2023. [Online]. Available: </w:t>
            </w:r>
            <w:hyperlink r:id="R896bd70ed3694dea">
              <w:r w:rsidRPr="7D013647" w:rsidR="7D013647">
                <w:rPr>
                  <w:rStyle w:val="Hyperlink"/>
                  <w:rFonts w:ascii="Calibri" w:hAnsi="Calibri" w:eastAsia="Calibri" w:cs="Calibri"/>
                  <w:b w:val="0"/>
                  <w:bCs w:val="0"/>
                  <w:i w:val="0"/>
                  <w:iCs w:val="0"/>
                  <w:sz w:val="22"/>
                  <w:szCs w:val="22"/>
                  <w:lang w:val="en-GB"/>
                </w:rPr>
                <w:t>https://directmacro.com/blog/post/advantages-and-disadvantages-of-using-external-hard-drives?srsltid=AfmBOoozrD7aT3Ev3NTxOZt_A7Z83CnwCLqHHbp3F6ucS8Z7z3wOjeGV</w:t>
              </w:r>
            </w:hyperlink>
            <w:r w:rsidRPr="7D013647" w:rsidR="7D013647">
              <w:rPr>
                <w:rFonts w:ascii="Calibri" w:hAnsi="Calibri" w:eastAsia="Calibri" w:cs="Calibri"/>
                <w:b w:val="0"/>
                <w:bCs w:val="0"/>
                <w:i w:val="0"/>
                <w:iCs w:val="0"/>
                <w:color w:val="000000" w:themeColor="text1" w:themeTint="FF" w:themeShade="FF"/>
                <w:sz w:val="22"/>
                <w:szCs w:val="22"/>
                <w:lang w:val="en-GB"/>
              </w:rPr>
              <w:t>. [Accessed 19 December 2024].</w:t>
            </w:r>
          </w:p>
        </w:tc>
      </w:tr>
      <w:tr w:rsidR="7D013647" w:rsidTr="7D013647" w14:paraId="2690949B">
        <w:trPr>
          <w:trHeight w:val="300"/>
        </w:trPr>
        <w:tc>
          <w:tcPr>
            <w:tcW w:w="701" w:type="dxa"/>
            <w:tcMar/>
            <w:vAlign w:val="top"/>
          </w:tcPr>
          <w:p w:rsidR="7D013647" w:rsidP="7D013647" w:rsidRDefault="7D013647" w14:paraId="732D2B0D" w14:textId="6DAE16E2">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[13] </w:t>
            </w:r>
          </w:p>
        </w:tc>
        <w:tc>
          <w:tcPr>
            <w:tcW w:w="8299" w:type="dxa"/>
            <w:tcMar/>
            <w:vAlign w:val="top"/>
          </w:tcPr>
          <w:p w:rsidR="7D013647" w:rsidP="7D013647" w:rsidRDefault="7D013647" w14:paraId="340362EB" w14:textId="3AFF6067">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C. F. Baxter, The Secret History of RDX, Kentucky: University Press of Kentucky, 2018. </w:t>
            </w:r>
          </w:p>
        </w:tc>
      </w:tr>
      <w:tr w:rsidR="7D013647" w:rsidTr="7D013647" w14:paraId="4765B8EE">
        <w:trPr>
          <w:trHeight w:val="300"/>
        </w:trPr>
        <w:tc>
          <w:tcPr>
            <w:tcW w:w="701" w:type="dxa"/>
            <w:tcMar/>
            <w:vAlign w:val="top"/>
          </w:tcPr>
          <w:p w:rsidR="7D013647" w:rsidP="7D013647" w:rsidRDefault="7D013647" w14:paraId="1323A4A7" w14:textId="1CF8A6B0">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[14] </w:t>
            </w:r>
          </w:p>
        </w:tc>
        <w:tc>
          <w:tcPr>
            <w:tcW w:w="8299" w:type="dxa"/>
            <w:tcMar/>
            <w:vAlign w:val="top"/>
          </w:tcPr>
          <w:p w:rsidR="7D013647" w:rsidP="7D013647" w:rsidRDefault="7D013647" w14:paraId="364416F0" w14:textId="13466AA9">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US Environmental Protection Agency, “Handbook on the Management of Ordnance and Explosives at Closed, Transferring, and Transferred Ranges and Other Sites,” US Environmental Protection Agency, Washington, 2002.</w:t>
            </w:r>
          </w:p>
        </w:tc>
      </w:tr>
      <w:tr w:rsidR="7D013647" w:rsidTr="7D013647" w14:paraId="3477DDAB">
        <w:trPr>
          <w:trHeight w:val="300"/>
        </w:trPr>
        <w:tc>
          <w:tcPr>
            <w:tcW w:w="701" w:type="dxa"/>
            <w:tcMar/>
            <w:vAlign w:val="top"/>
          </w:tcPr>
          <w:p w:rsidR="7D013647" w:rsidP="7D013647" w:rsidRDefault="7D013647" w14:paraId="0F46D228" w14:textId="2E10B4EA">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[15] </w:t>
            </w:r>
          </w:p>
        </w:tc>
        <w:tc>
          <w:tcPr>
            <w:tcW w:w="8299" w:type="dxa"/>
            <w:tcMar/>
            <w:vAlign w:val="top"/>
          </w:tcPr>
          <w:p w:rsidR="7D013647" w:rsidP="7D013647" w:rsidRDefault="7D013647" w14:paraId="2F485390" w14:textId="3928180F">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D. P. Macdougall and N. M. Newmark, “Explosives and Terminal Ballistics,” Headquarters Air Material Command, Ohio, 1946.</w:t>
            </w:r>
          </w:p>
        </w:tc>
      </w:tr>
      <w:tr w:rsidR="7D013647" w:rsidTr="7D013647" w14:paraId="6C0D033E">
        <w:trPr>
          <w:trHeight w:val="300"/>
        </w:trPr>
        <w:tc>
          <w:tcPr>
            <w:tcW w:w="701" w:type="dxa"/>
            <w:tcMar/>
            <w:vAlign w:val="top"/>
          </w:tcPr>
          <w:p w:rsidR="7D013647" w:rsidP="7D013647" w:rsidRDefault="7D013647" w14:paraId="200EE448" w14:textId="11C3A421">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[16] </w:t>
            </w:r>
          </w:p>
        </w:tc>
        <w:tc>
          <w:tcPr>
            <w:tcW w:w="8299" w:type="dxa"/>
            <w:tcMar/>
            <w:vAlign w:val="top"/>
          </w:tcPr>
          <w:p w:rsidR="7D013647" w:rsidP="7D013647" w:rsidRDefault="7D013647" w14:paraId="29D494F1" w14:textId="7989184F">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O. E. Sheffield, J. E. Abel and H. E. LaBeur, “Development of Explosives - Mtalized Explosives,” 1953.</w:t>
            </w:r>
          </w:p>
        </w:tc>
      </w:tr>
      <w:tr w:rsidR="7D013647" w:rsidTr="7D013647" w14:paraId="3FF840CF">
        <w:trPr>
          <w:trHeight w:val="300"/>
        </w:trPr>
        <w:tc>
          <w:tcPr>
            <w:tcW w:w="701" w:type="dxa"/>
            <w:tcMar/>
            <w:vAlign w:val="top"/>
          </w:tcPr>
          <w:p w:rsidR="7D013647" w:rsidP="7D013647" w:rsidRDefault="7D013647" w14:paraId="50E0C0BD" w14:textId="47536604">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[17] </w:t>
            </w:r>
          </w:p>
        </w:tc>
        <w:tc>
          <w:tcPr>
            <w:tcW w:w="8299" w:type="dxa"/>
            <w:tcMar/>
            <w:vAlign w:val="top"/>
          </w:tcPr>
          <w:p w:rsidR="7D013647" w:rsidP="7D013647" w:rsidRDefault="7D013647" w14:paraId="11090748" w14:textId="759F4266">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C. D. Whelan, L. Hirrel, W. T. Dod, H. Tucker and K. Grandine, “Historic Context For Department of Defence World War II Permanent Construction,” R.Christopher Goodwin and Associates, Maryland, 1997.</w:t>
            </w:r>
          </w:p>
        </w:tc>
      </w:tr>
      <w:tr w:rsidR="7D013647" w:rsidTr="7D013647" w14:paraId="12960E83">
        <w:trPr>
          <w:trHeight w:val="300"/>
        </w:trPr>
        <w:tc>
          <w:tcPr>
            <w:tcW w:w="701" w:type="dxa"/>
            <w:tcMar/>
            <w:vAlign w:val="top"/>
          </w:tcPr>
          <w:p w:rsidR="7D013647" w:rsidP="7D013647" w:rsidRDefault="7D013647" w14:paraId="0B83A66B" w14:textId="71233333">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[18] </w:t>
            </w:r>
          </w:p>
        </w:tc>
        <w:tc>
          <w:tcPr>
            <w:tcW w:w="8299" w:type="dxa"/>
            <w:tcMar/>
            <w:vAlign w:val="top"/>
          </w:tcPr>
          <w:p w:rsidR="7D013647" w:rsidP="7D013647" w:rsidRDefault="7D013647" w14:paraId="48B29ED9" w14:textId="09F5E39F">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C. F. Baxter, “Torpex and the Atlantic Victory,” </w:t>
            </w:r>
            <w:r w:rsidRPr="7D013647" w:rsidR="7D013647">
              <w:rPr>
                <w:rFonts w:ascii="Calibri" w:hAnsi="Calibri" w:eastAsia="Calibri" w:cs="Calibri"/>
                <w:b w:val="0"/>
                <w:bCs w:val="0"/>
                <w:i w:val="1"/>
                <w:iCs w:val="1"/>
                <w:color w:val="000000" w:themeColor="text1" w:themeTint="FF" w:themeShade="FF"/>
                <w:sz w:val="22"/>
                <w:szCs w:val="22"/>
                <w:lang w:val="en-GB"/>
              </w:rPr>
              <w:t xml:space="preserve">International Journal of Naval History, </w:t>
            </w:r>
            <w:r w:rsidRPr="7D013647" w:rsidR="7D013647">
              <w:rPr>
                <w:rFonts w:ascii="Calibri" w:hAnsi="Calibri" w:eastAsia="Calibri" w:cs="Calibri"/>
                <w:b w:val="0"/>
                <w:bCs w:val="0"/>
                <w:i w:val="0"/>
                <w:iCs w:val="0"/>
                <w:color w:val="000000" w:themeColor="text1" w:themeTint="FF" w:themeShade="FF"/>
                <w:sz w:val="22"/>
                <w:szCs w:val="22"/>
                <w:lang w:val="en-GB"/>
              </w:rPr>
              <w:t xml:space="preserve">vol. 16, no. 1, 2021. </w:t>
            </w:r>
          </w:p>
        </w:tc>
      </w:tr>
      <w:tr w:rsidR="7D013647" w:rsidTr="7D013647" w14:paraId="0E541047">
        <w:trPr>
          <w:trHeight w:val="300"/>
        </w:trPr>
        <w:tc>
          <w:tcPr>
            <w:tcW w:w="701" w:type="dxa"/>
            <w:tcMar/>
            <w:vAlign w:val="top"/>
          </w:tcPr>
          <w:p w:rsidR="7D013647" w:rsidP="7D013647" w:rsidRDefault="7D013647" w14:paraId="1D362564" w14:textId="305A54E1">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[19] </w:t>
            </w:r>
          </w:p>
        </w:tc>
        <w:tc>
          <w:tcPr>
            <w:tcW w:w="8299" w:type="dxa"/>
            <w:tcMar/>
            <w:vAlign w:val="top"/>
          </w:tcPr>
          <w:p w:rsidR="7D013647" w:rsidP="7D013647" w:rsidRDefault="7D013647" w14:paraId="3062B23F" w14:textId="2FC9DBE6">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Department of the Navy Bureau of Ordnance, “Fragmentation Data on bombs and projectiles,” Department of the Navy Bureau of Ordnance, London, 1945.</w:t>
            </w:r>
          </w:p>
        </w:tc>
      </w:tr>
      <w:tr w:rsidR="7D013647" w:rsidTr="7D013647" w14:paraId="1117571C">
        <w:trPr>
          <w:trHeight w:val="300"/>
        </w:trPr>
        <w:tc>
          <w:tcPr>
            <w:tcW w:w="701" w:type="dxa"/>
            <w:tcMar/>
            <w:vAlign w:val="top"/>
          </w:tcPr>
          <w:p w:rsidR="7D013647" w:rsidP="7D013647" w:rsidRDefault="7D013647" w14:paraId="2AFBB59F" w14:textId="2B7B7A95">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[20] </w:t>
            </w:r>
          </w:p>
        </w:tc>
        <w:tc>
          <w:tcPr>
            <w:tcW w:w="8299" w:type="dxa"/>
            <w:tcMar/>
            <w:vAlign w:val="top"/>
          </w:tcPr>
          <w:p w:rsidR="7D013647" w:rsidP="7D013647" w:rsidRDefault="7D013647" w14:paraId="723C0B21" w14:textId="040A7D96">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J. Buckley, “Air Power and the Battle of the Atlantic 1939-45,” </w:t>
            </w:r>
            <w:r w:rsidRPr="7D013647" w:rsidR="7D013647">
              <w:rPr>
                <w:rFonts w:ascii="Calibri" w:hAnsi="Calibri" w:eastAsia="Calibri" w:cs="Calibri"/>
                <w:b w:val="0"/>
                <w:bCs w:val="0"/>
                <w:i w:val="1"/>
                <w:iCs w:val="1"/>
                <w:color w:val="000000" w:themeColor="text1" w:themeTint="FF" w:themeShade="FF"/>
                <w:sz w:val="22"/>
                <w:szCs w:val="22"/>
                <w:lang w:val="en-GB"/>
              </w:rPr>
              <w:t xml:space="preserve">Journal of contemporary History, </w:t>
            </w:r>
            <w:r w:rsidRPr="7D013647" w:rsidR="7D013647">
              <w:rPr>
                <w:rFonts w:ascii="Calibri" w:hAnsi="Calibri" w:eastAsia="Calibri" w:cs="Calibri"/>
                <w:b w:val="0"/>
                <w:bCs w:val="0"/>
                <w:i w:val="0"/>
                <w:iCs w:val="0"/>
                <w:color w:val="000000" w:themeColor="text1" w:themeTint="FF" w:themeShade="FF"/>
                <w:sz w:val="22"/>
                <w:szCs w:val="22"/>
                <w:lang w:val="en-GB"/>
              </w:rPr>
              <w:t xml:space="preserve">vol. 28, no. 1, pp. 143-161, 1993. </w:t>
            </w:r>
          </w:p>
        </w:tc>
      </w:tr>
      <w:tr w:rsidR="7D013647" w:rsidTr="7D013647" w14:paraId="17CD7311">
        <w:trPr>
          <w:trHeight w:val="300"/>
        </w:trPr>
        <w:tc>
          <w:tcPr>
            <w:tcW w:w="701" w:type="dxa"/>
            <w:tcMar/>
            <w:vAlign w:val="top"/>
          </w:tcPr>
          <w:p w:rsidR="7D013647" w:rsidP="7D013647" w:rsidRDefault="7D013647" w14:paraId="1260BF4C" w14:textId="7FE6BDBF">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[21] </w:t>
            </w:r>
          </w:p>
        </w:tc>
        <w:tc>
          <w:tcPr>
            <w:tcW w:w="8299" w:type="dxa"/>
            <w:tcMar/>
            <w:vAlign w:val="top"/>
          </w:tcPr>
          <w:p w:rsidR="7D013647" w:rsidP="7D013647" w:rsidRDefault="7D013647" w14:paraId="422E0A6C" w14:textId="5AD4D58A">
            <w:pPr>
              <w:rPr>
                <w:rFonts w:ascii="Calibri" w:hAnsi="Calibri" w:eastAsia="Calibri" w:cs="Calibri"/>
                <w:b w:val="0"/>
                <w:bCs w:val="0"/>
                <w:i w:val="0"/>
                <w:iCs w:val="0"/>
                <w:sz w:val="22"/>
                <w:szCs w:val="22"/>
              </w:rPr>
            </w:pPr>
            <w:r w:rsidRPr="7D013647" w:rsidR="7D013647">
              <w:rPr>
                <w:rFonts w:ascii="Calibri" w:hAnsi="Calibri" w:eastAsia="Calibri" w:cs="Calibri"/>
                <w:b w:val="0"/>
                <w:bCs w:val="0"/>
                <w:i w:val="0"/>
                <w:iCs w:val="0"/>
                <w:color w:val="000000" w:themeColor="text1" w:themeTint="FF" w:themeShade="FF"/>
                <w:sz w:val="22"/>
                <w:szCs w:val="22"/>
                <w:lang w:val="en-GB"/>
              </w:rPr>
              <w:t xml:space="preserve">J. Simkus, “Myers-Briggs Type Indicator (MBTI): 16 Personality Types,” Simply Psychology, 29 January 2024. [Online]. Available: </w:t>
            </w:r>
            <w:hyperlink r:id="Reee5872477e4471c">
              <w:r w:rsidRPr="7D013647" w:rsidR="7D013647">
                <w:rPr>
                  <w:rStyle w:val="Hyperlink"/>
                  <w:rFonts w:ascii="Calibri" w:hAnsi="Calibri" w:eastAsia="Calibri" w:cs="Calibri"/>
                  <w:b w:val="0"/>
                  <w:bCs w:val="0"/>
                  <w:i w:val="0"/>
                  <w:iCs w:val="0"/>
                  <w:sz w:val="22"/>
                  <w:szCs w:val="22"/>
                  <w:lang w:val="en-GB"/>
                </w:rPr>
                <w:t>https://www.simplypsychology.org/the-myers-briggs-type-indicator.html</w:t>
              </w:r>
            </w:hyperlink>
            <w:r w:rsidRPr="7D013647" w:rsidR="7D013647">
              <w:rPr>
                <w:rFonts w:ascii="Calibri" w:hAnsi="Calibri" w:eastAsia="Calibri" w:cs="Calibri"/>
                <w:b w:val="0"/>
                <w:bCs w:val="0"/>
                <w:i w:val="0"/>
                <w:iCs w:val="0"/>
                <w:color w:val="000000" w:themeColor="text1" w:themeTint="FF" w:themeShade="FF"/>
                <w:sz w:val="22"/>
                <w:szCs w:val="22"/>
                <w:lang w:val="en-GB"/>
              </w:rPr>
              <w:t>. [Accessed 6 December 2024].</w:t>
            </w:r>
          </w:p>
        </w:tc>
      </w:tr>
    </w:tbl>
    <w:p xmlns:wp14="http://schemas.microsoft.com/office/word/2010/wordml" w:rsidP="7D013647" wp14:paraId="64379FC9" wp14:textId="1B988433">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7D013647" w:rsidR="0A42A7C6">
        <w:rPr>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7D013647" wp14:paraId="5899BB8D" wp14:textId="6533C9CA">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p14:paraId="2C078E63" wp14:textId="41FB104A"/>
    <w:sectPr>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a0d403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4F35BB"/>
    <w:rsid w:val="0108C62B"/>
    <w:rsid w:val="05504C51"/>
    <w:rsid w:val="0680F5A0"/>
    <w:rsid w:val="06B1C9CA"/>
    <w:rsid w:val="093E2A3A"/>
    <w:rsid w:val="09B492BA"/>
    <w:rsid w:val="0A42A7C6"/>
    <w:rsid w:val="0A6F5E3E"/>
    <w:rsid w:val="0ABF59D3"/>
    <w:rsid w:val="0C303D17"/>
    <w:rsid w:val="0C303D17"/>
    <w:rsid w:val="0EA15ED6"/>
    <w:rsid w:val="1077864E"/>
    <w:rsid w:val="10C28C3B"/>
    <w:rsid w:val="11A4D2D9"/>
    <w:rsid w:val="11EFBE36"/>
    <w:rsid w:val="1219E874"/>
    <w:rsid w:val="15750856"/>
    <w:rsid w:val="17360124"/>
    <w:rsid w:val="197986F2"/>
    <w:rsid w:val="1B193B97"/>
    <w:rsid w:val="1BDC1DBD"/>
    <w:rsid w:val="1E438F22"/>
    <w:rsid w:val="1E925356"/>
    <w:rsid w:val="1F797E94"/>
    <w:rsid w:val="1FF886BF"/>
    <w:rsid w:val="224850D1"/>
    <w:rsid w:val="236476CC"/>
    <w:rsid w:val="23DB9C20"/>
    <w:rsid w:val="270FFEB6"/>
    <w:rsid w:val="27640910"/>
    <w:rsid w:val="291F264C"/>
    <w:rsid w:val="2969B7DB"/>
    <w:rsid w:val="2A566244"/>
    <w:rsid w:val="2D580FEA"/>
    <w:rsid w:val="2E485B6B"/>
    <w:rsid w:val="2F34ED85"/>
    <w:rsid w:val="308CFD5A"/>
    <w:rsid w:val="34EF6A69"/>
    <w:rsid w:val="38AD9FF0"/>
    <w:rsid w:val="3C9CAE7C"/>
    <w:rsid w:val="3E11047B"/>
    <w:rsid w:val="3E4F35BB"/>
    <w:rsid w:val="3EAC3039"/>
    <w:rsid w:val="3EE7FC1D"/>
    <w:rsid w:val="43DCBC33"/>
    <w:rsid w:val="452B3795"/>
    <w:rsid w:val="453856FF"/>
    <w:rsid w:val="453856FF"/>
    <w:rsid w:val="464B3DE9"/>
    <w:rsid w:val="48AA80E6"/>
    <w:rsid w:val="4D67ADC1"/>
    <w:rsid w:val="4D758FBD"/>
    <w:rsid w:val="4EB9A43F"/>
    <w:rsid w:val="4EFF0AAB"/>
    <w:rsid w:val="4F378E5E"/>
    <w:rsid w:val="508FD737"/>
    <w:rsid w:val="50B1B128"/>
    <w:rsid w:val="52A6A80E"/>
    <w:rsid w:val="556DED5B"/>
    <w:rsid w:val="56389DB2"/>
    <w:rsid w:val="57A6C344"/>
    <w:rsid w:val="5A313BCB"/>
    <w:rsid w:val="5A6BBB37"/>
    <w:rsid w:val="5A6BBB37"/>
    <w:rsid w:val="5A9884FA"/>
    <w:rsid w:val="5E984F4C"/>
    <w:rsid w:val="5EACE604"/>
    <w:rsid w:val="5EFF0323"/>
    <w:rsid w:val="60C55F5E"/>
    <w:rsid w:val="6253C19B"/>
    <w:rsid w:val="65AC6E8A"/>
    <w:rsid w:val="696187EC"/>
    <w:rsid w:val="6A3CC38F"/>
    <w:rsid w:val="6CB42542"/>
    <w:rsid w:val="6D456ECF"/>
    <w:rsid w:val="6DA60BB0"/>
    <w:rsid w:val="6DB14047"/>
    <w:rsid w:val="6FD7633F"/>
    <w:rsid w:val="735E5EC1"/>
    <w:rsid w:val="74BB4354"/>
    <w:rsid w:val="74E02E1E"/>
    <w:rsid w:val="77E0572B"/>
    <w:rsid w:val="781FCE63"/>
    <w:rsid w:val="784E5F5B"/>
    <w:rsid w:val="7936589D"/>
    <w:rsid w:val="7962EE5F"/>
    <w:rsid w:val="7B1D11B5"/>
    <w:rsid w:val="7D013647"/>
    <w:rsid w:val="7FFF55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F35BB"/>
  <w15:chartTrackingRefBased/>
  <w15:docId w15:val="{C150014C-BBB4-464A-A6DE-10E83057C6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aragraph" w:customStyle="true">
    <w:uiPriority w:val="1"/>
    <w:name w:val="paragraph"/>
    <w:basedOn w:val="Normal"/>
    <w:rsid w:val="7D013647"/>
    <w:rPr>
      <w:rFonts w:ascii="Times New Roman" w:hAnsi="Times New Roman" w:eastAsia="Times New Roman" w:cs="Times New Roman" w:asciiTheme="minorAscii" w:hAnsiTheme="minorAscii" w:eastAsiaTheme="minorAscii" w:cstheme="minorBidi"/>
      <w:sz w:val="24"/>
      <w:szCs w:val="24"/>
      <w:lang w:eastAsia="zh-CN"/>
    </w:rPr>
    <w:pPr>
      <w:spacing w:beforeAutospacing="on" w:afterAutospacing="on" w:line="240" w:lineRule="auto"/>
    </w:pPr>
  </w:style>
  <w:style w:type="character" w:styleId="normaltextrun" w:customStyle="true">
    <w:uiPriority w:val="1"/>
    <w:name w:val="normaltextrun"/>
    <w:basedOn w:val="DefaultParagraphFont"/>
    <w:rsid w:val="7D013647"/>
    <w:rPr>
      <w:rFonts w:ascii="Calibri" w:hAnsi="Calibri" w:eastAsia="Calibri" w:cs="" w:asciiTheme="minorAscii" w:hAnsiTheme="minorAscii" w:eastAsiaTheme="minorAscii" w:cstheme="minorBidi"/>
      <w:sz w:val="22"/>
      <w:szCs w:val="22"/>
    </w:rPr>
  </w:style>
  <w:style w:type="character" w:styleId="eop" w:customStyle="true">
    <w:uiPriority w:val="1"/>
    <w:name w:val="eop"/>
    <w:basedOn w:val="DefaultParagraphFont"/>
    <w:rsid w:val="7D013647"/>
    <w:rPr>
      <w:rFonts w:ascii="Calibri" w:hAnsi="Calibri" w:eastAsia="Calibri" w:cs="" w:asciiTheme="minorAscii" w:hAnsiTheme="minorAscii" w:eastAsiaTheme="minorAscii" w:cstheme="minorBidi"/>
      <w:sz w:val="22"/>
      <w:szCs w:val="2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316ed0986ae4c2c" /><Relationship Type="http://schemas.openxmlformats.org/officeDocument/2006/relationships/image" Target="/media/image2.png" Id="Rf0258ca648634f1d" /><Relationship Type="http://schemas.openxmlformats.org/officeDocument/2006/relationships/image" Target="/media/image4.png" Id="Rd6150f9ac99e4114" /><Relationship Type="http://schemas.openxmlformats.org/officeDocument/2006/relationships/image" Target="/media/image5.png" Id="Rc3f56cfbc9284824" /><Relationship Type="http://schemas.openxmlformats.org/officeDocument/2006/relationships/image" Target="/media/image6.png" Id="Red375d4f55be4775" /><Relationship Type="http://schemas.openxmlformats.org/officeDocument/2006/relationships/image" Target="/media/image7.png" Id="Rc8ce833dfccc454c" /><Relationship Type="http://schemas.openxmlformats.org/officeDocument/2006/relationships/image" Target="/media/image8.png" Id="R9a4c9dbf443c4a2b" /><Relationship Type="http://schemas.openxmlformats.org/officeDocument/2006/relationships/image" Target="/media/image9.png" Id="Ra81c62d6889841e6" /><Relationship Type="http://schemas.openxmlformats.org/officeDocument/2006/relationships/image" Target="/media/imagea.png" Id="R584f8b33be3d4ab7" /><Relationship Type="http://schemas.openxmlformats.org/officeDocument/2006/relationships/image" Target="/media/imageb.png" Id="Rc643850af0f74122" /><Relationship Type="http://schemas.openxmlformats.org/officeDocument/2006/relationships/image" Target="/media/imagec.png" Id="R7ec7ac4b4eb04bf3" /><Relationship Type="http://schemas.openxmlformats.org/officeDocument/2006/relationships/image" Target="/media/imaged.png" Id="R5f77a73f9b424ca1" /><Relationship Type="http://schemas.openxmlformats.org/officeDocument/2006/relationships/image" Target="/media/imagee.png" Id="R943a0a02fd0d406c" /><Relationship Type="http://schemas.openxmlformats.org/officeDocument/2006/relationships/image" Target="/media/imagef.png" Id="R416cc397ba2b4273" /><Relationship Type="http://schemas.openxmlformats.org/officeDocument/2006/relationships/hyperlink" Target="https://www.ispringsolutions.com/blog/10-powerpoint-tips-to-make-your-slides-more-effective" TargetMode="External" Id="R8b02f5c2940d4ba4" /><Relationship Type="http://schemas.openxmlformats.org/officeDocument/2006/relationships/hyperlink" Target="https://www.thestayclub.com/blog/essential-skills-needed-for-university/" TargetMode="External" Id="R98da207271174d20" /><Relationship Type="http://schemas.openxmlformats.org/officeDocument/2006/relationships/hyperlink" Target="https://www.lsst.ac/blogs/the-importance-of-study-skills-in-he-for-learners-to-enhance-and-develop-their-studies-further/" TargetMode="External" Id="R734315deb9b94f3c" /><Relationship Type="http://schemas.openxmlformats.org/officeDocument/2006/relationships/hyperlink" Target="https://online.lincoln.ac.uk/the-power-of-effective-time-management/" TargetMode="External" Id="R0e7ad9c7015d4493" /><Relationship Type="http://schemas.openxmlformats.org/officeDocument/2006/relationships/hyperlink" Target="https://institute-academic-development.ed.ac.uk/study-hub/learning-resources/critical" TargetMode="External" Id="R2f06ba2008d94198" /><Relationship Type="http://schemas.openxmlformats.org/officeDocument/2006/relationships/hyperlink" Target="https://www.flexjobs.com/blog/post/transferable-skills?utm_source=qa" TargetMode="External" Id="Rde803f0eedea452d" /><Relationship Type="http://schemas.openxmlformats.org/officeDocument/2006/relationships/hyperlink" Target="https://insightglobal.com/blog/hard-skills-vs-soft-skills/" TargetMode="External" Id="Ra0548d0d34e84c06" /><Relationship Type="http://schemas.openxmlformats.org/officeDocument/2006/relationships/hyperlink" Target="https://www.peoplemanagement.co.uk/article/1885308/two-thirds-employers-value-soft-skills-educational-qualifications-when-hiring-research-finds" TargetMode="External" Id="R082f39a7c4424e44" /><Relationship Type="http://schemas.openxmlformats.org/officeDocument/2006/relationships/hyperlink" Target="https://www.simplypsychology.org/the-myers-briggs-type-indicator.html" TargetMode="External" Id="R40cf074fe6a5409d" /><Relationship Type="http://schemas.openxmlformats.org/officeDocument/2006/relationships/hyperlink" Target="https://www.verywellmind.com/estp-extraverted-sensing-thinking-perceiving-2795986" TargetMode="External" Id="R031dd74b06d547ce" /><Relationship Type="http://schemas.openxmlformats.org/officeDocument/2006/relationships/hyperlink" Target="https://directmacro.com/blog/post/advantages-and-disadvantages-of-using-external-hard-drives?srsltid=AfmBOoozrD7aT3Ev3NTxOZt_A7Z83CnwCLqHHbp3F6ucS8Z7z3wOjeGV" TargetMode="External" Id="R896bd70ed3694dea" /><Relationship Type="http://schemas.openxmlformats.org/officeDocument/2006/relationships/hyperlink" Target="https://www.simplypsychology.org/the-myers-briggs-type-indicator.html" TargetMode="External" Id="Reee5872477e4471c" /><Relationship Type="http://schemas.openxmlformats.org/officeDocument/2006/relationships/numbering" Target="numbering.xml" Id="Re087e6d25329497c" /><Relationship Type="http://schemas.openxmlformats.org/officeDocument/2006/relationships/image" Target="/media/image10.png" Id="R22e4a44fb07744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2025-01-06T14:53:21.9801566Z</dcterms:created>
  <dcterms:modified xsi:type="dcterms:W3CDTF">2025-01-07T14:08:11.5469355Z</dcterms:modified>
  <dc:creator>Charlotte McCombe (2411524)</dc:creator>
  <lastModifiedBy>Charlotte McCombe (2411524)</lastModifiedBy>
</coreProperties>
</file>