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99C48DDF">
      <w:pPr>
        <w:pStyle w:val="style0"/>
        <w:rPr/>
      </w:pPr>
    </w:p>
    <w:p w14:paraId="7585EB98">
      <w:pPr>
        <w:pStyle w:val="style0"/>
        <w:spacing w:after="200"/>
        <w:jc w:val="center"/>
        <w:rPr/>
      </w:pPr>
      <w:r>
        <w:rPr>
          <w:b/>
          <w:sz w:val="36"/>
        </w:rPr>
        <w:t>CORONARY HEAR</w:t>
      </w:r>
      <w:bookmarkStart w:id="0" w:name="_GoBack"/>
      <w:bookmarkEnd w:id="0"/>
      <w:r>
        <w:rPr>
          <w:b/>
          <w:sz w:val="36"/>
        </w:rPr>
        <w:t>T DISEASE AS A PUBLIC HEALTH ISSUE</w:t>
      </w:r>
    </w:p>
    <w:p w14:paraId="24787664">
      <w:pPr>
        <w:pStyle w:val="style0"/>
        <w:spacing w:after="600"/>
        <w:jc w:val="center"/>
        <w:rPr/>
      </w:pPr>
      <w:r>
        <w:rPr>
          <w:i/>
          <w:sz w:val="24"/>
        </w:rPr>
        <w:t>Measurement, Control, Community Consequences and Support Services</w:t>
      </w:r>
    </w:p>
    <w:p w14:paraId="73D1A143">
      <w:pPr>
        <w:pStyle w:val="style0"/>
        <w:spacing w:after="60" w:lineRule="auto" w:line="276"/>
        <w:ind w:left="648" w:right="360"/>
        <w:jc w:val="center"/>
        <w:rPr/>
      </w:pPr>
      <w:r>
        <w:rPr>
          <w:b/>
        </w:rPr>
        <w:t xml:space="preserve">Student name: </w:t>
      </w:r>
      <w:r>
        <w:rPr>
          <w:b/>
        </w:rPr>
        <w:t>Ratan Kumar Deb</w:t>
      </w:r>
    </w:p>
    <w:p w14:paraId="02D9912E">
      <w:pPr>
        <w:pStyle w:val="style0"/>
        <w:spacing w:after="60" w:lineRule="auto" w:line="276"/>
        <w:ind w:left="648" w:right="360"/>
        <w:jc w:val="center"/>
        <w:rPr/>
      </w:pPr>
      <w:r>
        <w:rPr>
          <w:b/>
        </w:rPr>
        <w:t xml:space="preserve">Student ID number: </w:t>
      </w:r>
      <w:r>
        <w:t>2529380</w:t>
      </w:r>
    </w:p>
    <w:p w14:paraId="3AC04C36">
      <w:pPr>
        <w:pStyle w:val="style0"/>
        <w:spacing w:after="60" w:lineRule="auto" w:line="276"/>
        <w:ind w:left="648" w:right="360"/>
        <w:jc w:val="center"/>
        <w:rPr/>
      </w:pPr>
      <w:r>
        <w:rPr>
          <w:b/>
        </w:rPr>
        <w:t xml:space="preserve">Programme: </w:t>
      </w:r>
      <w:r>
        <w:t>Certificate of Higher Education Skills for the Workplace (Health &amp; Social Care)</w:t>
      </w:r>
    </w:p>
    <w:p w14:paraId="DCB1D507">
      <w:pPr>
        <w:pStyle w:val="style0"/>
        <w:spacing w:after="60" w:lineRule="auto" w:line="276"/>
        <w:ind w:left="648" w:right="360"/>
        <w:jc w:val="center"/>
        <w:rPr/>
      </w:pPr>
    </w:p>
    <w:p w14:paraId="0F8B1951">
      <w:pPr>
        <w:pStyle w:val="style0"/>
        <w:spacing w:after="60" w:lineRule="auto" w:line="276"/>
        <w:ind w:left="648" w:right="360"/>
        <w:jc w:val="center"/>
        <w:rPr/>
      </w:pPr>
      <w:r>
        <w:rPr>
          <w:b/>
        </w:rPr>
        <w:t xml:space="preserve">Module: </w:t>
      </w:r>
      <w:r>
        <w:t>Introduction to Public Health</w:t>
      </w:r>
    </w:p>
    <w:p w14:paraId="6618DF0E">
      <w:pPr>
        <w:pStyle w:val="style0"/>
        <w:spacing w:after="60" w:lineRule="auto" w:line="276"/>
        <w:ind w:left="648" w:right="360"/>
        <w:jc w:val="center"/>
        <w:rPr/>
      </w:pPr>
      <w:r>
        <w:rPr>
          <w:b/>
        </w:rPr>
        <w:t xml:space="preserve">Module code: </w:t>
      </w:r>
      <w:r>
        <w:t>LCHS4008</w:t>
      </w:r>
    </w:p>
    <w:p w14:paraId="9BC50495">
      <w:pPr>
        <w:pStyle w:val="style0"/>
        <w:spacing w:after="60" w:lineRule="auto" w:line="276"/>
        <w:ind w:left="648" w:right="360"/>
        <w:jc w:val="center"/>
        <w:rPr/>
      </w:pPr>
      <w:r>
        <w:rPr>
          <w:b/>
        </w:rPr>
        <w:t xml:space="preserve">Lecturer: </w:t>
      </w:r>
      <w:r>
        <w:t>Dr Patronella Ganza</w:t>
      </w:r>
    </w:p>
    <w:p w14:paraId="BAFBF3FC">
      <w:pPr>
        <w:pStyle w:val="style0"/>
        <w:spacing w:after="60" w:lineRule="auto" w:line="276"/>
        <w:ind w:left="648" w:right="360"/>
        <w:jc w:val="center"/>
        <w:rPr/>
      </w:pPr>
      <w:r>
        <w:rPr>
          <w:b/>
        </w:rPr>
        <w:t xml:space="preserve">Assignment: </w:t>
      </w:r>
      <w:r>
        <w:t>Component 2: Report on a Health Issue</w:t>
      </w:r>
    </w:p>
    <w:p w14:paraId="D1BAAE4D">
      <w:pPr>
        <w:pStyle w:val="style0"/>
        <w:spacing w:after="60" w:lineRule="auto" w:line="276"/>
        <w:ind w:left="648" w:right="360"/>
        <w:jc w:val="center"/>
        <w:rPr/>
      </w:pPr>
      <w:r>
        <w:rPr>
          <w:b/>
        </w:rPr>
        <w:t xml:space="preserve">Word count: </w:t>
      </w:r>
      <w:r>
        <w:t>1,5</w:t>
      </w:r>
      <w:r>
        <w:t>00 words</w:t>
      </w:r>
    </w:p>
    <w:p w14:paraId="6E547A94">
      <w:pPr>
        <w:pStyle w:val="style0"/>
        <w:rPr/>
      </w:pPr>
      <w:r>
        <w:br w:type="page"/>
      </w:r>
    </w:p>
    <w:p w14:paraId="5E5AAFE0">
      <w:pPr>
        <w:pStyle w:val="style266"/>
        <w:rPr/>
      </w:pPr>
      <w:r>
        <w:t>Table of Contents</w:t>
      </w:r>
    </w:p>
    <w:p w14:paraId="4954EAE4">
      <w:pPr>
        <w:pStyle w:val="style19"/>
        <w:tabs>
          <w:tab w:val="right" w:leader="dot" w:pos="9350"/>
        </w:tabs>
        <w:rPr>
          <w:rFonts w:ascii="Cambria" w:hAnsi="Cambria"/>
          <w:noProof/>
          <w:color w:val="auto"/>
        </w:rPr>
      </w:pPr>
      <w:r>
        <w:rPr/>
        <w:fldChar w:fldCharType="begin"/>
      </w:r>
      <w:r>
        <w:instrText xml:space="preserve"> TOC \o "1-3" \h \z \u </w:instrText>
      </w:r>
      <w:r>
        <w:rPr/>
        <w:fldChar w:fldCharType="separate"/>
      </w:r>
      <w:r>
        <w:rPr/>
        <w:fldChar w:fldCharType="begin"/>
      </w:r>
      <w:r>
        <w:instrText xml:space="preserve"> HYPERLINK \l "_Toc237636392"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_Toc237636392 \h </w:instrText>
      </w:r>
      <w:r>
        <w:rPr>
          <w:noProof/>
          <w:webHidden/>
        </w:rPr>
        <w:fldChar w:fldCharType="separate"/>
      </w:r>
      <w:r>
        <w:rPr>
          <w:noProof/>
          <w:webHidden/>
        </w:rPr>
        <w:t>3</w:t>
      </w:r>
      <w:r>
        <w:rPr>
          <w:noProof/>
          <w:webHidden/>
        </w:rPr>
        <w:fldChar w:fldCharType="end"/>
      </w:r>
      <w:r>
        <w:rPr/>
        <w:fldChar w:fldCharType="end"/>
      </w:r>
    </w:p>
    <w:p w14:paraId="474AA97E">
      <w:pPr>
        <w:pStyle w:val="style19"/>
        <w:tabs>
          <w:tab w:val="right" w:leader="dot" w:pos="9350"/>
        </w:tabs>
        <w:rPr>
          <w:rFonts w:ascii="Cambria" w:hAnsi="Cambria"/>
          <w:noProof/>
          <w:color w:val="auto"/>
        </w:rPr>
      </w:pPr>
      <w:r>
        <w:rPr/>
        <w:fldChar w:fldCharType="begin"/>
      </w:r>
      <w:r>
        <w:instrText xml:space="preserve"> HYPERLINK \l "_Toc237636393" </w:instrText>
      </w:r>
      <w:r>
        <w:rPr/>
        <w:fldChar w:fldCharType="separate"/>
      </w:r>
      <w:r>
        <w:rPr>
          <w:rStyle w:val="style85"/>
          <w:noProof/>
        </w:rPr>
        <w:t>2. Measuring and Monitoring Coronary Heart Disease</w:t>
      </w:r>
      <w:r>
        <w:rPr>
          <w:noProof/>
          <w:webHidden/>
        </w:rPr>
        <w:tab/>
      </w:r>
      <w:r>
        <w:rPr>
          <w:noProof/>
          <w:webHidden/>
        </w:rPr>
        <w:fldChar w:fldCharType="begin"/>
      </w:r>
      <w:r>
        <w:rPr>
          <w:noProof/>
          <w:webHidden/>
        </w:rPr>
        <w:instrText xml:space="preserve"> PAGEREF _Toc237636393 \h </w:instrText>
      </w:r>
      <w:r>
        <w:rPr>
          <w:noProof/>
          <w:webHidden/>
        </w:rPr>
        <w:fldChar w:fldCharType="separate"/>
      </w:r>
      <w:r>
        <w:rPr>
          <w:noProof/>
          <w:webHidden/>
        </w:rPr>
        <w:t>4</w:t>
      </w:r>
      <w:r>
        <w:rPr>
          <w:noProof/>
          <w:webHidden/>
        </w:rPr>
        <w:fldChar w:fldCharType="end"/>
      </w:r>
      <w:r>
        <w:rPr/>
        <w:fldChar w:fldCharType="end"/>
      </w:r>
    </w:p>
    <w:p w14:paraId="4E82FEDB">
      <w:pPr>
        <w:pStyle w:val="style19"/>
        <w:tabs>
          <w:tab w:val="right" w:leader="dot" w:pos="9350"/>
        </w:tabs>
        <w:rPr>
          <w:rFonts w:ascii="Cambria" w:hAnsi="Cambria"/>
          <w:noProof/>
          <w:color w:val="auto"/>
        </w:rPr>
      </w:pPr>
      <w:r>
        <w:rPr/>
        <w:fldChar w:fldCharType="begin"/>
      </w:r>
      <w:r>
        <w:instrText xml:space="preserve"> HYPERLINK \l "_Toc237636394" </w:instrText>
      </w:r>
      <w:r>
        <w:rPr/>
        <w:fldChar w:fldCharType="separate"/>
      </w:r>
      <w:r>
        <w:rPr>
          <w:rStyle w:val="style85"/>
          <w:noProof/>
        </w:rPr>
        <w:t>3. Control of Coronary Heart Disease</w:t>
      </w:r>
      <w:r>
        <w:rPr>
          <w:noProof/>
          <w:webHidden/>
        </w:rPr>
        <w:tab/>
      </w:r>
      <w:r>
        <w:rPr>
          <w:noProof/>
          <w:webHidden/>
        </w:rPr>
        <w:fldChar w:fldCharType="begin"/>
      </w:r>
      <w:r>
        <w:rPr>
          <w:noProof/>
          <w:webHidden/>
        </w:rPr>
        <w:instrText xml:space="preserve"> PAGEREF _Toc237636394 \h </w:instrText>
      </w:r>
      <w:r>
        <w:rPr>
          <w:noProof/>
          <w:webHidden/>
        </w:rPr>
        <w:fldChar w:fldCharType="separate"/>
      </w:r>
      <w:r>
        <w:rPr>
          <w:noProof/>
          <w:webHidden/>
        </w:rPr>
        <w:t>5</w:t>
      </w:r>
      <w:r>
        <w:rPr>
          <w:noProof/>
          <w:webHidden/>
        </w:rPr>
        <w:fldChar w:fldCharType="end"/>
      </w:r>
      <w:r>
        <w:rPr/>
        <w:fldChar w:fldCharType="end"/>
      </w:r>
    </w:p>
    <w:p w14:paraId="CD20896A">
      <w:pPr>
        <w:pStyle w:val="style19"/>
        <w:tabs>
          <w:tab w:val="right" w:leader="dot" w:pos="9350"/>
        </w:tabs>
        <w:rPr>
          <w:rFonts w:ascii="Cambria" w:hAnsi="Cambria"/>
          <w:noProof/>
          <w:color w:val="auto"/>
        </w:rPr>
      </w:pPr>
      <w:r>
        <w:rPr/>
        <w:fldChar w:fldCharType="begin"/>
      </w:r>
      <w:r>
        <w:instrText xml:space="preserve"> HYPERLINK \l "_Toc237636395" </w:instrText>
      </w:r>
      <w:r>
        <w:rPr/>
        <w:fldChar w:fldCharType="separate"/>
      </w:r>
      <w:r>
        <w:rPr>
          <w:rStyle w:val="style85"/>
          <w:noProof/>
        </w:rPr>
        <w:t>4. Consequences for People and the Community</w:t>
      </w:r>
      <w:r>
        <w:rPr>
          <w:noProof/>
          <w:webHidden/>
        </w:rPr>
        <w:tab/>
      </w:r>
      <w:r>
        <w:rPr>
          <w:noProof/>
          <w:webHidden/>
        </w:rPr>
        <w:fldChar w:fldCharType="begin"/>
      </w:r>
      <w:r>
        <w:rPr>
          <w:noProof/>
          <w:webHidden/>
        </w:rPr>
        <w:instrText xml:space="preserve"> PAGEREF _Toc237636395 \h </w:instrText>
      </w:r>
      <w:r>
        <w:rPr>
          <w:noProof/>
          <w:webHidden/>
        </w:rPr>
        <w:fldChar w:fldCharType="separate"/>
      </w:r>
      <w:r>
        <w:rPr>
          <w:noProof/>
          <w:webHidden/>
        </w:rPr>
        <w:t>7</w:t>
      </w:r>
      <w:r>
        <w:rPr>
          <w:noProof/>
          <w:webHidden/>
        </w:rPr>
        <w:fldChar w:fldCharType="end"/>
      </w:r>
      <w:r>
        <w:rPr/>
        <w:fldChar w:fldCharType="end"/>
      </w:r>
    </w:p>
    <w:p w14:paraId="AFC0A6BD">
      <w:pPr>
        <w:pStyle w:val="style19"/>
        <w:tabs>
          <w:tab w:val="right" w:leader="dot" w:pos="9350"/>
        </w:tabs>
        <w:rPr>
          <w:rFonts w:ascii="Cambria" w:hAnsi="Cambria"/>
          <w:noProof/>
          <w:color w:val="auto"/>
        </w:rPr>
      </w:pPr>
      <w:r>
        <w:rPr/>
        <w:fldChar w:fldCharType="begin"/>
      </w:r>
      <w:r>
        <w:instrText xml:space="preserve"> HYPERLINK \l "_Toc237636396" </w:instrText>
      </w:r>
      <w:r>
        <w:rPr/>
        <w:fldChar w:fldCharType="separate"/>
      </w:r>
      <w:r>
        <w:rPr>
          <w:rStyle w:val="style85"/>
          <w:noProof/>
        </w:rPr>
        <w:t>5. Health and Social Care Support in the Community</w:t>
      </w:r>
      <w:r>
        <w:rPr>
          <w:noProof/>
          <w:webHidden/>
        </w:rPr>
        <w:tab/>
      </w:r>
      <w:r>
        <w:rPr>
          <w:noProof/>
          <w:webHidden/>
        </w:rPr>
        <w:fldChar w:fldCharType="begin"/>
      </w:r>
      <w:r>
        <w:rPr>
          <w:noProof/>
          <w:webHidden/>
        </w:rPr>
        <w:instrText xml:space="preserve"> PAGEREF _Toc237636396 \h </w:instrText>
      </w:r>
      <w:r>
        <w:rPr>
          <w:noProof/>
          <w:webHidden/>
        </w:rPr>
        <w:fldChar w:fldCharType="separate"/>
      </w:r>
      <w:r>
        <w:rPr>
          <w:noProof/>
          <w:webHidden/>
        </w:rPr>
        <w:t>8</w:t>
      </w:r>
      <w:r>
        <w:rPr>
          <w:noProof/>
          <w:webHidden/>
        </w:rPr>
        <w:fldChar w:fldCharType="end"/>
      </w:r>
      <w:r>
        <w:rPr/>
        <w:fldChar w:fldCharType="end"/>
      </w:r>
    </w:p>
    <w:p w14:paraId="19291AB0">
      <w:pPr>
        <w:pStyle w:val="style19"/>
        <w:tabs>
          <w:tab w:val="right" w:leader="dot" w:pos="9350"/>
        </w:tabs>
        <w:rPr>
          <w:rFonts w:ascii="Cambria" w:hAnsi="Cambria"/>
          <w:noProof/>
          <w:color w:val="auto"/>
        </w:rPr>
      </w:pPr>
      <w:r>
        <w:rPr/>
        <w:fldChar w:fldCharType="begin"/>
      </w:r>
      <w:r>
        <w:instrText xml:space="preserve"> HYPERLINK \l "_Toc237636397" </w:instrText>
      </w:r>
      <w:r>
        <w:rPr/>
        <w:fldChar w:fldCharType="separate"/>
      </w:r>
      <w:r>
        <w:rPr>
          <w:rStyle w:val="style85"/>
          <w:noProof/>
        </w:rPr>
        <w:t>6. Conclusion</w:t>
      </w:r>
      <w:r>
        <w:rPr>
          <w:noProof/>
          <w:webHidden/>
        </w:rPr>
        <w:tab/>
      </w:r>
      <w:r>
        <w:rPr>
          <w:noProof/>
          <w:webHidden/>
        </w:rPr>
        <w:fldChar w:fldCharType="begin"/>
      </w:r>
      <w:r>
        <w:rPr>
          <w:noProof/>
          <w:webHidden/>
        </w:rPr>
        <w:instrText xml:space="preserve"> PAGEREF _Toc237636397 \h </w:instrText>
      </w:r>
      <w:r>
        <w:rPr>
          <w:noProof/>
          <w:webHidden/>
        </w:rPr>
        <w:fldChar w:fldCharType="separate"/>
      </w:r>
      <w:r>
        <w:rPr>
          <w:noProof/>
          <w:webHidden/>
        </w:rPr>
        <w:t>9</w:t>
      </w:r>
      <w:r>
        <w:rPr>
          <w:noProof/>
          <w:webHidden/>
        </w:rPr>
        <w:fldChar w:fldCharType="end"/>
      </w:r>
      <w:r>
        <w:rPr/>
        <w:fldChar w:fldCharType="end"/>
      </w:r>
    </w:p>
    <w:p w14:paraId="7E329EA1">
      <w:pPr>
        <w:pStyle w:val="style19"/>
        <w:tabs>
          <w:tab w:val="right" w:leader="dot" w:pos="9350"/>
        </w:tabs>
        <w:rPr>
          <w:rFonts w:ascii="Cambria" w:hAnsi="Cambria"/>
          <w:noProof/>
          <w:color w:val="auto"/>
        </w:rPr>
      </w:pPr>
      <w:r>
        <w:rPr/>
        <w:fldChar w:fldCharType="begin"/>
      </w:r>
      <w:r>
        <w:instrText xml:space="preserve"> HYPERLINK \l "_Toc237636398"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_Toc237636398 \h </w:instrText>
      </w:r>
      <w:r>
        <w:rPr>
          <w:noProof/>
          <w:webHidden/>
        </w:rPr>
        <w:fldChar w:fldCharType="separate"/>
      </w:r>
      <w:r>
        <w:rPr>
          <w:noProof/>
          <w:webHidden/>
        </w:rPr>
        <w:t>11</w:t>
      </w:r>
      <w:r>
        <w:rPr>
          <w:noProof/>
          <w:webHidden/>
        </w:rPr>
        <w:fldChar w:fldCharType="end"/>
      </w:r>
      <w:r>
        <w:rPr/>
        <w:fldChar w:fldCharType="end"/>
      </w:r>
    </w:p>
    <w:p w14:paraId="2D11FE72">
      <w:pPr>
        <w:pStyle w:val="style0"/>
        <w:rPr/>
      </w:pPr>
      <w:r>
        <w:rPr>
          <w:b/>
          <w:bCs/>
          <w:noProof/>
        </w:rPr>
        <w:fldChar w:fldCharType="end"/>
      </w:r>
    </w:p>
    <w:p w14:paraId="F07EC81D">
      <w:pPr>
        <w:pStyle w:val="style0"/>
        <w:rPr/>
      </w:pPr>
    </w:p>
    <w:p w14:paraId="B5260998">
      <w:pPr>
        <w:pStyle w:val="style0"/>
        <w:spacing w:after="200" w:lineRule="auto" w:line="276"/>
        <w:rPr/>
      </w:pPr>
      <w:r>
        <w:br w:type="page"/>
      </w:r>
    </w:p>
    <w:bookmarkStart w:id="1" w:name="_Toc237636392"/>
    <w:p w14:paraId="64A54D50">
      <w:pPr>
        <w:pStyle w:val="style1"/>
        <w:rPr/>
      </w:pPr>
      <w:r>
        <w:t>1. Introduction</w:t>
      </w:r>
      <w:bookmarkEnd w:id="1"/>
    </w:p>
    <w:p w14:paraId="B3A72722">
      <w:pPr>
        <w:pStyle w:val="style0"/>
        <w:ind w:firstLine="432"/>
        <w:jc w:val="both"/>
        <w:rPr/>
      </w:pPr>
      <w:r>
        <w:t>Coronary heart disease (CHD) happens when the arteries that go to the heart become narrowed by fatty matter. This diminishes blood flow of oxygen rich blood. May lead to angina or a heart attack. Symptoms include chest pressure, shortness of breath, sweating, nausea and excessive tiredness. The pain can radiate down the arm, to the jaw, back or stomach. Mild or unusual symptoms are experienced by some. Risk factors include smoking, high blood pressure, elevated cholesterol, diabetes, a lack of physical activity, obesity, old age and poverty (British Heart Foundation, 2025).</w:t>
      </w:r>
    </w:p>
    <w:p w14:paraId="561434F4">
      <w:pPr>
        <w:pStyle w:val="style0"/>
        <w:ind w:firstLine="432"/>
        <w:jc w:val="both"/>
        <w:rPr/>
      </w:pPr>
      <w:r>
        <w:t>In 2021, there were 8.99 million deaths and 254.28 million existing cases and 31.87 million new cases, according to global modelling (Liu et al., 2025). In 2022, WHO estimated that there were 19.8 million deaths due to cardiovascular disorders. In the UK, 66,149 CHD deaths occurred in 2023. There were 266,603 inpatient episodes in 2023/24 (British Heart Foundation, 2025). The figures clearly indicate a need for prevention, early detection, treatme</w:t>
      </w:r>
      <w:r>
        <w:t>nt and support in the community</w:t>
      </w:r>
      <w:r>
        <w:t>.</w:t>
      </w:r>
    </w:p>
    <w:p w14:paraId="89F39D15">
      <w:pPr>
        <w:pStyle w:val="style0"/>
        <w:rPr>
          <w:b/>
        </w:rPr>
      </w:pPr>
      <w:r>
        <w:rPr>
          <w:b/>
        </w:rPr>
        <w:t>Table 1. Current indicators of the scale of coronary heart disease</w:t>
      </w:r>
    </w:p>
    <w:p w14:paraId="5B3B35DE">
      <w:pPr>
        <w:pStyle w:val="style0"/>
        <w:rPr/>
      </w:pPr>
      <w:r>
        <w:rPr/>
        <w:drawing>
          <wp:inline distL="0" distT="0" distB="0" distR="0">
            <wp:extent cx="5943600" cy="3501390"/>
            <wp:effectExtent l="0" t="0" r="0" b="3810"/>
            <wp:docPr id="1026"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 cstate="print"/>
                    <a:srcRect l="0" t="0" r="0" b="0"/>
                    <a:stretch/>
                  </pic:blipFill>
                  <pic:spPr>
                    <a:xfrm rot="0">
                      <a:off x="0" y="0"/>
                      <a:ext cx="5943600" cy="3501390"/>
                    </a:xfrm>
                    <a:prstGeom prst="rect"/>
                  </pic:spPr>
                </pic:pic>
              </a:graphicData>
            </a:graphic>
          </wp:inline>
        </w:drawing>
      </w:r>
    </w:p>
    <w:p w14:paraId="E7C2F033">
      <w:pPr>
        <w:pStyle w:val="style0"/>
        <w:keepNext/>
        <w:spacing w:before="120" w:after="80"/>
        <w:jc w:val="center"/>
        <w:rPr/>
      </w:pPr>
      <w:r>
        <w:rPr>
          <w:noProof/>
        </w:rPr>
        <w:drawing>
          <wp:inline distL="0" distT="0" distB="0" distR="0">
            <wp:extent cx="5623560" cy="2619671"/>
            <wp:effectExtent l="0" t="0" r="0" b="0"/>
            <wp:docPr id="1027" name="Picture 1" descr="Figure 1. Four measures of global ischaemic heart disease burden in 2021. Source: Author-created from Liu et al. (202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623560" cy="2619671"/>
                    </a:xfrm>
                    <a:prstGeom prst="rect"/>
                  </pic:spPr>
                </pic:pic>
              </a:graphicData>
            </a:graphic>
          </wp:inline>
        </w:drawing>
      </w:r>
    </w:p>
    <w:p w14:paraId="45FB40FE">
      <w:pPr>
        <w:pStyle w:val="style0"/>
        <w:spacing w:before="120" w:after="100" w:lineRule="auto" w:line="276"/>
        <w:jc w:val="center"/>
        <w:rPr/>
      </w:pPr>
      <w:r>
        <w:rPr>
          <w:i/>
        </w:rPr>
        <w:t xml:space="preserve">Figure 1. Four measures of global ischaemic heart disease burden in 2021. </w:t>
      </w:r>
    </w:p>
    <w:bookmarkStart w:id="2" w:name="_Toc237636393"/>
    <w:p w14:paraId="8DC838CF">
      <w:pPr>
        <w:pStyle w:val="style1"/>
        <w:rPr/>
      </w:pPr>
      <w:r>
        <w:t>2. Measuring and Monitoring Coronary Heart Disease</w:t>
      </w:r>
      <w:bookmarkEnd w:id="2"/>
    </w:p>
    <w:p w14:paraId="5CBB0DA5">
      <w:pPr>
        <w:pStyle w:val="style0"/>
        <w:ind w:firstLine="432"/>
        <w:jc w:val="both"/>
        <w:rPr/>
      </w:pPr>
      <w:r>
        <w:t>Public health teams use several measures because each answers a different question. Incidence is a measure of the number of NEW cases per unit of time. Prevalence measures the number of people with CHD. Mortality refers to death, and premature mortality to death at an earlier age (under 75 years). Hospital admission rate indicates that pressure on hospitals. DALYs include years spent in poor health as well as years lived due to premature death. The age-standardised rates are intended to enable more comparable rates between areas that have different age structures. An individual measure can lead to a misleading impression. The prevalence can increase and death rates can decrease due to an increase in survival rates.</w:t>
      </w:r>
    </w:p>
    <w:p w14:paraId="72A53E06">
      <w:pPr>
        <w:pStyle w:val="style0"/>
        <w:ind w:firstLine="432"/>
        <w:jc w:val="both"/>
        <w:rPr/>
      </w:pPr>
      <w:r>
        <w:t>UK monitoring is part of a number of data systems. GP registers are used for recording diagnosed patients and long term care. Admission, procedures and readmission are reflected in the hospital records. Causes of death and age at death are given in death registration. Audits nationwide monitor rapidity and quality of cardiac services. According to the 2025 England profile approximately 1.9 million people were diagnosed with CHD by their GP. This represented approximately 3% of the patients. CHD admission rates fell by 46% between 2004/05 and 2024/25. However, this premature death count was still high at 39.1 per 100,000 persons in 2024 (Office for Health Improvement and Disparities, 2025).</w:t>
      </w:r>
    </w:p>
    <w:p w14:paraId="F5236E62">
      <w:pPr>
        <w:pStyle w:val="style0"/>
        <w:ind w:firstLine="432"/>
        <w:jc w:val="both"/>
        <w:rPr/>
      </w:pPr>
      <w:r>
        <w:t xml:space="preserve">There are limitations to these resources. GP registers do not record undiagnosed illness. Care events are not necessarily distinct individuals, but are hospital episodes. The information on death certificates may be coded incorrectly. Many countries are not complete in records so </w:t>
      </w:r>
      <w:r>
        <w:t>global estimates are modelled. They are not definitive numbers, but rather contain uncertainty. Several sources and trends should thus be compared as it is safer. Before assessing the performance of services, local rates should also be age-standardised.</w:t>
      </w:r>
    </w:p>
    <w:p w14:paraId="C64035C8">
      <w:pPr>
        <w:pStyle w:val="style0"/>
        <w:ind w:firstLine="432"/>
        <w:jc w:val="both"/>
        <w:rPr/>
      </w:pPr>
      <w:r>
        <w:t xml:space="preserve">The monitoring is also carried out at the level of patient. Staff evaluates symptoms, history, blood pressure, cholesterol, blood sugar and smoking. The electrocardiogram measures the electricity that is produced by the heart. Troponin blood test is used to measure blood levels of the cardiac enzymes, which can be detected when the heart muscle is damaged. During a coronary angiography the narrowed arteries can be seen in acute cases. The 2025 guideline for the management of acute coronary syndromes also recommends reassessment when there is a change in acute coronary syndrome symptoms (Rao et al., 2025). Following diagnosis, reviews include checking symptoms, medication usage, side effects, physical functioning and emotional wellbeing. This combination is more effective and </w:t>
      </w:r>
      <w:r>
        <w:t>safer than using one test alone</w:t>
      </w:r>
      <w:r>
        <w:t>.</w:t>
      </w:r>
    </w:p>
    <w:p w14:paraId="95F71A5A">
      <w:pPr>
        <w:pStyle w:val="style0"/>
        <w:rPr>
          <w:b/>
        </w:rPr>
      </w:pPr>
      <w:r>
        <w:rPr>
          <w:b/>
        </w:rPr>
        <w:t>Table 2. Main approaches used to measure and monitor CHD</w:t>
      </w:r>
    </w:p>
    <w:p w14:paraId="A017D832">
      <w:pPr>
        <w:pStyle w:val="style0"/>
        <w:rPr>
          <w:b/>
        </w:rPr>
      </w:pPr>
      <w:r>
        <w:rPr/>
        <w:drawing>
          <wp:inline distL="0" distT="0" distB="0" distR="0">
            <wp:extent cx="5943600" cy="3414395"/>
            <wp:effectExtent l="0" t="0" r="0" b="0"/>
            <wp:docPr id="1028"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7"/>
                    <pic:cNvPicPr/>
                  </pic:nvPicPr>
                  <pic:blipFill>
                    <a:blip r:embed="rId4" cstate="print"/>
                    <a:srcRect l="0" t="0" r="0" b="0"/>
                    <a:stretch/>
                  </pic:blipFill>
                  <pic:spPr>
                    <a:xfrm rot="0">
                      <a:off x="0" y="0"/>
                      <a:ext cx="5943600" cy="3414395"/>
                    </a:xfrm>
                    <a:prstGeom prst="rect"/>
                  </pic:spPr>
                </pic:pic>
              </a:graphicData>
            </a:graphic>
          </wp:inline>
        </w:drawing>
      </w:r>
    </w:p>
    <w:bookmarkStart w:id="3" w:name="_Toc237636394"/>
    <w:p w14:paraId="FCE64EBE">
      <w:pPr>
        <w:pStyle w:val="style1"/>
        <w:rPr/>
      </w:pPr>
      <w:r>
        <w:t>3. Control of Coronary Heart Disease</w:t>
      </w:r>
      <w:bookmarkEnd w:id="3"/>
    </w:p>
    <w:p w14:paraId="3F40F96A">
      <w:pPr>
        <w:pStyle w:val="style0"/>
        <w:ind w:firstLine="432"/>
        <w:jc w:val="both"/>
        <w:rPr/>
      </w:pPr>
      <w:r>
        <w:t xml:space="preserve">Control of CHD is based on primary, secondary and tertiary prevention. Primary Prevention is to prevent the initial event. It incorporates quitting smoking, movement and healthy eating habits and weight management. Early treatment is needed for blood pressure, cholesterol and </w:t>
      </w:r>
      <w:r>
        <w:t>diabetes, too. But advice can't get you the job done alone. Whether to act depends on safe streets, having access to affordable healthy foods, and being able to access primary healthcare. Risk and recovery is influenced by social conditions (Bazoukis, Loscalzo and Hall, 2025).</w:t>
      </w:r>
    </w:p>
    <w:p w14:paraId="2C79F1D3">
      <w:pPr>
        <w:pStyle w:val="style0"/>
        <w:ind w:firstLine="432"/>
        <w:jc w:val="both"/>
        <w:rPr/>
      </w:pPr>
      <w:r>
        <w:t>Secondary prevention begins at the diagnosis of the disease or heart attack. Urgent presentation should get Emergency evaluation. Antiplatelet medication, statins and other medications as indicated are used in treatment. Percutaneous coronary intervention involves opening up a blocked artery (usually using a stent). In coronary artery by-pass surgery, an alternate pathway is created for blood to flow. Treatment depends on the pattern of the disease, risk for bleeding, and other diseases and patient's preference. Full revascularisation is currently recommended in a large number of acute cases that are suitable (Rao et al., 2025). Medicines and procedures reduce risk, but will not take away the need for ongoing change.</w:t>
      </w:r>
    </w:p>
    <w:p w14:paraId="6608E0FF">
      <w:pPr>
        <w:pStyle w:val="style0"/>
        <w:ind w:firstLine="432"/>
        <w:jc w:val="both"/>
        <w:rPr/>
      </w:pPr>
      <w:r>
        <w:t>Tertiary prevention involves the support of recovery and reduction of another event. Cardiac rehabilitation consists of safe exercise, education, risk screening and emotional support. It can additionally help with drug use as well as re-entrance into the job market. Still insufficient access. A 2025 survey of 88 hospitals in 14 countries revealed that only one third of the CHD patients were counselled for CHD rehabilitation. Only 20% of the patients showed good attendance at half of the sessions or more (Kotseva et al., 2025). This lack undermines otherwise good care.</w:t>
      </w:r>
    </w:p>
    <w:p w14:paraId="48F9F94F">
      <w:pPr>
        <w:pStyle w:val="style0"/>
        <w:ind w:firstLine="432"/>
        <w:jc w:val="both"/>
        <w:rPr/>
      </w:pPr>
      <w:r>
        <w:t>The 2026 Cardiovascular Disease Modern Service Framework (MSF) for England provides 12 priorities. It puts attention on the prevention, diagnosis and treatment of illness at a younger age closer to home. It is also associated with cardiovascular, renal and metabolic diseases (NHS England, 2026). Digital rehab can increase accessibility. A 2026 review identified potential decreases in readmissions with a range of findings among studies. Sometimes, the traditional programmes were found to have a higher attendance rate (Khan et al., 2026). Digital care should therefore add choice, not replace f</w:t>
      </w:r>
      <w:r>
        <w:t>ace-to-face support</w:t>
      </w:r>
      <w:r>
        <w:t>.</w:t>
      </w:r>
    </w:p>
    <w:p w14:paraId="76A652FB">
      <w:pPr>
        <w:pStyle w:val="style0"/>
        <w:jc w:val="center"/>
        <w:rPr/>
      </w:pPr>
      <w:r>
        <w:rPr/>
        <w:drawing>
          <wp:inline distL="0" distT="0" distB="0" distR="0">
            <wp:extent cx="5001604" cy="2886075"/>
            <wp:effectExtent l="0" t="0" r="8890" b="0"/>
            <wp:docPr id="1029"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5" cstate="print"/>
                    <a:srcRect l="0" t="0" r="0" b="0"/>
                    <a:stretch/>
                  </pic:blipFill>
                  <pic:spPr>
                    <a:xfrm rot="0">
                      <a:off x="0" y="0"/>
                      <a:ext cx="5001604" cy="2886075"/>
                    </a:xfrm>
                    <a:prstGeom prst="rect"/>
                  </pic:spPr>
                </pic:pic>
              </a:graphicData>
            </a:graphic>
          </wp:inline>
        </w:drawing>
      </w:r>
    </w:p>
    <w:p w14:paraId="275C68FC">
      <w:pPr>
        <w:pStyle w:val="style0"/>
        <w:jc w:val="center"/>
        <w:rPr/>
      </w:pPr>
      <w:r>
        <w:rPr>
          <w:i/>
        </w:rPr>
        <w:t>Figure 2. A connected pathway for CHD control.</w:t>
      </w:r>
    </w:p>
    <w:bookmarkStart w:id="4" w:name="_Toc237636395"/>
    <w:p w14:paraId="DA2CB0D8">
      <w:pPr>
        <w:pStyle w:val="style1"/>
        <w:rPr/>
      </w:pPr>
      <w:r>
        <w:t>4. Consequences for People and the Community</w:t>
      </w:r>
      <w:bookmarkEnd w:id="4"/>
    </w:p>
    <w:p w14:paraId="8F00D2BB">
      <w:pPr>
        <w:pStyle w:val="style0"/>
        <w:ind w:firstLine="432"/>
        <w:jc w:val="both"/>
        <w:rPr/>
      </w:pPr>
      <w:r>
        <w:t>CHD can lead to a decrease in strength, mobility and confidence. Walking, housework and socializing might be restricted due to angina. A heart attack can cause heart failure or be a cause for another hospitalization. May have fear of physical activity or of another event. This can lead to anxiety, low mood and subsequently loss of independence. Partners can get involved or take care as well. Weddell et al. (2025) reported that peer support led to better self-management and self-confidence. It also helped in decreasing the readmission. However, the results from pooled data were not consistent in terms of anxiety and quality of life. This demonstrates that peer support has its value, it is not a substitute, however, for the competent mental health care.</w:t>
      </w:r>
    </w:p>
    <w:p w14:paraId="EEB8CAE8">
      <w:pPr>
        <w:pStyle w:val="style0"/>
        <w:ind w:firstLine="432"/>
        <w:jc w:val="both"/>
        <w:rPr/>
      </w:pPr>
      <w:r>
        <w:t>The impact extended to the community. Being out on the job can decrease family income. Family members can offer: transportation, personal care and medicine assistance. Emergency care and procedures, repeat admissions and long term medicines all have costs for the NHS. This burden is heavier because of the presence of local inequality. In 2024/25, CHD admission rates ranged from 215.3 per 100,000 in Wokingham to 696.5 in Luton. That is a 3.2 fold difference (Office for Health Improvement and Disparities, 2025). Risk may be increased by poor housing conditions, low income and limited access to care and insecure jobs. They may also be a hindrance to recovery. Thus CHD can not only considered as medical pr</w:t>
      </w:r>
      <w:r>
        <w:t>oblem but a social problem also</w:t>
      </w:r>
      <w:r>
        <w:t>.</w:t>
      </w:r>
    </w:p>
    <w:p w14:paraId="AA533FEA">
      <w:pPr>
        <w:pStyle w:val="style0"/>
        <w:keepNext/>
        <w:spacing w:before="120" w:after="80"/>
        <w:jc w:val="center"/>
        <w:rPr/>
      </w:pPr>
      <w:r>
        <w:rPr>
          <w:noProof/>
        </w:rPr>
        <w:drawing>
          <wp:inline distL="0" distT="0" distB="0" distR="0">
            <wp:extent cx="5257800" cy="3309105"/>
            <wp:effectExtent l="0" t="0" r="0" b="0"/>
            <wp:docPr id="1030" name="Picture 3" descr="Figure 3. A social inequality feedback loop in CHD. Source: Author-created from Bazoukis, Loscalzo and Hall (2025), Office for Health Improvement and Disparities (2025) and McAllister et al. (202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6" cstate="print"/>
                    <a:srcRect l="0" t="0" r="0" b="0"/>
                    <a:stretch/>
                  </pic:blipFill>
                  <pic:spPr>
                    <a:xfrm rot="0">
                      <a:off x="0" y="0"/>
                      <a:ext cx="5257800" cy="3309105"/>
                    </a:xfrm>
                    <a:prstGeom prst="rect"/>
                  </pic:spPr>
                </pic:pic>
              </a:graphicData>
            </a:graphic>
          </wp:inline>
        </w:drawing>
      </w:r>
    </w:p>
    <w:p w14:paraId="EFFE43B9">
      <w:pPr>
        <w:pStyle w:val="style0"/>
        <w:spacing w:before="120" w:after="100" w:lineRule="auto" w:line="276"/>
        <w:jc w:val="center"/>
        <w:rPr/>
      </w:pPr>
      <w:r>
        <w:rPr>
          <w:i/>
        </w:rPr>
        <w:t xml:space="preserve">Figure 3. A social inequality feedback loop in CHD. </w:t>
      </w:r>
    </w:p>
    <w:bookmarkStart w:id="5" w:name="_Toc237636396"/>
    <w:p w14:paraId="1B21E248">
      <w:pPr>
        <w:pStyle w:val="style1"/>
        <w:rPr/>
      </w:pPr>
      <w:r>
        <w:t>5. Health and Social Care Support in the Community</w:t>
      </w:r>
      <w:bookmarkEnd w:id="5"/>
    </w:p>
    <w:p w14:paraId="4CF64A98">
      <w:pPr>
        <w:pStyle w:val="style0"/>
        <w:ind w:firstLine="432"/>
        <w:jc w:val="both"/>
        <w:rPr/>
      </w:pPr>
      <w:r>
        <w:t>Support should be provided to the individual from prevention to recovery. Review of blood pressure, cholesterol and symptoms by GPs/practice nurses identifies risk. Pharmacists provide information about medication and verify the safe use of medication. Severe disease is diagnosed and procedures are planned by a team of cardiology professionals. Staff at the discharge facility need to provide clear information to the community teams. Cardiac rehab personnel then offer education and risk management and exercise. Dietitians help you to make realistic food changes. Physiotherapists increase activity in a safe manner. Fear, anxiety and low mood is the focus of psychologists or counsellors.</w:t>
      </w:r>
    </w:p>
    <w:p w14:paraId="5E7083FC">
      <w:pPr>
        <w:pStyle w:val="style0"/>
        <w:ind w:firstLine="432"/>
        <w:jc w:val="both"/>
        <w:rPr/>
      </w:pPr>
      <w:r>
        <w:t>There is also a need for support to provide for daily living. Occupational therapists can help to make a safe transition back home and to work. Social workers can make referrals, to home care, financial or local services. Information and rest for family carers. Community groups can help to decrease isolation. According to Koenders et al. (2025) there are 5 patient needs in rehabilitation. Safety with minimal protection was desired. They had desired the involvement and support of family members, the support of others, caring and assistance in creating a meaningful future. These needs indicate why a single programme is not going to be right for everyone.</w:t>
      </w:r>
    </w:p>
    <w:p w14:paraId="7BF70E3F">
      <w:pPr>
        <w:pStyle w:val="style0"/>
        <w:ind w:firstLine="432"/>
        <w:jc w:val="both"/>
        <w:rPr/>
      </w:pPr>
      <w:r>
        <w:t>Services are required to record referral, attendance, completion and outcomes socially. 421,281 people were eligible for a 2026 English cohort. There was participation in rehabilitation: 77% of starters completed rehabilitation, but only 53% of the total. After adjustment, there was a 22% lower likelihood of completion for South Asian patients compared to White European patients. Other risk factors for non-completion were deprivation, diabetes and being single (McAllister et al., 2026). Services can provide an interpreter, appropriate food suggestions, flexible timing and assistance in transportation. There needs to be a choice of home, digital and face to face. Digital-only care may exclude people without devices, internet or skills. Blended service is fair</w:t>
      </w:r>
      <w:r>
        <w:t>er and more person centred.</w:t>
      </w:r>
    </w:p>
    <w:p w14:paraId="D75EC0B6">
      <w:pPr>
        <w:pStyle w:val="style0"/>
        <w:rPr>
          <w:b/>
        </w:rPr>
      </w:pPr>
      <w:r>
        <w:rPr>
          <w:b/>
        </w:rPr>
        <w:t>Table 3. Community support required after CHD</w:t>
      </w:r>
    </w:p>
    <w:p w14:paraId="6F7B4857">
      <w:pPr>
        <w:pStyle w:val="style0"/>
        <w:jc w:val="both"/>
        <w:rPr/>
      </w:pPr>
      <w:r>
        <w:rPr/>
        <w:drawing>
          <wp:inline distL="0" distT="0" distB="0" distR="0">
            <wp:extent cx="5943600" cy="3201670"/>
            <wp:effectExtent l="0" t="0" r="0" b="0"/>
            <wp:docPr id="1031"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8"/>
                    <pic:cNvPicPr/>
                  </pic:nvPicPr>
                  <pic:blipFill>
                    <a:blip r:embed="rId7" cstate="print"/>
                    <a:srcRect l="0" t="0" r="0" b="0"/>
                    <a:stretch/>
                  </pic:blipFill>
                  <pic:spPr>
                    <a:xfrm rot="0">
                      <a:off x="0" y="0"/>
                      <a:ext cx="5943600" cy="3201670"/>
                    </a:xfrm>
                    <a:prstGeom prst="rect"/>
                  </pic:spPr>
                </pic:pic>
              </a:graphicData>
            </a:graphic>
          </wp:inline>
        </w:drawing>
      </w:r>
    </w:p>
    <w:bookmarkStart w:id="6" w:name="_Toc237636397"/>
    <w:p w14:paraId="FC0AEE48">
      <w:pPr>
        <w:pStyle w:val="style1"/>
        <w:rPr/>
      </w:pPr>
      <w:r>
        <w:t>6. Conclusion</w:t>
      </w:r>
      <w:bookmarkEnd w:id="6"/>
    </w:p>
    <w:p w14:paraId="87D5E473">
      <w:pPr>
        <w:pStyle w:val="style0"/>
        <w:ind w:firstLine="432"/>
        <w:jc w:val="both"/>
        <w:rPr/>
      </w:pPr>
      <w:r>
        <w:t xml:space="preserve">Despite improvements in treatment, CHD is still a public health problem. It results in millions of new cases and deaths all over the world. It also imposes a cost burden in the UK in hospitals and communities. The various components of this burden are measured by incidence, prevalence, death, admissions and disability. GP, hospital, audit and death data should be read in conjunction with each other, therefore. Triad of clinical monitoring: symptoms, tests and regular review. The best control is achieved on three levels. Diseases can be prevented by living a healthy life and treating risks. Treatment (medicines &amp; procedures) is able to save life after diagnosis. Rehabilitation can help you to recover and become independent. But the </w:t>
      </w:r>
      <w:r>
        <w:t xml:space="preserve">unequal living conditions and unequal access to services diminish these gains. Community care needs to be added into the mix with medical, emotional and practical support. Should involve patient and family in decisions. Services should also inquire as to who initiates and who ends rehabilitation. A flexible and culturally appropriate pathway can minimize harms, which can be avoided. It can also contribute to a safe lifestyle and participation in </w:t>
      </w:r>
      <w:r>
        <w:t>family, work and community life</w:t>
      </w:r>
      <w:r>
        <w:t>.</w:t>
      </w:r>
    </w:p>
    <w:p w14:paraId="0D289E84">
      <w:pPr>
        <w:pStyle w:val="style0"/>
        <w:rPr/>
      </w:pPr>
      <w:r>
        <w:br w:type="page"/>
      </w:r>
    </w:p>
    <w:bookmarkStart w:id="7" w:name="_Toc237636398"/>
    <w:p w14:paraId="1EDAE380">
      <w:pPr>
        <w:pStyle w:val="style1"/>
        <w:rPr/>
      </w:pPr>
      <w:r>
        <w:t>References</w:t>
      </w:r>
      <w:bookmarkEnd w:id="7"/>
    </w:p>
    <w:p w14:paraId="CFFB34E5">
      <w:pPr>
        <w:pStyle w:val="style0"/>
        <w:rPr/>
      </w:pPr>
      <w:r>
        <w:t xml:space="preserve">Bazoukis, G., Loscalzo, J. and Hall, J.L. (2025) 'Impact of social determinants of health on cardiovascular disease', Journal of the American Heart Association, 14(5), e039031. Available at: </w:t>
      </w:r>
      <w:r>
        <w:rPr/>
        <w:fldChar w:fldCharType="begin"/>
      </w:r>
      <w:r>
        <w:instrText xml:space="preserve"> HYPERLINK "https://doi.org/10.1161/JAHA.124.039031" </w:instrText>
      </w:r>
      <w:r>
        <w:rPr/>
        <w:fldChar w:fldCharType="separate"/>
      </w:r>
      <w:r>
        <w:rPr>
          <w:color w:val="0563c1"/>
          <w:u w:val="single"/>
        </w:rPr>
        <w:t>https://doi.org/10.1161/JAHA.124.039031</w:t>
      </w:r>
      <w:r>
        <w:rPr/>
        <w:fldChar w:fldCharType="end"/>
      </w:r>
      <w:r>
        <w:t xml:space="preserve"> (Accessed: 14 August 2026).</w:t>
      </w:r>
    </w:p>
    <w:p w14:paraId="DBD91C58">
      <w:pPr>
        <w:pStyle w:val="style0"/>
        <w:rPr/>
      </w:pPr>
      <w:r>
        <w:t xml:space="preserve">British Heart Foundation (2025) Heart and circulatory disease statistics 2025. London: British Heart Foundation. Available at: </w:t>
      </w:r>
      <w:r>
        <w:rPr/>
        <w:fldChar w:fldCharType="begin"/>
      </w:r>
      <w:r>
        <w:instrText xml:space="preserve"> HYPERLINK "https://www.bhf.org.uk/-/media/files/for-professionals/research/heart-statistics/bhf-statistics-compendium-2025.pdf" </w:instrText>
      </w:r>
      <w:r>
        <w:rPr/>
        <w:fldChar w:fldCharType="separate"/>
      </w:r>
      <w:r>
        <w:rPr>
          <w:color w:val="0563c1"/>
          <w:u w:val="single"/>
        </w:rPr>
        <w:t>https://www.bhf.org.uk/-/media/files/for-professionals/research/heart-statistics/bhf-statistics-compendium-2025.pdf</w:t>
      </w:r>
      <w:r>
        <w:rPr/>
        <w:fldChar w:fldCharType="end"/>
      </w:r>
      <w:r>
        <w:t xml:space="preserve"> (Accessed: 14 August 2026).</w:t>
      </w:r>
    </w:p>
    <w:p w14:paraId="62D4C445">
      <w:pPr>
        <w:pStyle w:val="style0"/>
        <w:rPr/>
      </w:pPr>
      <w:r>
        <w:t xml:space="preserve">Khan, Z., Lemos Ferreira, N., Bamidele, A.A., Wahinya, M., Wambua, P. and Gupta, A. (2026) 'Digital cardiac rehabilitation versus traditional cardiac rehabilitation in improving health parameters, patient satisfaction and adherence to guidelines: a systematic review and meta-analysis', Cardiovascular Diagnosis and Therapy, 16(1), 4. Available at: </w:t>
      </w:r>
      <w:r>
        <w:rPr/>
        <w:fldChar w:fldCharType="begin"/>
      </w:r>
      <w:r>
        <w:instrText xml:space="preserve"> HYPERLINK "https://doi.org/10.21037/cdt-2025-404" </w:instrText>
      </w:r>
      <w:r>
        <w:rPr/>
        <w:fldChar w:fldCharType="separate"/>
      </w:r>
      <w:r>
        <w:rPr>
          <w:color w:val="0563c1"/>
          <w:u w:val="single"/>
        </w:rPr>
        <w:t>https://doi.org/10.21037/cdt-2025-404</w:t>
      </w:r>
      <w:r>
        <w:rPr/>
        <w:fldChar w:fldCharType="end"/>
      </w:r>
      <w:r>
        <w:t xml:space="preserve"> (Accessed: 14 August 2026).</w:t>
      </w:r>
    </w:p>
    <w:p w14:paraId="393DFF83">
      <w:pPr>
        <w:pStyle w:val="style0"/>
        <w:rPr/>
      </w:pPr>
      <w:r>
        <w:t xml:space="preserve">Koenders, N., van Oorsouw, R., Conijn, D., Verbakel, M., Eijsvogels, T.M.H. and van der Wees, P.J. (2025) 'Patient needs regarding cardiac rehabilitation: a systematic review and meta-ethnographic synthesis', Journal of the American Heart Association, 14(18), e040588. Available at: </w:t>
      </w:r>
      <w:r>
        <w:rPr/>
        <w:fldChar w:fldCharType="begin"/>
      </w:r>
      <w:r>
        <w:instrText xml:space="preserve"> HYPERLINK "https://doi.org/10.1161/JAHA.124.040588" </w:instrText>
      </w:r>
      <w:r>
        <w:rPr/>
        <w:fldChar w:fldCharType="separate"/>
      </w:r>
      <w:r>
        <w:rPr>
          <w:color w:val="0563c1"/>
          <w:u w:val="single"/>
        </w:rPr>
        <w:t>https://doi.org/10.1161/JAHA.124.040588</w:t>
      </w:r>
      <w:r>
        <w:rPr/>
        <w:fldChar w:fldCharType="end"/>
      </w:r>
      <w:r>
        <w:t xml:space="preserve"> (Accessed: 14 August 2026).</w:t>
      </w:r>
    </w:p>
    <w:p w14:paraId="C9F08909">
      <w:pPr>
        <w:pStyle w:val="style0"/>
        <w:rPr/>
      </w:pPr>
      <w:r>
        <w:t xml:space="preserve">Kotseva, K., De Bacquer, D., Jennings, C., McEvoy, J.W., Ryden, L., Ray, K.K. et al. (2025) 'Cardiac rehabilitation in patients with coronary heart disease: provision, attendance, and outcomes', Global Heart, 20(1), 75. Available at: </w:t>
      </w:r>
      <w:r>
        <w:rPr/>
        <w:fldChar w:fldCharType="begin"/>
      </w:r>
      <w:r>
        <w:instrText xml:space="preserve"> HYPERLINK "https://doi.org/10.5334/gh.1458" </w:instrText>
      </w:r>
      <w:r>
        <w:rPr/>
        <w:fldChar w:fldCharType="separate"/>
      </w:r>
      <w:r>
        <w:rPr>
          <w:color w:val="0563c1"/>
          <w:u w:val="single"/>
        </w:rPr>
        <w:t>https://doi.org/10.5334/gh.1458</w:t>
      </w:r>
      <w:r>
        <w:rPr/>
        <w:fldChar w:fldCharType="end"/>
      </w:r>
      <w:r>
        <w:t xml:space="preserve"> (Accessed: 14 August 2026).</w:t>
      </w:r>
    </w:p>
    <w:p w14:paraId="A30B32A2">
      <w:pPr>
        <w:pStyle w:val="style0"/>
        <w:rPr/>
      </w:pPr>
      <w:r>
        <w:t xml:space="preserve">Liu, C., Jin, Q., Han, C. and Jiao, M. (2025) 'Global, regional, and national burden of ischaemic heart disease from 1990 to 2021', Journal of Global Health, 15, 04291. Available at: </w:t>
      </w:r>
      <w:r>
        <w:rPr/>
        <w:fldChar w:fldCharType="begin"/>
      </w:r>
      <w:r>
        <w:instrText xml:space="preserve"> HYPERLINK "https://doi.org/10.7189/jogh.15.04291" </w:instrText>
      </w:r>
      <w:r>
        <w:rPr/>
        <w:fldChar w:fldCharType="separate"/>
      </w:r>
      <w:r>
        <w:rPr>
          <w:color w:val="0563c1"/>
          <w:u w:val="single"/>
        </w:rPr>
        <w:t>https://doi.org/10.7189/jogh.15.04291</w:t>
      </w:r>
      <w:r>
        <w:rPr/>
        <w:fldChar w:fldCharType="end"/>
      </w:r>
      <w:r>
        <w:t xml:space="preserve"> (Accessed: 14 August 2026).</w:t>
      </w:r>
    </w:p>
    <w:p w14:paraId="C424A801">
      <w:pPr>
        <w:pStyle w:val="style0"/>
        <w:rPr/>
      </w:pPr>
      <w:r>
        <w:t xml:space="preserve">McAllister, J., Harrison, A., Doherty, P., Singh, S.J. and Lawson, C.A. (2026) 'Health inequalities in cardiac rehabilitation: a national cohort study in England', European Journal of Preventive Cardiology, advance online publication, zwag092. Available at: </w:t>
      </w:r>
      <w:r>
        <w:rPr/>
        <w:fldChar w:fldCharType="begin"/>
      </w:r>
      <w:r>
        <w:instrText xml:space="preserve"> HYPERLINK "https://doi.org/10.1093/eurjpc/zwag092" </w:instrText>
      </w:r>
      <w:r>
        <w:rPr/>
        <w:fldChar w:fldCharType="separate"/>
      </w:r>
      <w:r>
        <w:rPr>
          <w:color w:val="0563c1"/>
          <w:u w:val="single"/>
        </w:rPr>
        <w:t>https://doi.org/10.1093/eurjpc/zwag092</w:t>
      </w:r>
      <w:r>
        <w:rPr/>
        <w:fldChar w:fldCharType="end"/>
      </w:r>
      <w:r>
        <w:t xml:space="preserve"> (Accessed: 14 August 2026).</w:t>
      </w:r>
    </w:p>
    <w:p w14:paraId="FA61688D">
      <w:pPr>
        <w:pStyle w:val="style0"/>
        <w:rPr/>
      </w:pPr>
      <w:r>
        <w:t xml:space="preserve">NHS England (2026) 'Cardiovascular disease (CVD)'. Available at: </w:t>
      </w:r>
      <w:r>
        <w:rPr/>
        <w:fldChar w:fldCharType="begin"/>
      </w:r>
      <w:r>
        <w:instrText xml:space="preserve"> HYPERLINK "https://www.england.nhs.uk/ourwork/clinical-policy/cvd/" </w:instrText>
      </w:r>
      <w:r>
        <w:rPr/>
        <w:fldChar w:fldCharType="separate"/>
      </w:r>
      <w:r>
        <w:rPr>
          <w:color w:val="0563c1"/>
          <w:u w:val="single"/>
        </w:rPr>
        <w:t>https://www.england.nhs.uk/ourwork/clinical-policy/cvd/</w:t>
      </w:r>
      <w:r>
        <w:rPr/>
        <w:fldChar w:fldCharType="end"/>
      </w:r>
      <w:r>
        <w:t xml:space="preserve"> (Accessed: 14 August 2026).</w:t>
      </w:r>
    </w:p>
    <w:p w14:paraId="883D30C7">
      <w:pPr>
        <w:pStyle w:val="style0"/>
        <w:rPr/>
      </w:pPr>
      <w:r>
        <w:t xml:space="preserve">Office for Health Improvement and Disparities (2025) 'Cardiovascular disease profiles: short statistical commentary', 2 December. Available at: </w:t>
      </w:r>
      <w:r>
        <w:rPr/>
        <w:fldChar w:fldCharType="begin"/>
      </w:r>
      <w:r>
        <w:instrText xml:space="preserve"> HYPERLINK "https://www.gov.uk/government/statistics/cardiovascular-disease-profiles-december-2025-update/cardiovascular-disease-profiles-short-statistical-commentary" </w:instrText>
      </w:r>
      <w:r>
        <w:rPr/>
        <w:fldChar w:fldCharType="separate"/>
      </w:r>
      <w:r>
        <w:rPr>
          <w:color w:val="0563c1"/>
          <w:u w:val="single"/>
        </w:rPr>
        <w:t>https://www.gov.uk/government/statistics/cardiovascular-disease-profiles-december-2025-update/cardiovascular-disease-profiles-short-statistical-commentary</w:t>
      </w:r>
      <w:r>
        <w:rPr/>
        <w:fldChar w:fldCharType="end"/>
      </w:r>
      <w:r>
        <w:t xml:space="preserve"> (Accessed: 14 August 2026).</w:t>
      </w:r>
    </w:p>
    <w:p w14:paraId="48C16440">
      <w:pPr>
        <w:pStyle w:val="style0"/>
        <w:rPr/>
      </w:pPr>
      <w:r>
        <w:t xml:space="preserve">Rao, S.V., O'Donoghue, M.L., Ruel, M., Rab, T., Tamis-Holland, J.E., Alexander, J.H. et al. (2025) '2025 guideline for the management of patients with acute coronary syndromes', Circulation, 151(13), pp. e771-e862. Available at: </w:t>
      </w:r>
      <w:r>
        <w:rPr/>
        <w:fldChar w:fldCharType="begin"/>
      </w:r>
      <w:r>
        <w:instrText xml:space="preserve"> HYPERLINK "https://doi.org/10.1161/CIR.0000000000001309" </w:instrText>
      </w:r>
      <w:r>
        <w:rPr/>
        <w:fldChar w:fldCharType="separate"/>
      </w:r>
      <w:r>
        <w:rPr>
          <w:color w:val="0563c1"/>
          <w:u w:val="single"/>
        </w:rPr>
        <w:t>https://doi.org/10.1161/CIR.0000000000001309</w:t>
      </w:r>
      <w:r>
        <w:rPr/>
        <w:fldChar w:fldCharType="end"/>
      </w:r>
      <w:r>
        <w:t xml:space="preserve"> (Accessed: 14 August 2026).</w:t>
      </w:r>
    </w:p>
    <w:p w14:paraId="4BCF9DCF">
      <w:pPr>
        <w:pStyle w:val="style0"/>
        <w:rPr/>
      </w:pPr>
      <w:r>
        <w:t xml:space="preserve">Weddell, J., Shi, W., Redfern, J., Buckley, T. and Gallagher, R. (2025) 'Effectiveness of coronary heart disease peer support interventions: a systematic review and meta-analysis', European Journal of Preventive Cardiology, advance online publication, zwaf241. Available at: </w:t>
      </w:r>
      <w:r>
        <w:rPr/>
        <w:fldChar w:fldCharType="begin"/>
      </w:r>
      <w:r>
        <w:instrText xml:space="preserve"> HYPERLINK "https://doi.org/10.1093/eurjpc/zwaf241" </w:instrText>
      </w:r>
      <w:r>
        <w:rPr/>
        <w:fldChar w:fldCharType="separate"/>
      </w:r>
      <w:r>
        <w:rPr>
          <w:color w:val="0563c1"/>
          <w:u w:val="single"/>
        </w:rPr>
        <w:t>https://doi.org/10.1093/eurjpc/zwaf241</w:t>
      </w:r>
      <w:r>
        <w:rPr/>
        <w:fldChar w:fldCharType="end"/>
      </w:r>
      <w:r>
        <w:t xml:space="preserve"> (Accessed: 14 August 2026).</w:t>
      </w:r>
    </w:p>
    <w:p w14:paraId="208F39F3">
      <w:pPr>
        <w:pStyle w:val="style0"/>
        <w:rPr/>
      </w:pPr>
      <w:r>
        <w:t xml:space="preserve">World Health Organization (2025) 'Cardiovascular diseases (CVDs)', 31 July. Available at: </w:t>
      </w:r>
      <w:r>
        <w:rPr/>
        <w:fldChar w:fldCharType="begin"/>
      </w:r>
      <w:r>
        <w:instrText xml:space="preserve"> HYPERLINK "https://www.who.int/news-room/fact-sheets/detail/cardiovascular-diseases-%28cvds%29" </w:instrText>
      </w:r>
      <w:r>
        <w:rPr/>
        <w:fldChar w:fldCharType="separate"/>
      </w:r>
      <w:r>
        <w:rPr>
          <w:color w:val="0563c1"/>
          <w:u w:val="single"/>
        </w:rPr>
        <w:t>https://www.who.int/news-room/fact-sheets/detail/cardiovascular-diseases-%28cvds%29</w:t>
      </w:r>
      <w:r>
        <w:rPr/>
        <w:fldChar w:fldCharType="end"/>
      </w:r>
      <w:r>
        <w:t xml:space="preserve"> (Accessed: 14 August 2026).</w:t>
      </w:r>
    </w:p>
    <w:sectPr>
      <w:footerReference w:type="default" r:id="rId8"/>
      <w:pgSz w:w="12240" w:h="15840" w:orient="portrait"/>
      <w:pgMar w:top="1440" w:right="1440" w:bottom="1440" w:left="1440" w:header="706" w:footer="706"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MS Mincho">
    <w:altName w:val="ＭＳ 明朝"/>
    <w:panose1 w:val="02020609040002080304"/>
    <w:charset w:val="80"/>
    <w:family w:val="roman"/>
    <w:pitch w:val="fixed"/>
    <w:sig w:usb0="00000001" w:usb1="08070000" w:usb2="00000010" w:usb3="00000000" w:csb0="00020000" w:csb1="00000000"/>
  </w:font>
  <w:font w:name="Arial">
    <w:altName w:val="Arial"/>
    <w:panose1 w:val="020b0604020002020204"/>
    <w:charset w:val="00"/>
    <w:family w:val="swiss"/>
    <w:pitch w:val="variable"/>
    <w:sig w:usb0="E0002EFF" w:usb1="C000785B" w:usb2="00000009" w:usb3="00000000" w:csb0="000001FF" w:csb1="00000000"/>
  </w:font>
  <w:font w:name="MS Gothic">
    <w:altName w:val="ＭＳ ゴシック"/>
    <w:panose1 w:val="020b0609070002080204"/>
    <w:charset w:val="80"/>
    <w:family w:val="modern"/>
    <w:pitch w:val="fixed"/>
    <w:sig w:usb0="E00002FF" w:usb1="6AC7FDFB" w:usb2="08000012" w:usb3="00000000" w:csb0="0002009F" w:csb1="00000000"/>
  </w:font>
  <w:font w:name="Calibri">
    <w:altName w:val="Calibri"/>
    <w:panose1 w:val="020f0502020002030204"/>
    <w:charset w:val="00"/>
    <w:family w:val="swiss"/>
    <w:pitch w:val="variable"/>
    <w:sig w:usb0="E4002EFF" w:usb1="C000247B" w:usb2="00000009" w:usb3="00000000" w:csb0="000001FF" w:csb1="00000000"/>
  </w:font>
  <w:font w:name="Courier">
    <w:altName w:val="Courier"/>
    <w:panose1 w:val="02070409020002020404"/>
    <w:charset w:val="00"/>
    <w:family w:val="auto"/>
    <w:pitch w:val="variable"/>
    <w:sig w:usb0="00000003" w:usb1="00000000" w:usb2="00000000" w:usb3="00000000" w:csb0="00000001" w:csb1="00000000"/>
  </w:font>
  <w:font w:name="ＭＳ 明朝">
    <w:altName w:val=""/>
    <w:panose1 w:val="00000000000000000000"/>
    <w:charset w:val="00"/>
    <w:family w:val="auto"/>
    <w:pitch w:val="default"/>
    <w:sig w:usb0="E0002AFF" w:usb1="C0007841" w:usb2="00000009" w:usb3="00000000" w:csb0="000001FF" w:csb1="00000000"/>
  </w:font>
  <w:font w:name="ＭＳ ゴシック">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2F68300A">
    <w:pPr>
      <w:pStyle w:val="style32"/>
      <w:jc w:val="center"/>
      <w:rPr/>
    </w:pPr>
    <w:r>
      <w:rPr>
        <w:sz w:val="20"/>
      </w:rPr>
      <w:fldChar w:fldCharType="begin"/>
    </w:r>
    <w:r>
      <w:rPr>
        <w:sz w:val="20"/>
      </w:rPr>
      <w:instrText xml:space="preserve"> PAGE </w:instrText>
    </w:r>
    <w:r>
      <w:rPr>
        <w:sz w:val="20"/>
      </w:rPr>
      <w:fldChar w:fldCharType="separate"/>
    </w:r>
    <w:r>
      <w:rPr>
        <w:noProof/>
        <w:sz w:val="20"/>
      </w:rPr>
      <w:t>2</w:t>
    </w:r>
    <w:r>
      <w:rPr>
        <w:sz w:val="20"/>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singleLevel"/>
    <w:tmpl w:val="C310EC42"/>
    <w:lvl w:ilvl="0">
      <w:start w:val="1"/>
      <w:numFmt w:val="decimal"/>
      <w:lvlText w:val="%1."/>
      <w:lvlJc w:val="left"/>
      <w:pPr>
        <w:tabs>
          <w:tab w:val="left" w:leader="none" w:pos="1800"/>
        </w:tabs>
        <w:ind w:left="1800" w:hanging="360"/>
      </w:pPr>
    </w:lvl>
  </w:abstractNum>
  <w:abstractNum w:abstractNumId="1">
    <w:nsid w:val="00000001"/>
    <w:multiLevelType w:val="singleLevel"/>
    <w:tmpl w:val="E4089024"/>
    <w:lvl w:ilvl="0">
      <w:start w:val="1"/>
      <w:numFmt w:val="decimal"/>
      <w:lvlText w:val="%1."/>
      <w:lvlJc w:val="left"/>
      <w:pPr>
        <w:tabs>
          <w:tab w:val="left" w:leader="none" w:pos="1440"/>
        </w:tabs>
        <w:ind w:left="1440" w:hanging="360"/>
      </w:pPr>
    </w:lvl>
  </w:abstractNum>
  <w:abstractNum w:abstractNumId="2">
    <w:nsid w:val="00000002"/>
    <w:multiLevelType w:val="singleLevel"/>
    <w:tmpl w:val="FB12693A"/>
    <w:lvl w:ilvl="0">
      <w:start w:val="1"/>
      <w:numFmt w:val="decimal"/>
      <w:pStyle w:val="style59"/>
      <w:lvlText w:val="%1."/>
      <w:lvlJc w:val="left"/>
      <w:pPr>
        <w:tabs>
          <w:tab w:val="left" w:leader="none" w:pos="1080"/>
        </w:tabs>
        <w:ind w:left="1080" w:hanging="360"/>
      </w:pPr>
    </w:lvl>
  </w:abstractNum>
  <w:abstractNum w:abstractNumId="3">
    <w:nsid w:val="00000003"/>
    <w:multiLevelType w:val="singleLevel"/>
    <w:tmpl w:val="38441652"/>
    <w:lvl w:ilvl="0">
      <w:start w:val="1"/>
      <w:numFmt w:val="decimal"/>
      <w:pStyle w:val="style58"/>
      <w:lvlText w:val="%1."/>
      <w:lvlJc w:val="left"/>
      <w:pPr>
        <w:tabs>
          <w:tab w:val="left" w:leader="none" w:pos="720"/>
        </w:tabs>
        <w:ind w:left="720" w:hanging="360"/>
      </w:pPr>
    </w:lvl>
  </w:abstractNum>
  <w:abstractNum w:abstractNumId="4">
    <w:nsid w:val="00000004"/>
    <w:multiLevelType w:val="singleLevel"/>
    <w:tmpl w:val="171AC3A4"/>
    <w:lvl w:ilvl="0">
      <w:start w:val="1"/>
      <w:numFmt w:val="bullet"/>
      <w:lvlText w:val=""/>
      <w:lvlJc w:val="left"/>
      <w:pPr>
        <w:tabs>
          <w:tab w:val="left" w:leader="none" w:pos="1440"/>
        </w:tabs>
        <w:ind w:left="1440" w:hanging="360"/>
      </w:pPr>
      <w:rPr>
        <w:rFonts w:ascii="Symbol" w:hAnsi="Symbol" w:hint="default"/>
      </w:rPr>
    </w:lvl>
  </w:abstractNum>
  <w:abstractNum w:abstractNumId="5">
    <w:nsid w:val="00000005"/>
    <w:multiLevelType w:val="singleLevel"/>
    <w:tmpl w:val="F3EAFDEC"/>
    <w:lvl w:ilvl="0">
      <w:start w:val="1"/>
      <w:numFmt w:val="bullet"/>
      <w:pStyle w:val="style55"/>
      <w:lvlText w:val=""/>
      <w:lvlJc w:val="left"/>
      <w:pPr>
        <w:tabs>
          <w:tab w:val="left" w:leader="none" w:pos="1080"/>
        </w:tabs>
        <w:ind w:left="1080" w:hanging="360"/>
      </w:pPr>
      <w:rPr>
        <w:rFonts w:ascii="Symbol" w:hAnsi="Symbol" w:hint="default"/>
      </w:rPr>
    </w:lvl>
  </w:abstractNum>
  <w:abstractNum w:abstractNumId="6">
    <w:nsid w:val="00000006"/>
    <w:multiLevelType w:val="singleLevel"/>
    <w:tmpl w:val="3D1EFFD4"/>
    <w:lvl w:ilvl="0">
      <w:start w:val="1"/>
      <w:numFmt w:val="bullet"/>
      <w:pStyle w:val="style54"/>
      <w:lvlText w:val=""/>
      <w:lvlJc w:val="left"/>
      <w:pPr>
        <w:tabs>
          <w:tab w:val="left" w:leader="none" w:pos="720"/>
        </w:tabs>
        <w:ind w:left="720" w:hanging="360"/>
      </w:pPr>
      <w:rPr>
        <w:rFonts w:ascii="Symbol" w:hAnsi="Symbol" w:hint="default"/>
      </w:rPr>
    </w:lvl>
  </w:abstractNum>
  <w:abstractNum w:abstractNumId="7">
    <w:nsid w:val="00000007"/>
    <w:multiLevelType w:val="singleLevel"/>
    <w:tmpl w:val="D0A62B40"/>
    <w:lvl w:ilvl="0">
      <w:start w:val="1"/>
      <w:numFmt w:val="decimal"/>
      <w:pStyle w:val="style49"/>
      <w:lvlText w:val="%1."/>
      <w:lvlJc w:val="left"/>
      <w:pPr>
        <w:tabs>
          <w:tab w:val="left" w:leader="none" w:pos="360"/>
        </w:tabs>
        <w:ind w:left="360" w:hanging="360"/>
      </w:pPr>
    </w:lvl>
  </w:abstractNum>
  <w:abstractNum w:abstractNumId="8">
    <w:nsid w:val="00000008"/>
    <w:multiLevelType w:val="singleLevel"/>
    <w:tmpl w:val="29761A62"/>
    <w:lvl w:ilvl="0">
      <w:start w:val="1"/>
      <w:numFmt w:val="bullet"/>
      <w:pStyle w:val="style48"/>
      <w:lvlText w:val=""/>
      <w:lvlJc w:val="left"/>
      <w:pPr>
        <w:tabs>
          <w:tab w:val="left" w:leader="none" w:pos="360"/>
        </w:tabs>
        <w:ind w:left="360" w:hanging="360"/>
      </w:pPr>
      <w:rPr>
        <w:rFonts w:ascii="Symbol" w:hAnsi="Symbol" w:hint="default"/>
      </w:rPr>
    </w:lvl>
  </w:abstractNum>
  <w:num w:numId="1">
    <w:abstractNumId w:val="8"/>
  </w:num>
  <w:num w:numId="2">
    <w:abstractNumId w:val="6"/>
  </w:num>
  <w:num w:numId="3">
    <w:abstractNumId w:val="5"/>
  </w:num>
  <w:num w:numId="4">
    <w:abstractNumId w:val="7"/>
  </w:num>
  <w:num w:numId="5">
    <w:abstractNumId w:val="3"/>
  </w:num>
  <w:num w:numId="6">
    <w:abstractNumId w:val="2"/>
  </w:num>
  <w:num w:numId="7">
    <w:abstractNumId w:val="4"/>
  </w:num>
  <w:num w:numId="8">
    <w:abstractNumId w:val="1"/>
  </w:num>
  <w:num w:numId="9">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mbria" w:cs="宋体" w:eastAsia="ＭＳ 明朝" w:hAnsi="Cambria"/>
        <w:sz w:val="22"/>
        <w:szCs w:val="22"/>
        <w:lang w:val="en-US" w:bidi="ar-SA" w:eastAsia="en-US"/>
      </w:rPr>
    </w:rPrDefault>
    <w:pPrDefault>
      <w:pPr>
        <w:spacing w:after="200" w:lineRule="auto" w:line="276"/>
      </w:pPr>
    </w:pPrDefault>
  </w:docDefaults>
  <w:style w:type="paragraph" w:default="1" w:styleId="style0">
    <w:name w:val="Normal"/>
    <w:next w:val="style0"/>
    <w:qFormat/>
    <w:pPr>
      <w:spacing w:after="120" w:lineRule="auto" w:line="360"/>
    </w:pPr>
    <w:rPr>
      <w:rFonts w:ascii="Arial" w:hAnsi="Arial"/>
      <w:color w:val="000000"/>
    </w:rPr>
  </w:style>
  <w:style w:type="paragraph" w:styleId="style1">
    <w:name w:val="heading 1"/>
    <w:basedOn w:val="style0"/>
    <w:next w:val="style0"/>
    <w:link w:val="style4099"/>
    <w:qFormat/>
    <w:uiPriority w:val="9"/>
    <w:pPr>
      <w:keepNext/>
      <w:keepLines/>
      <w:spacing w:before="240"/>
      <w:outlineLvl w:val="0"/>
    </w:pPr>
    <w:rPr>
      <w:rFonts w:cs="宋体" w:eastAsia="ＭＳ ゴシック"/>
      <w:b/>
      <w:bCs/>
      <w:sz w:val="26"/>
      <w:szCs w:val="28"/>
    </w:rPr>
  </w:style>
  <w:style w:type="paragraph" w:styleId="style2">
    <w:name w:val="heading 2"/>
    <w:basedOn w:val="style0"/>
    <w:next w:val="style0"/>
    <w:link w:val="style4100"/>
    <w:qFormat/>
    <w:uiPriority w:val="9"/>
    <w:pPr>
      <w:keepNext/>
      <w:keepLines/>
      <w:spacing w:before="200" w:after="0"/>
      <w:outlineLvl w:val="1"/>
    </w:pPr>
    <w:rPr>
      <w:rFonts w:ascii="Calibri" w:cs="宋体" w:eastAsia="ＭＳ ゴシック" w:hAnsi="Calibri"/>
      <w:b/>
      <w:bCs/>
      <w:color w:val="4f81bd"/>
      <w:sz w:val="26"/>
      <w:szCs w:val="26"/>
    </w:rPr>
  </w:style>
  <w:style w:type="paragraph" w:styleId="style3">
    <w:name w:val="heading 3"/>
    <w:basedOn w:val="style0"/>
    <w:next w:val="style0"/>
    <w:link w:val="style4101"/>
    <w:qFormat/>
    <w:uiPriority w:val="9"/>
    <w:pPr>
      <w:keepNext/>
      <w:keepLines/>
      <w:spacing w:before="200" w:after="0"/>
      <w:outlineLvl w:val="2"/>
    </w:pPr>
    <w:rPr>
      <w:rFonts w:ascii="Calibri" w:cs="宋体" w:eastAsia="ＭＳ ゴシック" w:hAnsi="Calibri"/>
      <w:b/>
      <w:bCs/>
      <w:color w:val="4f81bd"/>
    </w:rPr>
  </w:style>
  <w:style w:type="paragraph" w:styleId="style4">
    <w:name w:val="heading 4"/>
    <w:basedOn w:val="style0"/>
    <w:next w:val="style0"/>
    <w:link w:val="style4109"/>
    <w:qFormat/>
    <w:uiPriority w:val="9"/>
    <w:pPr>
      <w:keepNext/>
      <w:keepLines/>
      <w:spacing w:before="200" w:after="0"/>
      <w:outlineLvl w:val="3"/>
    </w:pPr>
    <w:rPr>
      <w:rFonts w:ascii="Calibri" w:cs="宋体" w:eastAsia="ＭＳ ゴシック" w:hAnsi="Calibri"/>
      <w:b/>
      <w:bCs/>
      <w:i/>
      <w:iCs/>
      <w:color w:val="4f81bd"/>
    </w:rPr>
  </w:style>
  <w:style w:type="paragraph" w:styleId="style5">
    <w:name w:val="heading 5"/>
    <w:basedOn w:val="style0"/>
    <w:next w:val="style0"/>
    <w:link w:val="style4110"/>
    <w:qFormat/>
    <w:uiPriority w:val="9"/>
    <w:pPr>
      <w:keepNext/>
      <w:keepLines/>
      <w:spacing w:before="200" w:after="0"/>
      <w:outlineLvl w:val="4"/>
    </w:pPr>
    <w:rPr>
      <w:rFonts w:ascii="Calibri" w:cs="宋体" w:eastAsia="ＭＳ ゴシック" w:hAnsi="Calibri"/>
      <w:color w:val="243f60"/>
    </w:rPr>
  </w:style>
  <w:style w:type="paragraph" w:styleId="style6">
    <w:name w:val="heading 6"/>
    <w:basedOn w:val="style0"/>
    <w:next w:val="style0"/>
    <w:link w:val="style4111"/>
    <w:qFormat/>
    <w:uiPriority w:val="9"/>
    <w:pPr>
      <w:keepNext/>
      <w:keepLines/>
      <w:spacing w:before="200" w:after="0"/>
      <w:outlineLvl w:val="5"/>
    </w:pPr>
    <w:rPr>
      <w:rFonts w:ascii="Calibri" w:cs="宋体" w:eastAsia="ＭＳ ゴシック" w:hAnsi="Calibri"/>
      <w:i/>
      <w:iCs/>
      <w:color w:val="243f60"/>
    </w:rPr>
  </w:style>
  <w:style w:type="paragraph" w:styleId="style7">
    <w:name w:val="heading 7"/>
    <w:basedOn w:val="style0"/>
    <w:next w:val="style0"/>
    <w:link w:val="style4112"/>
    <w:qFormat/>
    <w:uiPriority w:val="9"/>
    <w:pPr>
      <w:keepNext/>
      <w:keepLines/>
      <w:spacing w:before="200" w:after="0"/>
      <w:outlineLvl w:val="6"/>
    </w:pPr>
    <w:rPr>
      <w:rFonts w:ascii="Calibri" w:cs="宋体" w:eastAsia="ＭＳ ゴシック" w:hAnsi="Calibri"/>
      <w:i/>
      <w:iCs/>
      <w:color w:val="404040"/>
    </w:rPr>
  </w:style>
  <w:style w:type="paragraph" w:styleId="style8">
    <w:name w:val="heading 8"/>
    <w:basedOn w:val="style0"/>
    <w:next w:val="style0"/>
    <w:link w:val="style4113"/>
    <w:qFormat/>
    <w:uiPriority w:val="9"/>
    <w:pPr>
      <w:keepNext/>
      <w:keepLines/>
      <w:spacing w:before="200" w:after="0"/>
      <w:outlineLvl w:val="7"/>
    </w:pPr>
    <w:rPr>
      <w:rFonts w:ascii="Calibri" w:cs="宋体" w:eastAsia="ＭＳ ゴシック" w:hAnsi="Calibri"/>
      <w:color w:val="4f81bd"/>
      <w:sz w:val="20"/>
      <w:szCs w:val="20"/>
    </w:rPr>
  </w:style>
  <w:style w:type="paragraph" w:styleId="style9">
    <w:name w:val="heading 9"/>
    <w:basedOn w:val="style0"/>
    <w:next w:val="style0"/>
    <w:link w:val="style4114"/>
    <w:qFormat/>
    <w:uiPriority w:val="9"/>
    <w:pPr>
      <w:keepNext/>
      <w:keepLines/>
      <w:spacing w:before="200" w:after="0"/>
      <w:outlineLvl w:val="8"/>
    </w:pPr>
    <w:rPr>
      <w:rFonts w:ascii="Calibri" w:cs="宋体" w:eastAsia="ＭＳ ゴシック" w:hAnsi="Calibri"/>
      <w:i/>
      <w:iCs/>
      <w:color w:val="404040"/>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1">
    <w:name w:val="header"/>
    <w:basedOn w:val="style0"/>
    <w:next w:val="style31"/>
    <w:link w:val="style4097"/>
    <w:uiPriority w:val="99"/>
    <w:pPr>
      <w:tabs>
        <w:tab w:val="center" w:leader="none" w:pos="4680"/>
        <w:tab w:val="right" w:leader="none" w:pos="9360"/>
      </w:tabs>
      <w:spacing w:after="0" w:lineRule="auto" w:line="240"/>
    </w:pPr>
    <w:rPr/>
  </w:style>
  <w:style w:type="character" w:customStyle="1" w:styleId="style4097">
    <w:name w:val="Header Char_a5ccde64-9bc1-4200-bfe6-c07632b558a0"/>
    <w:basedOn w:val="style65"/>
    <w:next w:val="style4097"/>
    <w:link w:val="style31"/>
    <w:uiPriority w:val="99"/>
  </w:style>
  <w:style w:type="paragraph" w:styleId="style32">
    <w:name w:val="footer"/>
    <w:basedOn w:val="style0"/>
    <w:next w:val="style32"/>
    <w:link w:val="style4098"/>
    <w:uiPriority w:val="99"/>
    <w:pPr>
      <w:tabs>
        <w:tab w:val="center" w:leader="none" w:pos="4680"/>
        <w:tab w:val="right" w:leader="none" w:pos="9360"/>
      </w:tabs>
      <w:spacing w:after="0" w:lineRule="auto" w:line="240"/>
    </w:pPr>
    <w:rPr/>
  </w:style>
  <w:style w:type="character" w:customStyle="1" w:styleId="style4098">
    <w:name w:val="Footer Char_a073c1cf-eb93-4076-a0e1-b53399e58d5d"/>
    <w:basedOn w:val="style65"/>
    <w:next w:val="style4098"/>
    <w:link w:val="style32"/>
    <w:uiPriority w:val="99"/>
  </w:style>
  <w:style w:type="paragraph" w:styleId="style157">
    <w:name w:val="No Spacing"/>
    <w:next w:val="style157"/>
    <w:qFormat/>
    <w:uiPriority w:val="1"/>
    <w:pPr>
      <w:spacing w:after="0" w:lineRule="auto" w:line="240"/>
    </w:pPr>
    <w:rPr/>
  </w:style>
  <w:style w:type="character" w:customStyle="1" w:styleId="style4099">
    <w:name w:val="Heading 1 Char_987d99c1-69a6-43a2-97da-216dc6d9719c"/>
    <w:basedOn w:val="style65"/>
    <w:next w:val="style4099"/>
    <w:link w:val="style1"/>
    <w:uiPriority w:val="9"/>
    <w:rPr>
      <w:rFonts w:ascii="Arial" w:cs="宋体" w:eastAsia="ＭＳ ゴシック" w:hAnsi="Arial"/>
      <w:b/>
      <w:bCs/>
      <w:color w:val="000000"/>
      <w:sz w:val="26"/>
      <w:szCs w:val="28"/>
    </w:rPr>
  </w:style>
  <w:style w:type="character" w:customStyle="1" w:styleId="style4100">
    <w:name w:val="Heading 2 Char_ab1a696c-9b10-4836-a23a-b363e69b149e"/>
    <w:basedOn w:val="style65"/>
    <w:next w:val="style4100"/>
    <w:link w:val="style2"/>
    <w:uiPriority w:val="9"/>
    <w:rPr>
      <w:rFonts w:ascii="Calibri" w:cs="宋体" w:eastAsia="ＭＳ ゴシック" w:hAnsi="Calibri"/>
      <w:b/>
      <w:bCs/>
      <w:color w:val="4f81bd"/>
      <w:sz w:val="26"/>
      <w:szCs w:val="26"/>
    </w:rPr>
  </w:style>
  <w:style w:type="character" w:customStyle="1" w:styleId="style4101">
    <w:name w:val="Heading 3 Char_e3989fc6-62e6-4879-8bfb-465ee378d1f6"/>
    <w:basedOn w:val="style65"/>
    <w:next w:val="style4101"/>
    <w:link w:val="style3"/>
    <w:uiPriority w:val="9"/>
    <w:rPr>
      <w:rFonts w:ascii="Calibri" w:cs="宋体" w:eastAsia="ＭＳ ゴシック" w:hAnsi="Calibri"/>
      <w:b/>
      <w:bCs/>
      <w:color w:val="4f81bd"/>
    </w:rPr>
  </w:style>
  <w:style w:type="paragraph" w:styleId="style62">
    <w:name w:val="Title"/>
    <w:basedOn w:val="style0"/>
    <w:next w:val="style0"/>
    <w:link w:val="style4102"/>
    <w:qFormat/>
    <w:uiPriority w:val="10"/>
    <w:pPr>
      <w:pBdr>
        <w:bottom w:val="single" w:sz="8" w:space="4" w:color="4f81bd"/>
      </w:pBdr>
      <w:spacing w:after="300" w:lineRule="auto" w:line="240"/>
      <w:contextualSpacing/>
    </w:pPr>
    <w:rPr>
      <w:rFonts w:ascii="Calibri" w:cs="宋体" w:eastAsia="ＭＳ ゴシック" w:hAnsi="Calibri"/>
      <w:color w:val="17365d"/>
      <w:spacing w:val="5"/>
      <w:kern w:val="28"/>
      <w:sz w:val="52"/>
      <w:szCs w:val="52"/>
    </w:rPr>
  </w:style>
  <w:style w:type="character" w:customStyle="1" w:styleId="style4102">
    <w:name w:val="Title Char_c822189f-e588-4dab-80ce-3d3a0a15603c"/>
    <w:basedOn w:val="style65"/>
    <w:next w:val="style4102"/>
    <w:link w:val="style62"/>
    <w:uiPriority w:val="10"/>
    <w:rPr>
      <w:rFonts w:ascii="Calibri" w:cs="宋体" w:eastAsia="ＭＳ ゴシック" w:hAnsi="Calibri"/>
      <w:color w:val="17365d"/>
      <w:spacing w:val="5"/>
      <w:kern w:val="28"/>
      <w:sz w:val="52"/>
      <w:szCs w:val="52"/>
    </w:rPr>
  </w:style>
  <w:style w:type="paragraph" w:styleId="style74">
    <w:name w:val="Subtitle"/>
    <w:basedOn w:val="style0"/>
    <w:next w:val="style0"/>
    <w:link w:val="style4103"/>
    <w:qFormat/>
    <w:uiPriority w:val="11"/>
    <w:pPr>
      <w:numPr>
        <w:ilvl w:val="1"/>
        <w:numId w:val="0"/>
      </w:numPr>
    </w:pPr>
    <w:rPr>
      <w:rFonts w:ascii="Calibri" w:cs="宋体" w:eastAsia="ＭＳ ゴシック" w:hAnsi="Calibri"/>
      <w:i/>
      <w:iCs/>
      <w:color w:val="4f81bd"/>
      <w:spacing w:val="15"/>
      <w:sz w:val="24"/>
      <w:szCs w:val="24"/>
    </w:rPr>
  </w:style>
  <w:style w:type="character" w:customStyle="1" w:styleId="style4103">
    <w:name w:val="Subtitle Char"/>
    <w:basedOn w:val="style65"/>
    <w:next w:val="style4103"/>
    <w:link w:val="style74"/>
    <w:uiPriority w:val="11"/>
    <w:rPr>
      <w:rFonts w:ascii="Calibri" w:cs="宋体" w:eastAsia="ＭＳ ゴシック" w:hAnsi="Calibri"/>
      <w:i/>
      <w:iCs/>
      <w:color w:val="4f81bd"/>
      <w:spacing w:val="15"/>
      <w:sz w:val="24"/>
      <w:szCs w:val="24"/>
    </w:rPr>
  </w:style>
  <w:style w:type="paragraph" w:styleId="style179">
    <w:name w:val="List Paragraph"/>
    <w:basedOn w:val="style0"/>
    <w:next w:val="style179"/>
    <w:qFormat/>
    <w:uiPriority w:val="34"/>
    <w:pPr>
      <w:ind w:left="720"/>
      <w:contextualSpacing/>
    </w:pPr>
    <w:rPr/>
  </w:style>
  <w:style w:type="paragraph" w:styleId="style66">
    <w:name w:val="Body Text"/>
    <w:basedOn w:val="style0"/>
    <w:next w:val="style66"/>
    <w:link w:val="style4104"/>
    <w:uiPriority w:val="99"/>
    <w:pPr/>
  </w:style>
  <w:style w:type="character" w:customStyle="1" w:styleId="style4104">
    <w:name w:val="Body Text Char"/>
    <w:basedOn w:val="style65"/>
    <w:next w:val="style4104"/>
    <w:link w:val="style66"/>
    <w:uiPriority w:val="99"/>
  </w:style>
  <w:style w:type="paragraph" w:styleId="style80">
    <w:name w:val="Body Text 2"/>
    <w:basedOn w:val="style0"/>
    <w:next w:val="style80"/>
    <w:link w:val="style4105"/>
    <w:uiPriority w:val="99"/>
    <w:pPr>
      <w:spacing w:lineRule="auto" w:line="480"/>
    </w:pPr>
    <w:rPr/>
  </w:style>
  <w:style w:type="character" w:customStyle="1" w:styleId="style4105">
    <w:name w:val="Body Text 2 Char"/>
    <w:basedOn w:val="style65"/>
    <w:next w:val="style4105"/>
    <w:link w:val="style80"/>
    <w:uiPriority w:val="99"/>
  </w:style>
  <w:style w:type="paragraph" w:styleId="style81">
    <w:name w:val="Body Text 3"/>
    <w:basedOn w:val="style0"/>
    <w:next w:val="style81"/>
    <w:link w:val="style4106"/>
    <w:uiPriority w:val="99"/>
    <w:pPr/>
    <w:rPr>
      <w:sz w:val="16"/>
      <w:szCs w:val="16"/>
    </w:rPr>
  </w:style>
  <w:style w:type="character" w:customStyle="1" w:styleId="style4106">
    <w:name w:val="Body Text 3 Char"/>
    <w:basedOn w:val="style65"/>
    <w:next w:val="style4106"/>
    <w:link w:val="style81"/>
    <w:uiPriority w:val="99"/>
    <w:rPr>
      <w:sz w:val="16"/>
      <w:szCs w:val="16"/>
    </w:rPr>
  </w:style>
  <w:style w:type="paragraph" w:styleId="style47">
    <w:name w:val="List"/>
    <w:basedOn w:val="style0"/>
    <w:next w:val="style47"/>
    <w:uiPriority w:val="99"/>
    <w:pPr>
      <w:ind w:left="360" w:hanging="360"/>
      <w:contextualSpacing/>
    </w:pPr>
    <w:rPr/>
  </w:style>
  <w:style w:type="paragraph" w:styleId="style50">
    <w:name w:val="List 2"/>
    <w:basedOn w:val="style0"/>
    <w:next w:val="style50"/>
    <w:uiPriority w:val="99"/>
    <w:pPr>
      <w:ind w:left="720" w:hanging="360"/>
      <w:contextualSpacing/>
    </w:pPr>
    <w:rPr/>
  </w:style>
  <w:style w:type="paragraph" w:styleId="style51">
    <w:name w:val="List 3"/>
    <w:basedOn w:val="style0"/>
    <w:next w:val="style51"/>
    <w:uiPriority w:val="99"/>
    <w:pPr>
      <w:ind w:left="1080" w:hanging="360"/>
      <w:contextualSpacing/>
    </w:pPr>
    <w:rPr/>
  </w:style>
  <w:style w:type="paragraph" w:styleId="style48">
    <w:name w:val="List Bullet"/>
    <w:basedOn w:val="style0"/>
    <w:next w:val="style48"/>
    <w:uiPriority w:val="99"/>
    <w:pPr>
      <w:numPr>
        <w:ilvl w:val="0"/>
        <w:numId w:val="1"/>
      </w:numPr>
      <w:contextualSpacing/>
    </w:pPr>
    <w:rPr/>
  </w:style>
  <w:style w:type="paragraph" w:styleId="style54">
    <w:name w:val="List Bullet 2"/>
    <w:basedOn w:val="style0"/>
    <w:next w:val="style54"/>
    <w:uiPriority w:val="99"/>
    <w:pPr>
      <w:numPr>
        <w:ilvl w:val="0"/>
        <w:numId w:val="2"/>
      </w:numPr>
      <w:contextualSpacing/>
    </w:pPr>
    <w:rPr/>
  </w:style>
  <w:style w:type="paragraph" w:styleId="style55">
    <w:name w:val="List Bullet 3"/>
    <w:basedOn w:val="style0"/>
    <w:next w:val="style55"/>
    <w:uiPriority w:val="99"/>
    <w:pPr>
      <w:numPr>
        <w:ilvl w:val="0"/>
        <w:numId w:val="3"/>
      </w:numPr>
      <w:contextualSpacing/>
    </w:pPr>
    <w:rPr/>
  </w:style>
  <w:style w:type="paragraph" w:styleId="style49">
    <w:name w:val="List Number"/>
    <w:basedOn w:val="style0"/>
    <w:next w:val="style49"/>
    <w:uiPriority w:val="99"/>
    <w:pPr>
      <w:numPr>
        <w:ilvl w:val="0"/>
        <w:numId w:val="4"/>
      </w:numPr>
      <w:contextualSpacing/>
    </w:pPr>
    <w:rPr/>
  </w:style>
  <w:style w:type="paragraph" w:styleId="style58">
    <w:name w:val="List Number 2"/>
    <w:basedOn w:val="style0"/>
    <w:next w:val="style58"/>
    <w:uiPriority w:val="99"/>
    <w:pPr>
      <w:numPr>
        <w:ilvl w:val="0"/>
        <w:numId w:val="5"/>
      </w:numPr>
      <w:contextualSpacing/>
    </w:pPr>
    <w:rPr/>
  </w:style>
  <w:style w:type="paragraph" w:styleId="style59">
    <w:name w:val="List Number 3"/>
    <w:basedOn w:val="style0"/>
    <w:next w:val="style59"/>
    <w:uiPriority w:val="99"/>
    <w:pPr>
      <w:numPr>
        <w:ilvl w:val="0"/>
        <w:numId w:val="6"/>
      </w:numPr>
      <w:contextualSpacing/>
    </w:pPr>
    <w:rPr/>
  </w:style>
  <w:style w:type="paragraph" w:styleId="style68">
    <w:name w:val="List Continue"/>
    <w:basedOn w:val="style0"/>
    <w:next w:val="style68"/>
    <w:uiPriority w:val="99"/>
    <w:pPr>
      <w:ind w:left="360"/>
      <w:contextualSpacing/>
    </w:pPr>
    <w:rPr/>
  </w:style>
  <w:style w:type="paragraph" w:styleId="style69">
    <w:name w:val="List Continue 2"/>
    <w:basedOn w:val="style0"/>
    <w:next w:val="style69"/>
    <w:uiPriority w:val="99"/>
    <w:pPr>
      <w:ind w:left="720"/>
      <w:contextualSpacing/>
    </w:pPr>
    <w:rPr/>
  </w:style>
  <w:style w:type="paragraph" w:styleId="style70">
    <w:name w:val="List Continue 3"/>
    <w:basedOn w:val="style0"/>
    <w:next w:val="style70"/>
    <w:uiPriority w:val="99"/>
    <w:pPr>
      <w:ind w:left="1080"/>
      <w:contextualSpacing/>
    </w:pPr>
    <w:rPr/>
  </w:style>
  <w:style w:type="paragraph" w:styleId="style45">
    <w:name w:val="macro"/>
    <w:next w:val="style45"/>
    <w:link w:val="style4107"/>
    <w:uiPriority w:val="99"/>
    <w:pPr>
      <w:tabs>
        <w:tab w:val="left" w:leader="none" w:pos="576"/>
        <w:tab w:val="left" w:leader="none" w:pos="1152"/>
        <w:tab w:val="left" w:leader="none" w:pos="1728"/>
        <w:tab w:val="left" w:leader="none" w:pos="2304"/>
        <w:tab w:val="left" w:leader="none" w:pos="2880"/>
        <w:tab w:val="left" w:leader="none" w:pos="3456"/>
        <w:tab w:val="left" w:leader="none" w:pos="4032"/>
      </w:tabs>
    </w:pPr>
    <w:rPr>
      <w:rFonts w:ascii="Courier" w:hAnsi="Courier"/>
      <w:sz w:val="20"/>
      <w:szCs w:val="20"/>
    </w:rPr>
  </w:style>
  <w:style w:type="character" w:customStyle="1" w:styleId="style4107">
    <w:name w:val="Macro Text Char"/>
    <w:basedOn w:val="style65"/>
    <w:next w:val="style4107"/>
    <w:link w:val="style45"/>
    <w:uiPriority w:val="99"/>
    <w:rPr>
      <w:rFonts w:ascii="Courier" w:hAnsi="Courier"/>
      <w:sz w:val="20"/>
      <w:szCs w:val="20"/>
    </w:rPr>
  </w:style>
  <w:style w:type="paragraph" w:styleId="style180">
    <w:name w:val="Quote"/>
    <w:basedOn w:val="style0"/>
    <w:next w:val="style0"/>
    <w:link w:val="style4108"/>
    <w:qFormat/>
    <w:uiPriority w:val="29"/>
    <w:pPr/>
    <w:rPr>
      <w:i/>
      <w:iCs/>
      <w:color w:val="000000"/>
    </w:rPr>
  </w:style>
  <w:style w:type="character" w:customStyle="1" w:styleId="style4108">
    <w:name w:val="Quote Char_5c2741f5-539a-4229-8975-b442feb84353"/>
    <w:basedOn w:val="style65"/>
    <w:next w:val="style4108"/>
    <w:link w:val="style180"/>
    <w:uiPriority w:val="29"/>
    <w:rPr>
      <w:i/>
      <w:iCs/>
      <w:color w:val="000000"/>
    </w:rPr>
  </w:style>
  <w:style w:type="character" w:customStyle="1" w:styleId="style4109">
    <w:name w:val="Heading 4 Char_c93eea2c-042d-4d9e-a724-34fb47ca9667"/>
    <w:basedOn w:val="style65"/>
    <w:next w:val="style4109"/>
    <w:link w:val="style4"/>
    <w:uiPriority w:val="9"/>
    <w:rPr>
      <w:rFonts w:ascii="Calibri" w:cs="宋体" w:eastAsia="ＭＳ ゴシック" w:hAnsi="Calibri"/>
      <w:b/>
      <w:bCs/>
      <w:i/>
      <w:iCs/>
      <w:color w:val="4f81bd"/>
    </w:rPr>
  </w:style>
  <w:style w:type="character" w:customStyle="1" w:styleId="style4110">
    <w:name w:val="Heading 5 Char_feaf54c9-ec4f-4616-acc6-13d2f3b13f0f"/>
    <w:basedOn w:val="style65"/>
    <w:next w:val="style4110"/>
    <w:link w:val="style5"/>
    <w:uiPriority w:val="9"/>
    <w:rPr>
      <w:rFonts w:ascii="Calibri" w:cs="宋体" w:eastAsia="ＭＳ ゴシック" w:hAnsi="Calibri"/>
      <w:color w:val="243f60"/>
    </w:rPr>
  </w:style>
  <w:style w:type="character" w:customStyle="1" w:styleId="style4111">
    <w:name w:val="Heading 6 Char_a367eb8d-67b8-4369-8551-3b6ef51e8d47"/>
    <w:basedOn w:val="style65"/>
    <w:next w:val="style4111"/>
    <w:link w:val="style6"/>
    <w:uiPriority w:val="9"/>
    <w:rPr>
      <w:rFonts w:ascii="Calibri" w:cs="宋体" w:eastAsia="ＭＳ ゴシック" w:hAnsi="Calibri"/>
      <w:i/>
      <w:iCs/>
      <w:color w:val="243f60"/>
    </w:rPr>
  </w:style>
  <w:style w:type="character" w:customStyle="1" w:styleId="style4112">
    <w:name w:val="Heading 7 Char_a60c5c0e-739d-4456-ac6a-481cfdd3896c"/>
    <w:basedOn w:val="style65"/>
    <w:next w:val="style4112"/>
    <w:link w:val="style7"/>
    <w:uiPriority w:val="9"/>
    <w:rPr>
      <w:rFonts w:ascii="Calibri" w:cs="宋体" w:eastAsia="ＭＳ ゴシック" w:hAnsi="Calibri"/>
      <w:i/>
      <w:iCs/>
      <w:color w:val="404040"/>
    </w:rPr>
  </w:style>
  <w:style w:type="character" w:customStyle="1" w:styleId="style4113">
    <w:name w:val="Heading 8 Char_480e33f1-f512-4784-81f5-64f39a815ed8"/>
    <w:basedOn w:val="style65"/>
    <w:next w:val="style4113"/>
    <w:link w:val="style8"/>
    <w:uiPriority w:val="9"/>
    <w:rPr>
      <w:rFonts w:ascii="Calibri" w:cs="宋体" w:eastAsia="ＭＳ ゴシック" w:hAnsi="Calibri"/>
      <w:color w:val="4f81bd"/>
      <w:sz w:val="20"/>
      <w:szCs w:val="20"/>
    </w:rPr>
  </w:style>
  <w:style w:type="character" w:customStyle="1" w:styleId="style4114">
    <w:name w:val="Heading 9 Char_ff333978-20dc-45e6-a37d-fc00c17cc092"/>
    <w:basedOn w:val="style65"/>
    <w:next w:val="style4114"/>
    <w:link w:val="style9"/>
    <w:uiPriority w:val="9"/>
    <w:rPr>
      <w:rFonts w:ascii="Calibri" w:cs="宋体" w:eastAsia="ＭＳ ゴシック" w:hAnsi="Calibri"/>
      <w:i/>
      <w:iCs/>
      <w:color w:val="404040"/>
      <w:sz w:val="20"/>
      <w:szCs w:val="20"/>
    </w:rPr>
  </w:style>
  <w:style w:type="paragraph" w:styleId="style34">
    <w:name w:val="caption"/>
    <w:basedOn w:val="style0"/>
    <w:next w:val="style0"/>
    <w:qFormat/>
    <w:uiPriority w:val="35"/>
    <w:pPr>
      <w:spacing w:lineRule="auto" w:line="240"/>
    </w:pPr>
    <w:rPr>
      <w:b/>
      <w:bCs/>
      <w:szCs w:val="18"/>
    </w:rPr>
  </w:style>
  <w:style w:type="character" w:styleId="style87">
    <w:name w:val="Strong"/>
    <w:basedOn w:val="style65"/>
    <w:next w:val="style87"/>
    <w:qFormat/>
    <w:uiPriority w:val="22"/>
    <w:rPr>
      <w:b/>
      <w:bCs/>
    </w:rPr>
  </w:style>
  <w:style w:type="character" w:styleId="style88">
    <w:name w:val="Emphasis"/>
    <w:basedOn w:val="style65"/>
    <w:next w:val="style88"/>
    <w:qFormat/>
    <w:uiPriority w:val="20"/>
    <w:rPr>
      <w:i/>
      <w:iCs/>
    </w:rPr>
  </w:style>
  <w:style w:type="paragraph" w:styleId="style181">
    <w:name w:val="Intense Quote"/>
    <w:basedOn w:val="style0"/>
    <w:next w:val="style0"/>
    <w:link w:val="style4115"/>
    <w:qFormat/>
    <w:uiPriority w:val="30"/>
    <w:pPr>
      <w:pBdr>
        <w:bottom w:val="single" w:sz="4" w:space="4" w:color="4f81bd"/>
      </w:pBdr>
      <w:spacing w:before="200" w:after="280"/>
      <w:ind w:left="936" w:right="936"/>
    </w:pPr>
    <w:rPr>
      <w:b/>
      <w:bCs/>
      <w:i/>
      <w:iCs/>
      <w:color w:val="4f81bd"/>
    </w:rPr>
  </w:style>
  <w:style w:type="character" w:customStyle="1" w:styleId="style4115">
    <w:name w:val="Intense Quote Char_95f7c9ea-8a3b-4f94-b922-746698de93d0"/>
    <w:basedOn w:val="style65"/>
    <w:next w:val="style4115"/>
    <w:link w:val="style181"/>
    <w:uiPriority w:val="30"/>
    <w:rPr>
      <w:b/>
      <w:bCs/>
      <w:i/>
      <w:iCs/>
      <w:color w:val="4f81bd"/>
    </w:rPr>
  </w:style>
  <w:style w:type="character" w:styleId="style260">
    <w:name w:val="Subtle Emphasis"/>
    <w:basedOn w:val="style65"/>
    <w:next w:val="style260"/>
    <w:qFormat/>
    <w:uiPriority w:val="19"/>
    <w:rPr>
      <w:i/>
      <w:iCs/>
      <w:color w:val="808080"/>
    </w:rPr>
  </w:style>
  <w:style w:type="character" w:styleId="style261">
    <w:name w:val="Intense Emphasis"/>
    <w:basedOn w:val="style65"/>
    <w:next w:val="style261"/>
    <w:qFormat/>
    <w:uiPriority w:val="21"/>
    <w:rPr>
      <w:b/>
      <w:bCs/>
      <w:i/>
      <w:iCs/>
      <w:color w:val="4f81bd"/>
    </w:rPr>
  </w:style>
  <w:style w:type="character" w:styleId="style262">
    <w:name w:val="Subtle Reference"/>
    <w:basedOn w:val="style65"/>
    <w:next w:val="style262"/>
    <w:qFormat/>
    <w:uiPriority w:val="31"/>
    <w:rPr>
      <w:smallCaps/>
      <w:color w:val="c0504d"/>
      <w:u w:val="single"/>
    </w:rPr>
  </w:style>
  <w:style w:type="character" w:styleId="style263">
    <w:name w:val="Intense Reference"/>
    <w:basedOn w:val="style65"/>
    <w:next w:val="style263"/>
    <w:qFormat/>
    <w:uiPriority w:val="32"/>
    <w:rPr>
      <w:b/>
      <w:bCs/>
      <w:smallCaps/>
      <w:color w:val="c0504d"/>
      <w:spacing w:val="5"/>
      <w:u w:val="single"/>
    </w:rPr>
  </w:style>
  <w:style w:type="character" w:styleId="style264">
    <w:name w:val="Book Title"/>
    <w:basedOn w:val="style65"/>
    <w:next w:val="style264"/>
    <w:qFormat/>
    <w:uiPriority w:val="33"/>
    <w:rPr>
      <w:b/>
      <w:bCs/>
      <w:smallCaps/>
      <w:spacing w:val="5"/>
    </w:rPr>
  </w:style>
  <w:style w:type="paragraph" w:styleId="style266">
    <w:name w:val="TOC Heading"/>
    <w:basedOn w:val="style1"/>
    <w:next w:val="style0"/>
    <w:qFormat/>
    <w:uiPriority w:val="39"/>
    <w:pPr>
      <w:outlineLvl w:val="9"/>
    </w:pPr>
    <w:rPr/>
  </w:style>
  <w:style w:type="table" w:styleId="style154">
    <w:name w:val="Table Grid"/>
    <w:basedOn w:val="style105"/>
    <w:next w:val="style154"/>
    <w:uiPriority w:val="5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styleId="style158">
    <w:name w:val="Light Shading"/>
    <w:basedOn w:val="style105"/>
    <w:next w:val="style158"/>
    <w:uiPriority w:val="60"/>
    <w:pPr>
      <w:spacing w:after="0" w:lineRule="auto" w:line="240"/>
    </w:pPr>
    <w:rPr>
      <w:color w:val="000000"/>
    </w:rPr>
    <w:tblPr>
      <w:tblStyleRowBandSize w:val="1"/>
      <w:tblStyleColBandSize w:val="1"/>
      <w:tblBorders>
        <w:top w:val="single" w:sz="8" w:space="0" w:color="000000"/>
        <w:bottom w:val="single" w:sz="8" w:space="0" w:color="000000"/>
      </w:tblBorders>
    </w:tblPr>
    <w:tblStylePr w:type="firstRow">
      <w:pPr>
        <w:spacing w:before="0" w:after="0" w:lineRule="auto" w:line="240"/>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Rule="auto" w:line="240"/>
      </w:pPr>
      <w:rPr>
        <w:b/>
        <w:bCs/>
      </w:rPr>
      <w:tblPr/>
      <w:tcPr>
        <w:tcBorders>
          <w:top w:val="single" w:sz="8" w:space="0" w:color="000000"/>
          <w:left w:val="nil"/>
          <w:bottom w:val="single" w:sz="8" w:space="0" w:color="000000"/>
          <w:right w:val="nil"/>
          <w:insideH w:val="nil"/>
          <w:insideV w:val="nil"/>
        </w:tcBorders>
      </w:tcPr>
    </w:tblStylePr>
    <w:tblStylePr w:type="band1Horz">
      <w:pPr/>
      <w:tblPr/>
      <w:tcPr>
        <w:tcBorders>
          <w:left w:val="nil"/>
          <w:right w:val="nil"/>
          <w:insideH w:val="nil"/>
          <w:insideV w:val="nil"/>
        </w:tcBorders>
        <w:shd w:val="clear" w:color="auto" w:fill="c0c0c0"/>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c0c0c0"/>
      </w:tcPr>
    </w:tblStylePr>
    <w:tcPr>
      <w:tcBorders/>
    </w:tcPr>
  </w:style>
  <w:style w:type="table" w:styleId="style172">
    <w:name w:val="Light Shading Accent 1"/>
    <w:basedOn w:val="style105"/>
    <w:next w:val="style172"/>
    <w:uiPriority w:val="60"/>
    <w:pPr>
      <w:spacing w:after="0" w:lineRule="auto" w:line="240"/>
    </w:pPr>
    <w:rPr>
      <w:color w:val="365f91"/>
    </w:rPr>
    <w:tblPr>
      <w:tblStyleRowBandSize w:val="1"/>
      <w:tblStyleColBandSize w:val="1"/>
      <w:tblBorders>
        <w:top w:val="single" w:sz="8" w:space="0" w:color="4f81bd"/>
        <w:bottom w:val="single" w:sz="8" w:space="0" w:color="4f81bd"/>
      </w:tblBorders>
    </w:tblPr>
    <w:tblStylePr w:type="firstRow">
      <w:pPr>
        <w:spacing w:before="0" w:after="0" w:lineRule="auto" w:line="240"/>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Rule="auto" w:line="240"/>
      </w:pPr>
      <w:rPr>
        <w:b/>
        <w:bCs/>
      </w:rPr>
      <w:tblPr/>
      <w:tcPr>
        <w:tcBorders>
          <w:top w:val="single" w:sz="8" w:space="0" w:color="4f81bd"/>
          <w:left w:val="nil"/>
          <w:bottom w:val="single" w:sz="8" w:space="0" w:color="4f81bd"/>
          <w:right w:val="nil"/>
          <w:insideH w:val="nil"/>
          <w:insideV w:val="nil"/>
        </w:tcBorders>
      </w:tcPr>
    </w:tblStylePr>
    <w:tblStylePr w:type="band1Horz">
      <w:pPr/>
      <w:tblPr/>
      <w:tcPr>
        <w:tcBorders>
          <w:left w:val="nil"/>
          <w:right w:val="nil"/>
          <w:insideH w:val="nil"/>
          <w:insideV w:val="nil"/>
        </w:tcBorders>
        <w:shd w:val="clear" w:color="auto" w:fill="d3dfee"/>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d3dfee"/>
      </w:tcPr>
    </w:tblStylePr>
    <w:tcPr>
      <w:tcBorders/>
    </w:tcPr>
  </w:style>
  <w:style w:type="table" w:styleId="style190">
    <w:name w:val="Light Shading Accent 2"/>
    <w:basedOn w:val="style105"/>
    <w:next w:val="style190"/>
    <w:uiPriority w:val="60"/>
    <w:pPr>
      <w:spacing w:after="0" w:lineRule="auto" w:line="240"/>
    </w:pPr>
    <w:rPr>
      <w:color w:val="943634"/>
    </w:rPr>
    <w:tblPr>
      <w:tblStyleRowBandSize w:val="1"/>
      <w:tblStyleColBandSize w:val="1"/>
      <w:tblBorders>
        <w:top w:val="single" w:sz="8" w:space="0" w:color="c0504d"/>
        <w:bottom w:val="single" w:sz="8" w:space="0" w:color="c0504d"/>
      </w:tblBorders>
    </w:tblPr>
    <w:tblStylePr w:type="firstRow">
      <w:pPr>
        <w:spacing w:before="0" w:after="0" w:lineRule="auto" w:line="240"/>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Rule="auto" w:line="240"/>
      </w:pPr>
      <w:rPr>
        <w:b/>
        <w:bCs/>
      </w:rPr>
      <w:tblPr/>
      <w:tcPr>
        <w:tcBorders>
          <w:top w:val="single" w:sz="8" w:space="0" w:color="c0504d"/>
          <w:left w:val="nil"/>
          <w:bottom w:val="single" w:sz="8" w:space="0" w:color="c0504d"/>
          <w:right w:val="nil"/>
          <w:insideH w:val="nil"/>
          <w:insideV w:val="nil"/>
        </w:tcBorders>
      </w:tcPr>
    </w:tblStylePr>
    <w:tblStylePr w:type="band1Horz">
      <w:pPr/>
      <w:tblPr/>
      <w:tcPr>
        <w:tcBorders>
          <w:left w:val="nil"/>
          <w:right w:val="nil"/>
          <w:insideH w:val="nil"/>
          <w:insideV w:val="nil"/>
        </w:tcBorders>
        <w:shd w:val="clear" w:color="auto" w:fill="efd3d2"/>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efd3d2"/>
      </w:tcPr>
    </w:tblStylePr>
    <w:tcPr>
      <w:tcBorders/>
    </w:tcPr>
  </w:style>
  <w:style w:type="table" w:styleId="style204">
    <w:name w:val="Light Shading Accent 3"/>
    <w:basedOn w:val="style105"/>
    <w:next w:val="style204"/>
    <w:uiPriority w:val="60"/>
    <w:pPr>
      <w:spacing w:after="0" w:lineRule="auto" w:line="240"/>
    </w:pPr>
    <w:rPr>
      <w:color w:val="76923c"/>
    </w:rPr>
    <w:tblPr>
      <w:tblStyleRowBandSize w:val="1"/>
      <w:tblStyleColBandSize w:val="1"/>
      <w:tblBorders>
        <w:top w:val="single" w:sz="8" w:space="0" w:color="9bbb59"/>
        <w:bottom w:val="single" w:sz="8" w:space="0" w:color="9bbb59"/>
      </w:tblBorders>
    </w:tblPr>
    <w:tblStylePr w:type="firstRow">
      <w:pPr>
        <w:spacing w:before="0" w:after="0" w:lineRule="auto" w:line="240"/>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Rule="auto" w:line="240"/>
      </w:pPr>
      <w:rPr>
        <w:b/>
        <w:bCs/>
      </w:rPr>
      <w:tblPr/>
      <w:tcPr>
        <w:tcBorders>
          <w:top w:val="single" w:sz="8" w:space="0" w:color="9bbb59"/>
          <w:left w:val="nil"/>
          <w:bottom w:val="single" w:sz="8" w:space="0" w:color="9bbb59"/>
          <w:right w:val="nil"/>
          <w:insideH w:val="nil"/>
          <w:insideV w:val="nil"/>
        </w:tcBorders>
      </w:tcPr>
    </w:tblStylePr>
    <w:tblStylePr w:type="band1Horz">
      <w:pPr/>
      <w:tblPr/>
      <w:tcPr>
        <w:tcBorders>
          <w:left w:val="nil"/>
          <w:right w:val="nil"/>
          <w:insideH w:val="nil"/>
          <w:insideV w:val="nil"/>
        </w:tcBorders>
        <w:shd w:val="clear" w:color="auto" w:fill="e6eed5"/>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e6eed5"/>
      </w:tcPr>
    </w:tblStylePr>
    <w:tcPr>
      <w:tcBorders/>
    </w:tcPr>
  </w:style>
  <w:style w:type="table" w:styleId="style218">
    <w:name w:val="Light Shading Accent 4"/>
    <w:basedOn w:val="style105"/>
    <w:next w:val="style218"/>
    <w:uiPriority w:val="60"/>
    <w:pPr>
      <w:spacing w:after="0" w:lineRule="auto" w:line="240"/>
    </w:pPr>
    <w:rPr>
      <w:color w:val="5f497a"/>
    </w:rPr>
    <w:tblPr>
      <w:tblStyleRowBandSize w:val="1"/>
      <w:tblStyleColBandSize w:val="1"/>
      <w:tblBorders>
        <w:top w:val="single" w:sz="8" w:space="0" w:color="8064a2"/>
        <w:bottom w:val="single" w:sz="8" w:space="0" w:color="8064a2"/>
      </w:tblBorders>
    </w:tblPr>
    <w:tblStylePr w:type="firstRow">
      <w:pPr>
        <w:spacing w:before="0" w:after="0" w:lineRule="auto" w:line="240"/>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Rule="auto" w:line="240"/>
      </w:pPr>
      <w:rPr>
        <w:b/>
        <w:bCs/>
      </w:rPr>
      <w:tblPr/>
      <w:tcPr>
        <w:tcBorders>
          <w:top w:val="single" w:sz="8" w:space="0" w:color="8064a2"/>
          <w:left w:val="nil"/>
          <w:bottom w:val="single" w:sz="8" w:space="0" w:color="8064a2"/>
          <w:right w:val="nil"/>
          <w:insideH w:val="nil"/>
          <w:insideV w:val="nil"/>
        </w:tcBorders>
      </w:tcPr>
    </w:tblStylePr>
    <w:tblStylePr w:type="band1Horz">
      <w:pPr/>
      <w:tblPr/>
      <w:tcPr>
        <w:tcBorders>
          <w:left w:val="nil"/>
          <w:right w:val="nil"/>
          <w:insideH w:val="nil"/>
          <w:insideV w:val="nil"/>
        </w:tcBorders>
        <w:shd w:val="clear" w:color="auto" w:fill="dfd8e8"/>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dfd8e8"/>
      </w:tcPr>
    </w:tblStylePr>
    <w:tcPr>
      <w:tcBorders/>
    </w:tcPr>
  </w:style>
  <w:style w:type="table" w:styleId="style232">
    <w:name w:val="Light Shading Accent 5"/>
    <w:basedOn w:val="style105"/>
    <w:next w:val="style232"/>
    <w:uiPriority w:val="60"/>
    <w:pPr>
      <w:spacing w:after="0" w:lineRule="auto" w:line="240"/>
    </w:pPr>
    <w:rPr>
      <w:color w:val="31849b"/>
    </w:rPr>
    <w:tblPr>
      <w:tblStyleRowBandSize w:val="1"/>
      <w:tblStyleColBandSize w:val="1"/>
      <w:tblBorders>
        <w:top w:val="single" w:sz="8" w:space="0" w:color="4bacc6"/>
        <w:bottom w:val="single" w:sz="8" w:space="0" w:color="4bacc6"/>
      </w:tblBorders>
    </w:tblPr>
    <w:tblStylePr w:type="firstRow">
      <w:pPr>
        <w:spacing w:before="0" w:after="0" w:lineRule="auto" w:line="240"/>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Rule="auto" w:line="240"/>
      </w:pPr>
      <w:rPr>
        <w:b/>
        <w:bCs/>
      </w:rPr>
      <w:tblPr/>
      <w:tcPr>
        <w:tcBorders>
          <w:top w:val="single" w:sz="8" w:space="0" w:color="4bacc6"/>
          <w:left w:val="nil"/>
          <w:bottom w:val="single" w:sz="8" w:space="0" w:color="4bacc6"/>
          <w:right w:val="nil"/>
          <w:insideH w:val="nil"/>
          <w:insideV w:val="nil"/>
        </w:tcBorders>
      </w:tcPr>
    </w:tblStylePr>
    <w:tblStylePr w:type="band1Horz">
      <w:pPr/>
      <w:tblPr/>
      <w:tcPr>
        <w:tcBorders>
          <w:left w:val="nil"/>
          <w:right w:val="nil"/>
          <w:insideH w:val="nil"/>
          <w:insideV w:val="nil"/>
        </w:tcBorders>
        <w:shd w:val="clear" w:color="auto" w:fill="d2eaf1"/>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d2eaf1"/>
      </w:tcPr>
    </w:tblStylePr>
    <w:tcPr>
      <w:tcBorders/>
    </w:tcPr>
  </w:style>
  <w:style w:type="table" w:styleId="style246">
    <w:name w:val="Light Shading Accent 6"/>
    <w:basedOn w:val="style105"/>
    <w:next w:val="style246"/>
    <w:uiPriority w:val="60"/>
    <w:pPr>
      <w:spacing w:after="0" w:lineRule="auto" w:line="240"/>
    </w:pPr>
    <w:rPr>
      <w:color w:val="e36c0a"/>
    </w:rPr>
    <w:tblPr>
      <w:tblStyleRowBandSize w:val="1"/>
      <w:tblStyleColBandSize w:val="1"/>
      <w:tblBorders>
        <w:top w:val="single" w:sz="8" w:space="0" w:color="f79646"/>
        <w:bottom w:val="single" w:sz="8" w:space="0" w:color="f79646"/>
      </w:tblBorders>
    </w:tblPr>
    <w:tblStylePr w:type="firstRow">
      <w:pPr>
        <w:spacing w:before="0" w:after="0" w:lineRule="auto" w:line="240"/>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Rule="auto" w:line="240"/>
      </w:pPr>
      <w:rPr>
        <w:b/>
        <w:bCs/>
      </w:rPr>
      <w:tblPr/>
      <w:tcPr>
        <w:tcBorders>
          <w:top w:val="single" w:sz="8" w:space="0" w:color="f79646"/>
          <w:left w:val="nil"/>
          <w:bottom w:val="single" w:sz="8" w:space="0" w:color="f79646"/>
          <w:right w:val="nil"/>
          <w:insideH w:val="nil"/>
          <w:insideV w:val="nil"/>
        </w:tcBorders>
      </w:tcPr>
    </w:tblStylePr>
    <w:tblStylePr w:type="band1Horz">
      <w:pPr/>
      <w:tblPr/>
      <w:tcPr>
        <w:tcBorders>
          <w:left w:val="nil"/>
          <w:right w:val="nil"/>
          <w:insideH w:val="nil"/>
          <w:insideV w:val="nil"/>
        </w:tcBorders>
        <w:shd w:val="clear" w:color="auto" w:fill="fde4d0"/>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fde4d0"/>
      </w:tcPr>
    </w:tblStylePr>
    <w:tcPr>
      <w:tcBorders/>
    </w:tcPr>
  </w:style>
  <w:style w:type="table" w:styleId="style159">
    <w:name w:val="Light List"/>
    <w:basedOn w:val="style105"/>
    <w:next w:val="style159"/>
    <w:uiPriority w:val="61"/>
    <w:pPr>
      <w:spacing w:after="0" w:lineRule="auto" w:line="240"/>
    </w:pPr>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Rule="auto" w:line="240"/>
      </w:pPr>
      <w:rPr>
        <w:b/>
        <w:bCs/>
        <w:color w:val="ffffff"/>
      </w:rPr>
      <w:tblPr/>
      <w:tcPr>
        <w:tcBorders/>
        <w:shd w:val="clear" w:color="auto" w:fill="000000"/>
      </w:tcPr>
    </w:tblStylePr>
    <w:tblStylePr w:type="lastRow">
      <w:pPr>
        <w:spacing w:before="0" w:after="0" w:lineRule="auto" w:line="240"/>
      </w:pPr>
      <w:rPr>
        <w:b/>
        <w:bCs/>
      </w:rPr>
      <w:tblPr/>
      <w:tcPr>
        <w:tcBorders>
          <w:top w:val="double" w:sz="6" w:space="0" w:color="000000"/>
          <w:left w:val="single" w:sz="8" w:space="0" w:color="000000"/>
          <w:bottom w:val="single" w:sz="8" w:space="0" w:color="000000"/>
          <w:right w:val="single" w:sz="8" w:space="0" w:color="000000"/>
        </w:tcBorders>
      </w:tcPr>
    </w:tblStylePr>
    <w:tblStylePr w:type="band1Horz">
      <w:pPr/>
      <w:tblPr/>
      <w:tcPr>
        <w:tcBorders>
          <w:top w:val="single" w:sz="8" w:space="0" w:color="000000"/>
          <w:left w:val="single" w:sz="8" w:space="0" w:color="000000"/>
          <w:bottom w:val="single" w:sz="8" w:space="0" w:color="000000"/>
          <w:right w:val="single" w:sz="8" w:space="0" w:color="000000"/>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000000"/>
          <w:left w:val="single" w:sz="8" w:space="0" w:color="000000"/>
          <w:bottom w:val="single" w:sz="8" w:space="0" w:color="000000"/>
          <w:right w:val="single" w:sz="8" w:space="0" w:color="000000"/>
        </w:tcBorders>
      </w:tcPr>
    </w:tblStylePr>
    <w:tcPr>
      <w:tcBorders/>
    </w:tcPr>
  </w:style>
  <w:style w:type="table" w:styleId="style173">
    <w:name w:val="Light List Accent 1"/>
    <w:basedOn w:val="style105"/>
    <w:next w:val="style173"/>
    <w:uiPriority w:val="61"/>
    <w:pPr>
      <w:spacing w:after="0" w:lineRule="auto" w:line="240"/>
    </w:pPr>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Rule="auto" w:line="240"/>
      </w:pPr>
      <w:rPr>
        <w:b/>
        <w:bCs/>
        <w:color w:val="ffffff"/>
      </w:rPr>
      <w:tblPr/>
      <w:tcPr>
        <w:tcBorders/>
        <w:shd w:val="clear" w:color="auto" w:fill="4f81bd"/>
      </w:tcPr>
    </w:tblStylePr>
    <w:tblStylePr w:type="lastRow">
      <w:pPr>
        <w:spacing w:before="0" w:after="0" w:lineRule="auto" w:line="240"/>
      </w:pPr>
      <w:rPr>
        <w:b/>
        <w:bCs/>
      </w:rPr>
      <w:tblPr/>
      <w:tcPr>
        <w:tcBorders>
          <w:top w:val="double" w:sz="6" w:space="0" w:color="4f81bd"/>
          <w:left w:val="single" w:sz="8" w:space="0" w:color="4f81bd"/>
          <w:bottom w:val="single" w:sz="8" w:space="0" w:color="4f81bd"/>
          <w:right w:val="single" w:sz="8" w:space="0" w:color="4f81bd"/>
        </w:tcBorders>
      </w:tcPr>
    </w:tblStylePr>
    <w:tblStylePr w:type="band1Horz">
      <w:pPr/>
      <w:tblPr/>
      <w:tcPr>
        <w:tcBorders>
          <w:top w:val="single" w:sz="8" w:space="0" w:color="4f81bd"/>
          <w:left w:val="single" w:sz="8" w:space="0" w:color="4f81bd"/>
          <w:bottom w:val="single" w:sz="8" w:space="0" w:color="4f81bd"/>
          <w:right w:val="single" w:sz="8" w:space="0" w:color="4f81bd"/>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4f81bd"/>
          <w:left w:val="single" w:sz="8" w:space="0" w:color="4f81bd"/>
          <w:bottom w:val="single" w:sz="8" w:space="0" w:color="4f81bd"/>
          <w:right w:val="single" w:sz="8" w:space="0" w:color="4f81bd"/>
        </w:tcBorders>
      </w:tcPr>
    </w:tblStylePr>
    <w:tcPr>
      <w:tcBorders/>
    </w:tcPr>
  </w:style>
  <w:style w:type="table" w:styleId="style191">
    <w:name w:val="Light List Accent 2"/>
    <w:basedOn w:val="style105"/>
    <w:next w:val="style191"/>
    <w:uiPriority w:val="61"/>
    <w:pPr>
      <w:spacing w:after="0" w:lineRule="auto" w:line="240"/>
    </w:pPr>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spacing w:before="0" w:after="0" w:lineRule="auto" w:line="240"/>
      </w:pPr>
      <w:rPr>
        <w:b/>
        <w:bCs/>
        <w:color w:val="ffffff"/>
      </w:rPr>
      <w:tblPr/>
      <w:tcPr>
        <w:tcBorders/>
        <w:shd w:val="clear" w:color="auto" w:fill="c0504d"/>
      </w:tcPr>
    </w:tblStylePr>
    <w:tblStylePr w:type="lastRow">
      <w:pPr>
        <w:spacing w:before="0" w:after="0" w:lineRule="auto" w:line="240"/>
      </w:pPr>
      <w:rPr>
        <w:b/>
        <w:bCs/>
      </w:rPr>
      <w:tblPr/>
      <w:tcPr>
        <w:tcBorders>
          <w:top w:val="double" w:sz="6" w:space="0" w:color="c0504d"/>
          <w:left w:val="single" w:sz="8" w:space="0" w:color="c0504d"/>
          <w:bottom w:val="single" w:sz="8" w:space="0" w:color="c0504d"/>
          <w:right w:val="single" w:sz="8" w:space="0" w:color="c0504d"/>
        </w:tcBorders>
      </w:tcPr>
    </w:tblStylePr>
    <w:tblStylePr w:type="band1Horz">
      <w:pPr/>
      <w:tblPr/>
      <w:tcPr>
        <w:tcBorders>
          <w:top w:val="single" w:sz="8" w:space="0" w:color="c0504d"/>
          <w:left w:val="single" w:sz="8" w:space="0" w:color="c0504d"/>
          <w:bottom w:val="single" w:sz="8" w:space="0" w:color="c0504d"/>
          <w:right w:val="single" w:sz="8" w:space="0" w:color="c0504d"/>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c0504d"/>
          <w:left w:val="single" w:sz="8" w:space="0" w:color="c0504d"/>
          <w:bottom w:val="single" w:sz="8" w:space="0" w:color="c0504d"/>
          <w:right w:val="single" w:sz="8" w:space="0" w:color="c0504d"/>
        </w:tcBorders>
      </w:tcPr>
    </w:tblStylePr>
    <w:tcPr>
      <w:tcBorders/>
    </w:tcPr>
  </w:style>
  <w:style w:type="table" w:styleId="style205">
    <w:name w:val="Light List Accent 3"/>
    <w:basedOn w:val="style105"/>
    <w:next w:val="style205"/>
    <w:uiPriority w:val="61"/>
    <w:pPr>
      <w:spacing w:after="0" w:lineRule="auto" w:line="240"/>
    </w:pPr>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spacing w:before="0" w:after="0" w:lineRule="auto" w:line="240"/>
      </w:pPr>
      <w:rPr>
        <w:b/>
        <w:bCs/>
        <w:color w:val="ffffff"/>
      </w:rPr>
      <w:tblPr/>
      <w:tcPr>
        <w:tcBorders/>
        <w:shd w:val="clear" w:color="auto" w:fill="9bbb59"/>
      </w:tcPr>
    </w:tblStylePr>
    <w:tblStylePr w:type="lastRow">
      <w:pPr>
        <w:spacing w:before="0" w:after="0" w:lineRule="auto" w:line="240"/>
      </w:pPr>
      <w:rPr>
        <w:b/>
        <w:bCs/>
      </w:rPr>
      <w:tblPr/>
      <w:tcPr>
        <w:tcBorders>
          <w:top w:val="double" w:sz="6" w:space="0" w:color="9bbb59"/>
          <w:left w:val="single" w:sz="8" w:space="0" w:color="9bbb59"/>
          <w:bottom w:val="single" w:sz="8" w:space="0" w:color="9bbb59"/>
          <w:right w:val="single" w:sz="8" w:space="0" w:color="9bbb59"/>
        </w:tcBorders>
      </w:tcPr>
    </w:tblStylePr>
    <w:tblStylePr w:type="band1Horz">
      <w:pPr/>
      <w:tblPr/>
      <w:tcPr>
        <w:tcBorders>
          <w:top w:val="single" w:sz="8" w:space="0" w:color="9bbb59"/>
          <w:left w:val="single" w:sz="8" w:space="0" w:color="9bbb59"/>
          <w:bottom w:val="single" w:sz="8" w:space="0" w:color="9bbb59"/>
          <w:right w:val="single" w:sz="8" w:space="0" w:color="9bbb59"/>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9bbb59"/>
          <w:left w:val="single" w:sz="8" w:space="0" w:color="9bbb59"/>
          <w:bottom w:val="single" w:sz="8" w:space="0" w:color="9bbb59"/>
          <w:right w:val="single" w:sz="8" w:space="0" w:color="9bbb59"/>
        </w:tcBorders>
      </w:tcPr>
    </w:tblStylePr>
    <w:tcPr>
      <w:tcBorders/>
    </w:tcPr>
  </w:style>
  <w:style w:type="table" w:styleId="style219">
    <w:name w:val="Light List Accent 4"/>
    <w:basedOn w:val="style105"/>
    <w:next w:val="style219"/>
    <w:uiPriority w:val="61"/>
    <w:pPr>
      <w:spacing w:after="0" w:lineRule="auto" w:line="240"/>
    </w:pPr>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Rule="auto" w:line="240"/>
      </w:pPr>
      <w:rPr>
        <w:b/>
        <w:bCs/>
        <w:color w:val="ffffff"/>
      </w:rPr>
      <w:tblPr/>
      <w:tcPr>
        <w:tcBorders/>
        <w:shd w:val="clear" w:color="auto" w:fill="8064a2"/>
      </w:tcPr>
    </w:tblStylePr>
    <w:tblStylePr w:type="lastRow">
      <w:pPr>
        <w:spacing w:before="0" w:after="0" w:lineRule="auto" w:line="240"/>
      </w:pPr>
      <w:rPr>
        <w:b/>
        <w:bCs/>
      </w:rPr>
      <w:tblPr/>
      <w:tcPr>
        <w:tcBorders>
          <w:top w:val="double" w:sz="6" w:space="0" w:color="8064a2"/>
          <w:left w:val="single" w:sz="8" w:space="0" w:color="8064a2"/>
          <w:bottom w:val="single" w:sz="8" w:space="0" w:color="8064a2"/>
          <w:right w:val="single" w:sz="8" w:space="0" w:color="8064a2"/>
        </w:tcBorders>
      </w:tcPr>
    </w:tblStylePr>
    <w:tblStylePr w:type="band1Horz">
      <w:pPr/>
      <w:tblPr/>
      <w:tcPr>
        <w:tcBorders>
          <w:top w:val="single" w:sz="8" w:space="0" w:color="8064a2"/>
          <w:left w:val="single" w:sz="8" w:space="0" w:color="8064a2"/>
          <w:bottom w:val="single" w:sz="8" w:space="0" w:color="8064a2"/>
          <w:right w:val="single" w:sz="8" w:space="0" w:color="8064a2"/>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8064a2"/>
          <w:left w:val="single" w:sz="8" w:space="0" w:color="8064a2"/>
          <w:bottom w:val="single" w:sz="8" w:space="0" w:color="8064a2"/>
          <w:right w:val="single" w:sz="8" w:space="0" w:color="8064a2"/>
        </w:tcBorders>
      </w:tcPr>
    </w:tblStylePr>
    <w:tcPr>
      <w:tcBorders/>
    </w:tcPr>
  </w:style>
  <w:style w:type="table" w:styleId="style233">
    <w:name w:val="Light List Accent 5"/>
    <w:basedOn w:val="style105"/>
    <w:next w:val="style233"/>
    <w:uiPriority w:val="61"/>
    <w:pPr>
      <w:spacing w:after="0" w:lineRule="auto" w:line="240"/>
    </w:pPr>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Rule="auto" w:line="240"/>
      </w:pPr>
      <w:rPr>
        <w:b/>
        <w:bCs/>
        <w:color w:val="ffffff"/>
      </w:rPr>
      <w:tblPr/>
      <w:tcPr>
        <w:tcBorders/>
        <w:shd w:val="clear" w:color="auto" w:fill="4bacc6"/>
      </w:tcPr>
    </w:tblStylePr>
    <w:tblStylePr w:type="lastRow">
      <w:pPr>
        <w:spacing w:before="0" w:after="0" w:lineRule="auto" w:line="240"/>
      </w:pPr>
      <w:rPr>
        <w:b/>
        <w:bCs/>
      </w:rPr>
      <w:tblPr/>
      <w:tcPr>
        <w:tcBorders>
          <w:top w:val="double" w:sz="6" w:space="0" w:color="4bacc6"/>
          <w:left w:val="single" w:sz="8" w:space="0" w:color="4bacc6"/>
          <w:bottom w:val="single" w:sz="8" w:space="0" w:color="4bacc6"/>
          <w:right w:val="single" w:sz="8" w:space="0" w:color="4bacc6"/>
        </w:tcBorders>
      </w:tcPr>
    </w:tblStylePr>
    <w:tblStylePr w:type="band1Horz">
      <w:pPr/>
      <w:tblPr/>
      <w:tcPr>
        <w:tcBorders>
          <w:top w:val="single" w:sz="8" w:space="0" w:color="4bacc6"/>
          <w:left w:val="single" w:sz="8" w:space="0" w:color="4bacc6"/>
          <w:bottom w:val="single" w:sz="8" w:space="0" w:color="4bacc6"/>
          <w:right w:val="single" w:sz="8" w:space="0" w:color="4bacc6"/>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4bacc6"/>
          <w:left w:val="single" w:sz="8" w:space="0" w:color="4bacc6"/>
          <w:bottom w:val="single" w:sz="8" w:space="0" w:color="4bacc6"/>
          <w:right w:val="single" w:sz="8" w:space="0" w:color="4bacc6"/>
        </w:tcBorders>
      </w:tcPr>
    </w:tblStylePr>
    <w:tcPr>
      <w:tcBorders/>
    </w:tcPr>
  </w:style>
  <w:style w:type="table" w:styleId="style247">
    <w:name w:val="Light List Accent 6"/>
    <w:basedOn w:val="style105"/>
    <w:next w:val="style247"/>
    <w:uiPriority w:val="61"/>
    <w:pPr>
      <w:spacing w:after="0" w:lineRule="auto" w:line="240"/>
    </w:pPr>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pPr>
        <w:spacing w:before="0" w:after="0" w:lineRule="auto" w:line="240"/>
      </w:pPr>
      <w:rPr>
        <w:b/>
        <w:bCs/>
        <w:color w:val="ffffff"/>
      </w:rPr>
      <w:tblPr/>
      <w:tcPr>
        <w:tcBorders/>
        <w:shd w:val="clear" w:color="auto" w:fill="f79646"/>
      </w:tcPr>
    </w:tblStylePr>
    <w:tblStylePr w:type="lastRow">
      <w:pPr>
        <w:spacing w:before="0" w:after="0" w:lineRule="auto" w:line="240"/>
      </w:pPr>
      <w:rPr>
        <w:b/>
        <w:bCs/>
      </w:rPr>
      <w:tblPr/>
      <w:tcPr>
        <w:tcBorders>
          <w:top w:val="double" w:sz="6" w:space="0" w:color="f79646"/>
          <w:left w:val="single" w:sz="8" w:space="0" w:color="f79646"/>
          <w:bottom w:val="single" w:sz="8" w:space="0" w:color="f79646"/>
          <w:right w:val="single" w:sz="8" w:space="0" w:color="f79646"/>
        </w:tcBorders>
      </w:tcPr>
    </w:tblStylePr>
    <w:tblStylePr w:type="band1Horz">
      <w:pPr/>
      <w:tblPr/>
      <w:tcPr>
        <w:tcBorders>
          <w:top w:val="single" w:sz="8" w:space="0" w:color="f79646"/>
          <w:left w:val="single" w:sz="8" w:space="0" w:color="f79646"/>
          <w:bottom w:val="single" w:sz="8" w:space="0" w:color="f79646"/>
          <w:right w:val="single" w:sz="8" w:space="0" w:color="f79646"/>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f79646"/>
          <w:left w:val="single" w:sz="8" w:space="0" w:color="f79646"/>
          <w:bottom w:val="single" w:sz="8" w:space="0" w:color="f79646"/>
          <w:right w:val="single" w:sz="8" w:space="0" w:color="f79646"/>
        </w:tcBorders>
      </w:tcPr>
    </w:tblStylePr>
    <w:tcPr>
      <w:tcBorders/>
    </w:tcPr>
  </w:style>
  <w:style w:type="table" w:styleId="style160">
    <w:name w:val="Light Grid"/>
    <w:basedOn w:val="style105"/>
    <w:next w:val="style160"/>
    <w:uiPriority w:val="62"/>
    <w:pPr>
      <w:spacing w:after="0" w:lineRule="auto" w:line="240"/>
    </w:pPr>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Rule="auto" w:line="240"/>
      </w:pPr>
      <w:rPr>
        <w:rFonts w:ascii="Calibri" w:cs="宋体" w:eastAsia="ＭＳ ゴシック" w:hAnsi="Calibri"/>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Rule="auto" w:line="240"/>
      </w:pPr>
      <w:rPr>
        <w:rFonts w:ascii="Calibri" w:cs="宋体" w:eastAsia="ＭＳ ゴシック" w:hAnsi="Calibri"/>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band1Horz">
      <w:pPr/>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pPr/>
      <w:tblPr/>
      <w:tcPr>
        <w:tcBorders>
          <w:top w:val="single" w:sz="8" w:space="0" w:color="000000"/>
          <w:left w:val="single" w:sz="8" w:space="0" w:color="000000"/>
          <w:bottom w:val="single" w:sz="8" w:space="0" w:color="000000"/>
          <w:right w:val="single" w:sz="8" w:space="0" w:color="000000"/>
          <w:insideV w:val="single" w:sz="8" w:space="0" w:color="000000"/>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000000"/>
          <w:left w:val="single" w:sz="8" w:space="0" w:color="000000"/>
          <w:bottom w:val="single" w:sz="8" w:space="0" w:color="000000"/>
          <w:right w:val="single" w:sz="8" w:space="0" w:color="000000"/>
        </w:tcBorders>
      </w:tcPr>
    </w:tblStylePr>
    <w:tblStylePr w:type="band1Vert">
      <w:pPr/>
      <w:tblPr/>
      <w:tcPr>
        <w:tcBorders>
          <w:top w:val="single" w:sz="8" w:space="0" w:color="000000"/>
          <w:left w:val="single" w:sz="8" w:space="0" w:color="000000"/>
          <w:bottom w:val="single" w:sz="8" w:space="0" w:color="000000"/>
          <w:right w:val="single" w:sz="8" w:space="0" w:color="000000"/>
        </w:tcBorders>
        <w:shd w:val="clear" w:color="auto" w:fill="c0c0c0"/>
      </w:tcPr>
    </w:tblStylePr>
    <w:tcPr>
      <w:tcBorders/>
    </w:tcPr>
  </w:style>
  <w:style w:type="table" w:styleId="style174">
    <w:name w:val="Light Grid Accent 1"/>
    <w:basedOn w:val="style105"/>
    <w:next w:val="style174"/>
    <w:uiPriority w:val="62"/>
    <w:pPr>
      <w:spacing w:after="0" w:lineRule="auto" w:line="240"/>
    </w:pPr>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Rule="auto" w:line="240"/>
      </w:pPr>
      <w:rPr>
        <w:rFonts w:ascii="Calibri" w:cs="宋体" w:eastAsia="ＭＳ ゴシック" w:hAnsi="Calibri"/>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Rule="auto" w:line="240"/>
      </w:pPr>
      <w:rPr>
        <w:rFonts w:ascii="Calibri" w:cs="宋体" w:eastAsia="ＭＳ ゴシック" w:hAnsi="Calibri"/>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band1Horz">
      <w:pPr/>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pPr/>
      <w:tblPr/>
      <w:tcPr>
        <w:tcBorders>
          <w:top w:val="single" w:sz="8" w:space="0" w:color="4f81bd"/>
          <w:left w:val="single" w:sz="8" w:space="0" w:color="4f81bd"/>
          <w:bottom w:val="single" w:sz="8" w:space="0" w:color="4f81bd"/>
          <w:right w:val="single" w:sz="8" w:space="0" w:color="4f81bd"/>
          <w:insideV w:val="single" w:sz="8" w:space="0" w:color="4f81bd"/>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4f81bd"/>
          <w:left w:val="single" w:sz="8" w:space="0" w:color="4f81bd"/>
          <w:bottom w:val="single" w:sz="8" w:space="0" w:color="4f81bd"/>
          <w:right w:val="single" w:sz="8" w:space="0" w:color="4f81bd"/>
        </w:tcBorders>
      </w:tcPr>
    </w:tblStylePr>
    <w:tblStylePr w:type="band1Vert">
      <w:pPr/>
      <w:tblPr/>
      <w:tcPr>
        <w:tcBorders>
          <w:top w:val="single" w:sz="8" w:space="0" w:color="4f81bd"/>
          <w:left w:val="single" w:sz="8" w:space="0" w:color="4f81bd"/>
          <w:bottom w:val="single" w:sz="8" w:space="0" w:color="4f81bd"/>
          <w:right w:val="single" w:sz="8" w:space="0" w:color="4f81bd"/>
        </w:tcBorders>
        <w:shd w:val="clear" w:color="auto" w:fill="d3dfee"/>
      </w:tcPr>
    </w:tblStylePr>
    <w:tcPr>
      <w:tcBorders/>
    </w:tcPr>
  </w:style>
  <w:style w:type="table" w:styleId="style192">
    <w:name w:val="Light Grid Accent 2"/>
    <w:basedOn w:val="style105"/>
    <w:next w:val="style192"/>
    <w:uiPriority w:val="62"/>
    <w:pPr>
      <w:spacing w:after="0" w:lineRule="auto" w:line="240"/>
    </w:pPr>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Rule="auto" w:line="240"/>
      </w:pPr>
      <w:rPr>
        <w:rFonts w:ascii="Calibri" w:cs="宋体" w:eastAsia="ＭＳ ゴシック" w:hAnsi="Calibri"/>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Rule="auto" w:line="240"/>
      </w:pPr>
      <w:rPr>
        <w:rFonts w:ascii="Calibri" w:cs="宋体" w:eastAsia="ＭＳ ゴシック" w:hAnsi="Calibri"/>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band1Horz">
      <w:pPr/>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pPr/>
      <w:tblPr/>
      <w:tcPr>
        <w:tcBorders>
          <w:top w:val="single" w:sz="8" w:space="0" w:color="c0504d"/>
          <w:left w:val="single" w:sz="8" w:space="0" w:color="c0504d"/>
          <w:bottom w:val="single" w:sz="8" w:space="0" w:color="c0504d"/>
          <w:right w:val="single" w:sz="8" w:space="0" w:color="c0504d"/>
          <w:insideV w:val="single" w:sz="8" w:space="0" w:color="c0504d"/>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c0504d"/>
          <w:left w:val="single" w:sz="8" w:space="0" w:color="c0504d"/>
          <w:bottom w:val="single" w:sz="8" w:space="0" w:color="c0504d"/>
          <w:right w:val="single" w:sz="8" w:space="0" w:color="c0504d"/>
        </w:tcBorders>
      </w:tcPr>
    </w:tblStylePr>
    <w:tblStylePr w:type="band1Vert">
      <w:pPr/>
      <w:tblPr/>
      <w:tcPr>
        <w:tcBorders>
          <w:top w:val="single" w:sz="8" w:space="0" w:color="c0504d"/>
          <w:left w:val="single" w:sz="8" w:space="0" w:color="c0504d"/>
          <w:bottom w:val="single" w:sz="8" w:space="0" w:color="c0504d"/>
          <w:right w:val="single" w:sz="8" w:space="0" w:color="c0504d"/>
        </w:tcBorders>
        <w:shd w:val="clear" w:color="auto" w:fill="efd3d2"/>
      </w:tcPr>
    </w:tblStylePr>
    <w:tcPr>
      <w:tcBorders/>
    </w:tcPr>
  </w:style>
  <w:style w:type="table" w:styleId="style206">
    <w:name w:val="Light Grid Accent 3"/>
    <w:basedOn w:val="style105"/>
    <w:next w:val="style206"/>
    <w:uiPriority w:val="62"/>
    <w:pPr>
      <w:spacing w:after="0" w:lineRule="auto" w:line="240"/>
    </w:pPr>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Rule="auto" w:line="240"/>
      </w:pPr>
      <w:rPr>
        <w:rFonts w:ascii="Calibri" w:cs="宋体" w:eastAsia="ＭＳ ゴシック" w:hAnsi="Calibri"/>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Rule="auto" w:line="240"/>
      </w:pPr>
      <w:rPr>
        <w:rFonts w:ascii="Calibri" w:cs="宋体" w:eastAsia="ＭＳ ゴシック" w:hAnsi="Calibri"/>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band1Horz">
      <w:pPr/>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pPr/>
      <w:tblPr/>
      <w:tcPr>
        <w:tcBorders>
          <w:top w:val="single" w:sz="8" w:space="0" w:color="9bbb59"/>
          <w:left w:val="single" w:sz="8" w:space="0" w:color="9bbb59"/>
          <w:bottom w:val="single" w:sz="8" w:space="0" w:color="9bbb59"/>
          <w:right w:val="single" w:sz="8" w:space="0" w:color="9bbb59"/>
          <w:insideV w:val="single" w:sz="8" w:space="0" w:color="9bbb59"/>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9bbb59"/>
          <w:left w:val="single" w:sz="8" w:space="0" w:color="9bbb59"/>
          <w:bottom w:val="single" w:sz="8" w:space="0" w:color="9bbb59"/>
          <w:right w:val="single" w:sz="8" w:space="0" w:color="9bbb59"/>
        </w:tcBorders>
      </w:tcPr>
    </w:tblStylePr>
    <w:tblStylePr w:type="band1Vert">
      <w:pPr/>
      <w:tblPr/>
      <w:tcPr>
        <w:tcBorders>
          <w:top w:val="single" w:sz="8" w:space="0" w:color="9bbb59"/>
          <w:left w:val="single" w:sz="8" w:space="0" w:color="9bbb59"/>
          <w:bottom w:val="single" w:sz="8" w:space="0" w:color="9bbb59"/>
          <w:right w:val="single" w:sz="8" w:space="0" w:color="9bbb59"/>
        </w:tcBorders>
        <w:shd w:val="clear" w:color="auto" w:fill="e6eed5"/>
      </w:tcPr>
    </w:tblStylePr>
    <w:tcPr>
      <w:tcBorders/>
    </w:tcPr>
  </w:style>
  <w:style w:type="table" w:styleId="style220">
    <w:name w:val="Light Grid Accent 4"/>
    <w:basedOn w:val="style105"/>
    <w:next w:val="style220"/>
    <w:uiPriority w:val="62"/>
    <w:pPr>
      <w:spacing w:after="0" w:lineRule="auto" w:line="240"/>
    </w:pPr>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Rule="auto" w:line="240"/>
      </w:pPr>
      <w:rPr>
        <w:rFonts w:ascii="Calibri" w:cs="宋体" w:eastAsia="ＭＳ ゴシック" w:hAnsi="Calibri"/>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Rule="auto" w:line="240"/>
      </w:pPr>
      <w:rPr>
        <w:rFonts w:ascii="Calibri" w:cs="宋体" w:eastAsia="ＭＳ ゴシック" w:hAnsi="Calibri"/>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band1Horz">
      <w:pPr/>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pPr/>
      <w:tblPr/>
      <w:tcPr>
        <w:tcBorders>
          <w:top w:val="single" w:sz="8" w:space="0" w:color="8064a2"/>
          <w:left w:val="single" w:sz="8" w:space="0" w:color="8064a2"/>
          <w:bottom w:val="single" w:sz="8" w:space="0" w:color="8064a2"/>
          <w:right w:val="single" w:sz="8" w:space="0" w:color="8064a2"/>
          <w:insideV w:val="single" w:sz="8" w:space="0" w:color="8064a2"/>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8064a2"/>
          <w:left w:val="single" w:sz="8" w:space="0" w:color="8064a2"/>
          <w:bottom w:val="single" w:sz="8" w:space="0" w:color="8064a2"/>
          <w:right w:val="single" w:sz="8" w:space="0" w:color="8064a2"/>
        </w:tcBorders>
      </w:tcPr>
    </w:tblStylePr>
    <w:tblStylePr w:type="band1Vert">
      <w:pPr/>
      <w:tblPr/>
      <w:tcPr>
        <w:tcBorders>
          <w:top w:val="single" w:sz="8" w:space="0" w:color="8064a2"/>
          <w:left w:val="single" w:sz="8" w:space="0" w:color="8064a2"/>
          <w:bottom w:val="single" w:sz="8" w:space="0" w:color="8064a2"/>
          <w:right w:val="single" w:sz="8" w:space="0" w:color="8064a2"/>
        </w:tcBorders>
        <w:shd w:val="clear" w:color="auto" w:fill="dfd8e8"/>
      </w:tcPr>
    </w:tblStylePr>
    <w:tcPr>
      <w:tcBorders/>
    </w:tcPr>
  </w:style>
  <w:style w:type="table" w:styleId="style234">
    <w:name w:val="Light Grid Accent 5"/>
    <w:basedOn w:val="style105"/>
    <w:next w:val="style234"/>
    <w:uiPriority w:val="62"/>
    <w:pPr>
      <w:spacing w:after="0" w:lineRule="auto" w:line="240"/>
    </w:pPr>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Rule="auto" w:line="240"/>
      </w:pPr>
      <w:rPr>
        <w:rFonts w:ascii="Calibri" w:cs="宋体" w:eastAsia="ＭＳ ゴシック" w:hAnsi="Calibri"/>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Rule="auto" w:line="240"/>
      </w:pPr>
      <w:rPr>
        <w:rFonts w:ascii="Calibri" w:cs="宋体" w:eastAsia="ＭＳ ゴシック" w:hAnsi="Calibri"/>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band1Horz">
      <w:pPr/>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pPr/>
      <w:tblPr/>
      <w:tcPr>
        <w:tcBorders>
          <w:top w:val="single" w:sz="8" w:space="0" w:color="4bacc6"/>
          <w:left w:val="single" w:sz="8" w:space="0" w:color="4bacc6"/>
          <w:bottom w:val="single" w:sz="8" w:space="0" w:color="4bacc6"/>
          <w:right w:val="single" w:sz="8" w:space="0" w:color="4bacc6"/>
          <w:insideV w:val="single" w:sz="8" w:space="0" w:color="4bacc6"/>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4bacc6"/>
          <w:left w:val="single" w:sz="8" w:space="0" w:color="4bacc6"/>
          <w:bottom w:val="single" w:sz="8" w:space="0" w:color="4bacc6"/>
          <w:right w:val="single" w:sz="8" w:space="0" w:color="4bacc6"/>
        </w:tcBorders>
      </w:tcPr>
    </w:tblStylePr>
    <w:tblStylePr w:type="band1Vert">
      <w:pPr/>
      <w:tblPr/>
      <w:tcPr>
        <w:tcBorders>
          <w:top w:val="single" w:sz="8" w:space="0" w:color="4bacc6"/>
          <w:left w:val="single" w:sz="8" w:space="0" w:color="4bacc6"/>
          <w:bottom w:val="single" w:sz="8" w:space="0" w:color="4bacc6"/>
          <w:right w:val="single" w:sz="8" w:space="0" w:color="4bacc6"/>
        </w:tcBorders>
        <w:shd w:val="clear" w:color="auto" w:fill="d2eaf1"/>
      </w:tcPr>
    </w:tblStylePr>
    <w:tcPr>
      <w:tcBorders/>
    </w:tcPr>
  </w:style>
  <w:style w:type="table" w:styleId="style248">
    <w:name w:val="Light Grid Accent 6"/>
    <w:basedOn w:val="style105"/>
    <w:next w:val="style248"/>
    <w:uiPriority w:val="62"/>
    <w:pPr>
      <w:spacing w:after="0" w:lineRule="auto" w:line="240"/>
    </w:pPr>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Rule="auto" w:line="240"/>
      </w:pPr>
      <w:rPr>
        <w:rFonts w:ascii="Calibri" w:cs="宋体" w:eastAsia="ＭＳ ゴシック" w:hAnsi="Calibri"/>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Rule="auto" w:line="240"/>
      </w:pPr>
      <w:rPr>
        <w:rFonts w:ascii="Calibri" w:cs="宋体" w:eastAsia="ＭＳ ゴシック" w:hAnsi="Calibri"/>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band1Horz">
      <w:pPr/>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pPr/>
      <w:tblPr/>
      <w:tcPr>
        <w:tcBorders>
          <w:top w:val="single" w:sz="8" w:space="0" w:color="f79646"/>
          <w:left w:val="single" w:sz="8" w:space="0" w:color="f79646"/>
          <w:bottom w:val="single" w:sz="8" w:space="0" w:color="f79646"/>
          <w:right w:val="single" w:sz="8" w:space="0" w:color="f79646"/>
          <w:insideV w:val="single" w:sz="8" w:space="0" w:color="f79646"/>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f79646"/>
          <w:left w:val="single" w:sz="8" w:space="0" w:color="f79646"/>
          <w:bottom w:val="single" w:sz="8" w:space="0" w:color="f79646"/>
          <w:right w:val="single" w:sz="8" w:space="0" w:color="f79646"/>
        </w:tcBorders>
      </w:tcPr>
    </w:tblStylePr>
    <w:tblStylePr w:type="band1Vert">
      <w:pPr/>
      <w:tblPr/>
      <w:tcPr>
        <w:tcBorders>
          <w:top w:val="single" w:sz="8" w:space="0" w:color="f79646"/>
          <w:left w:val="single" w:sz="8" w:space="0" w:color="f79646"/>
          <w:bottom w:val="single" w:sz="8" w:space="0" w:color="f79646"/>
          <w:right w:val="single" w:sz="8" w:space="0" w:color="f79646"/>
        </w:tcBorders>
        <w:shd w:val="clear" w:color="auto" w:fill="fde4d0"/>
      </w:tcPr>
    </w:tblStylePr>
    <w:tcPr>
      <w:tcBorders/>
    </w:tcPr>
  </w:style>
  <w:style w:type="table" w:styleId="style161">
    <w:name w:val="Medium Shading 1"/>
    <w:basedOn w:val="style105"/>
    <w:next w:val="style161"/>
    <w:uiPriority w:val="63"/>
    <w:pPr>
      <w:spacing w:after="0" w:lineRule="auto" w:line="240"/>
    </w:pPr>
    <w:r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Rule="auto" w:line="240"/>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Rule="auto" w:line="240"/>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band1Horz">
      <w:pPr/>
      <w:tblPr/>
      <w:tcPr>
        <w:tcBorders>
          <w:insideH w:val="nil"/>
          <w:insideV w:val="nil"/>
        </w:tcBorders>
        <w:shd w:val="clear" w:color="auto" w:fill="c0c0c0"/>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c0c0c0"/>
      </w:tcPr>
    </w:tblStylePr>
    <w:tcPr>
      <w:tcBorders/>
    </w:tcPr>
  </w:style>
  <w:style w:type="table" w:styleId="style175">
    <w:name w:val="Medium Shading 1 Accent 1"/>
    <w:basedOn w:val="style105"/>
    <w:next w:val="style175"/>
    <w:uiPriority w:val="63"/>
    <w:pPr>
      <w:spacing w:after="0" w:lineRule="auto" w:line="240"/>
    </w:pPr>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Rule="auto" w:line="240"/>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Rule="auto" w:line="240"/>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band1Horz">
      <w:pPr/>
      <w:tblPr/>
      <w:tcPr>
        <w:tcBorders>
          <w:insideH w:val="nil"/>
          <w:insideV w:val="nil"/>
        </w:tcBorders>
        <w:shd w:val="clear" w:color="auto" w:fill="d3dfee"/>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3dfee"/>
      </w:tcPr>
    </w:tblStylePr>
    <w:tcPr>
      <w:tcBorders/>
    </w:tcPr>
  </w:style>
  <w:style w:type="table" w:styleId="style193">
    <w:name w:val="Medium Shading 1 Accent 2"/>
    <w:basedOn w:val="style105"/>
    <w:next w:val="style193"/>
    <w:uiPriority w:val="63"/>
    <w:pPr>
      <w:spacing w:after="0" w:lineRule="auto" w:line="240"/>
    </w:pPr>
    <w:r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Rule="auto" w:line="240"/>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Rule="auto" w:line="240"/>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band1Horz">
      <w:pPr/>
      <w:tblPr/>
      <w:tcPr>
        <w:tcBorders>
          <w:insideH w:val="nil"/>
          <w:insideV w:val="nil"/>
        </w:tcBorders>
        <w:shd w:val="clear" w:color="auto" w:fill="efd3d2"/>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efd3d2"/>
      </w:tcPr>
    </w:tblStylePr>
    <w:tcPr>
      <w:tcBorders/>
    </w:tcPr>
  </w:style>
  <w:style w:type="table" w:styleId="style207">
    <w:name w:val="Medium Shading 1 Accent 3"/>
    <w:basedOn w:val="style105"/>
    <w:next w:val="style207"/>
    <w:uiPriority w:val="63"/>
    <w:pPr>
      <w:spacing w:after="0" w:lineRule="auto" w:line="240"/>
    </w:pPr>
    <w:r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Rule="auto" w:line="240"/>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Rule="auto" w:line="240"/>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band1Horz">
      <w:pPr/>
      <w:tblPr/>
      <w:tcPr>
        <w:tcBorders>
          <w:insideH w:val="nil"/>
          <w:insideV w:val="nil"/>
        </w:tcBorders>
        <w:shd w:val="clear" w:color="auto" w:fill="e6eed5"/>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e6eed5"/>
      </w:tcPr>
    </w:tblStylePr>
    <w:tcPr>
      <w:tcBorders/>
    </w:tcPr>
  </w:style>
  <w:style w:type="table" w:styleId="style221">
    <w:name w:val="Medium Shading 1 Accent 4"/>
    <w:basedOn w:val="style105"/>
    <w:next w:val="style221"/>
    <w:uiPriority w:val="63"/>
    <w:pPr>
      <w:spacing w:after="0" w:lineRule="auto" w:line="240"/>
    </w:pPr>
    <w:r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Rule="auto" w:line="240"/>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Rule="auto" w:line="240"/>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band1Horz">
      <w:pPr/>
      <w:tblPr/>
      <w:tcPr>
        <w:tcBorders>
          <w:insideH w:val="nil"/>
          <w:insideV w:val="nil"/>
        </w:tcBorders>
        <w:shd w:val="clear" w:color="auto" w:fill="dfd8e8"/>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fd8e8"/>
      </w:tcPr>
    </w:tblStylePr>
    <w:tcPr>
      <w:tcBorders/>
    </w:tcPr>
  </w:style>
  <w:style w:type="table" w:styleId="style235">
    <w:name w:val="Medium Shading 1 Accent 5"/>
    <w:basedOn w:val="style105"/>
    <w:next w:val="style235"/>
    <w:uiPriority w:val="63"/>
    <w:pPr>
      <w:spacing w:after="0" w:lineRule="auto" w:line="240"/>
    </w:pPr>
    <w:r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Rule="auto" w:line="240"/>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Rule="auto" w:line="240"/>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band1Horz">
      <w:pPr/>
      <w:tblPr/>
      <w:tcPr>
        <w:tcBorders>
          <w:insideH w:val="nil"/>
          <w:insideV w:val="nil"/>
        </w:tcBorders>
        <w:shd w:val="clear" w:color="auto" w:fill="d2eaf1"/>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2eaf1"/>
      </w:tcPr>
    </w:tblStylePr>
    <w:tcPr>
      <w:tcBorders/>
    </w:tcPr>
  </w:style>
  <w:style w:type="table" w:styleId="style249">
    <w:name w:val="Medium Shading 1 Accent 6"/>
    <w:basedOn w:val="style105"/>
    <w:next w:val="style249"/>
    <w:uiPriority w:val="63"/>
    <w:pPr>
      <w:spacing w:after="0" w:lineRule="auto" w:line="240"/>
    </w:pPr>
    <w:r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Rule="auto" w:line="240"/>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Rule="auto" w:line="240"/>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band1Horz">
      <w:pPr/>
      <w:tblPr/>
      <w:tcPr>
        <w:tcBorders>
          <w:insideH w:val="nil"/>
          <w:insideV w:val="nil"/>
        </w:tcBorders>
        <w:shd w:val="clear" w:color="auto" w:fill="fde4d0"/>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fde4d0"/>
      </w:tcPr>
    </w:tblStylePr>
    <w:tcPr>
      <w:tcBorders/>
    </w:tcPr>
  </w:style>
  <w:style w:type="table" w:styleId="style162">
    <w:name w:val="Medium Shading 2"/>
    <w:basedOn w:val="style105"/>
    <w:next w:val="style162"/>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000000"/>
      </w:tcPr>
    </w:tblStylePr>
    <w:tblStylePr w:type="lastCol">
      <w:pPr/>
      <w:rPr>
        <w:b/>
        <w:bCs/>
        <w:color w:val="ffffff"/>
      </w:rPr>
      <w:tblPr/>
      <w:tcPr>
        <w:tcBorders>
          <w:left w:val="nil"/>
          <w:right w:val="nil"/>
          <w:insideH w:val="nil"/>
          <w:insideV w:val="nil"/>
        </w:tcBorders>
        <w:shd w:val="clear" w:color="auto" w:fill="000000"/>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176">
    <w:name w:val="Medium Shading 2 Accent 1"/>
    <w:basedOn w:val="style105"/>
    <w:next w:val="style176"/>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4f81bd"/>
      </w:tcPr>
    </w:tblStylePr>
    <w:tblStylePr w:type="lastCol">
      <w:pPr/>
      <w:rPr>
        <w:b/>
        <w:bCs/>
        <w:color w:val="ffffff"/>
      </w:rPr>
      <w:tblPr/>
      <w:tcPr>
        <w:tcBorders>
          <w:left w:val="nil"/>
          <w:right w:val="nil"/>
          <w:insideH w:val="nil"/>
          <w:insideV w:val="nil"/>
        </w:tcBorders>
        <w:shd w:val="clear" w:color="auto" w:fill="4f81bd"/>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194">
    <w:name w:val="Medium Shading 2 Accent 2"/>
    <w:basedOn w:val="style105"/>
    <w:next w:val="style194"/>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c0504d"/>
      </w:tcPr>
    </w:tblStylePr>
    <w:tblStylePr w:type="lastCol">
      <w:pPr/>
      <w:rPr>
        <w:b/>
        <w:bCs/>
        <w:color w:val="ffffff"/>
      </w:rPr>
      <w:tblPr/>
      <w:tcPr>
        <w:tcBorders>
          <w:left w:val="nil"/>
          <w:right w:val="nil"/>
          <w:insideH w:val="nil"/>
          <w:insideV w:val="nil"/>
        </w:tcBorders>
        <w:shd w:val="clear" w:color="auto" w:fill="c0504d"/>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208">
    <w:name w:val="Medium Shading 2 Accent 3"/>
    <w:basedOn w:val="style105"/>
    <w:next w:val="style208"/>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9bbb59"/>
      </w:tcPr>
    </w:tblStylePr>
    <w:tblStylePr w:type="lastCol">
      <w:pPr/>
      <w:rPr>
        <w:b/>
        <w:bCs/>
        <w:color w:val="ffffff"/>
      </w:rPr>
      <w:tblPr/>
      <w:tcPr>
        <w:tcBorders>
          <w:left w:val="nil"/>
          <w:right w:val="nil"/>
          <w:insideH w:val="nil"/>
          <w:insideV w:val="nil"/>
        </w:tcBorders>
        <w:shd w:val="clear" w:color="auto" w:fill="9bbb59"/>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222">
    <w:name w:val="Medium Shading 2 Accent 4"/>
    <w:basedOn w:val="style105"/>
    <w:next w:val="style222"/>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8064a2"/>
      </w:tcPr>
    </w:tblStylePr>
    <w:tblStylePr w:type="lastCol">
      <w:pPr/>
      <w:rPr>
        <w:b/>
        <w:bCs/>
        <w:color w:val="ffffff"/>
      </w:rPr>
      <w:tblPr/>
      <w:tcPr>
        <w:tcBorders>
          <w:left w:val="nil"/>
          <w:right w:val="nil"/>
          <w:insideH w:val="nil"/>
          <w:insideV w:val="nil"/>
        </w:tcBorders>
        <w:shd w:val="clear" w:color="auto" w:fill="8064a2"/>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236">
    <w:name w:val="Medium Shading 2 Accent 5"/>
    <w:basedOn w:val="style105"/>
    <w:next w:val="style236"/>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4bacc6"/>
      </w:tcPr>
    </w:tblStylePr>
    <w:tblStylePr w:type="lastCol">
      <w:pPr/>
      <w:rPr>
        <w:b/>
        <w:bCs/>
        <w:color w:val="ffffff"/>
      </w:rPr>
      <w:tblPr/>
      <w:tcPr>
        <w:tcBorders>
          <w:left w:val="nil"/>
          <w:right w:val="nil"/>
          <w:insideH w:val="nil"/>
          <w:insideV w:val="nil"/>
        </w:tcBorders>
        <w:shd w:val="clear" w:color="auto" w:fill="4bacc6"/>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250">
    <w:name w:val="Medium Shading 2 Accent 6"/>
    <w:basedOn w:val="style105"/>
    <w:next w:val="style250"/>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f79646"/>
      </w:tcPr>
    </w:tblStylePr>
    <w:tblStylePr w:type="lastCol">
      <w:pPr/>
      <w:rPr>
        <w:b/>
        <w:bCs/>
        <w:color w:val="ffffff"/>
      </w:rPr>
      <w:tblPr/>
      <w:tcPr>
        <w:tcBorders>
          <w:left w:val="nil"/>
          <w:right w:val="nil"/>
          <w:insideH w:val="nil"/>
          <w:insideV w:val="nil"/>
        </w:tcBorders>
        <w:shd w:val="clear" w:color="auto" w:fill="f79646"/>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163">
    <w:name w:val="Medium List 1"/>
    <w:basedOn w:val="style105"/>
    <w:next w:val="style163"/>
    <w:uiPriority w:val="65"/>
    <w:pPr>
      <w:spacing w:after="0" w:lineRule="auto" w:line="240"/>
    </w:pPr>
    <w:rPr>
      <w:color w:val="000000"/>
    </w:rPr>
    <w:tblPr>
      <w:tblStyleRowBandSize w:val="1"/>
      <w:tblStyleColBandSize w:val="1"/>
      <w:tblBorders>
        <w:top w:val="single" w:sz="8" w:space="0" w:color="000000"/>
        <w:bottom w:val="single" w:sz="8" w:space="0" w:color="000000"/>
      </w:tblBorders>
    </w:tblPr>
    <w:tblStylePr w:type="firstRow">
      <w:pPr/>
      <w:rPr>
        <w:rFonts w:ascii="Calibri" w:cs="宋体" w:eastAsia="ＭＳ ゴシック" w:hAnsi="Calibri"/>
      </w:rPr>
      <w:tblPr/>
      <w:tcPr>
        <w:tcBorders>
          <w:top w:val="nil"/>
          <w:bottom w:val="single" w:sz="8" w:space="0" w:color="000000"/>
        </w:tcBorders>
      </w:tcPr>
    </w:tblStylePr>
    <w:tblStylePr w:type="lastRow">
      <w:pPr/>
      <w:rPr>
        <w:b/>
        <w:bCs/>
        <w:color w:val="1f497d"/>
      </w:rPr>
      <w:tblPr/>
      <w:tcPr>
        <w:tcBorders>
          <w:top w:val="single" w:sz="8" w:space="0" w:color="000000"/>
          <w:bottom w:val="single" w:sz="8" w:space="0" w:color="000000"/>
        </w:tcBorders>
      </w:tcPr>
    </w:tblStylePr>
    <w:tblStylePr w:type="band1Horz">
      <w:pPr/>
      <w:tblPr/>
      <w:tcPr>
        <w:tcBorders/>
        <w:shd w:val="clear" w:color="auto" w:fill="c0c0c0"/>
      </w:tcPr>
    </w:tblStylePr>
    <w:tblStylePr w:type="firstCol">
      <w:pPr/>
      <w:rPr>
        <w:b/>
        <w:bCs/>
      </w:rPr>
      <w:tcPr>
        <w:tcBorders/>
      </w:tcPr>
    </w:tblStylePr>
    <w:tblStylePr w:type="lastCol">
      <w:pPr/>
      <w:rPr>
        <w:b/>
        <w:bCs/>
      </w:rPr>
      <w:tblPr/>
      <w:tcPr>
        <w:tcBorders>
          <w:top w:val="single" w:sz="8" w:space="0" w:color="000000"/>
          <w:bottom w:val="single" w:sz="8" w:space="0" w:color="000000"/>
        </w:tcBorders>
      </w:tcPr>
    </w:tblStylePr>
    <w:tblStylePr w:type="band1Vert">
      <w:pPr/>
      <w:tblPr/>
      <w:tcPr>
        <w:tcBorders/>
        <w:shd w:val="clear" w:color="auto" w:fill="c0c0c0"/>
      </w:tcPr>
    </w:tblStylePr>
    <w:tcPr>
      <w:tcBorders/>
    </w:tcPr>
  </w:style>
  <w:style w:type="table" w:styleId="style177">
    <w:name w:val="Medium List 1 Accent 1"/>
    <w:basedOn w:val="style105"/>
    <w:next w:val="style177"/>
    <w:uiPriority w:val="65"/>
    <w:pPr>
      <w:spacing w:after="0" w:lineRule="auto" w:line="240"/>
    </w:pPr>
    <w:rPr>
      <w:color w:val="000000"/>
    </w:rPr>
    <w:tblPr>
      <w:tblStyleRowBandSize w:val="1"/>
      <w:tblStyleColBandSize w:val="1"/>
      <w:tblBorders>
        <w:top w:val="single" w:sz="8" w:space="0" w:color="4f81bd"/>
        <w:bottom w:val="single" w:sz="8" w:space="0" w:color="4f81bd"/>
      </w:tblBorders>
    </w:tblPr>
    <w:tblStylePr w:type="firstRow">
      <w:pPr/>
      <w:rPr>
        <w:rFonts w:ascii="Calibri" w:cs="宋体" w:eastAsia="ＭＳ ゴシック" w:hAnsi="Calibri"/>
      </w:rPr>
      <w:tblPr/>
      <w:tcPr>
        <w:tcBorders>
          <w:top w:val="nil"/>
          <w:bottom w:val="single" w:sz="8" w:space="0" w:color="4f81bd"/>
        </w:tcBorders>
      </w:tcPr>
    </w:tblStylePr>
    <w:tblStylePr w:type="lastRow">
      <w:pPr/>
      <w:rPr>
        <w:b/>
        <w:bCs/>
        <w:color w:val="1f497d"/>
      </w:rPr>
      <w:tblPr/>
      <w:tcPr>
        <w:tcBorders>
          <w:top w:val="single" w:sz="8" w:space="0" w:color="4f81bd"/>
          <w:bottom w:val="single" w:sz="8" w:space="0" w:color="4f81bd"/>
        </w:tcBorders>
      </w:tcPr>
    </w:tblStylePr>
    <w:tblStylePr w:type="band1Horz">
      <w:pPr/>
      <w:tblPr/>
      <w:tcPr>
        <w:tcBorders/>
        <w:shd w:val="clear" w:color="auto" w:fill="d3dfee"/>
      </w:tcPr>
    </w:tblStylePr>
    <w:tblStylePr w:type="firstCol">
      <w:pPr/>
      <w:rPr>
        <w:b/>
        <w:bCs/>
      </w:rPr>
      <w:tcPr>
        <w:tcBorders/>
      </w:tcPr>
    </w:tblStylePr>
    <w:tblStylePr w:type="lastCol">
      <w:pPr/>
      <w:rPr>
        <w:b/>
        <w:bCs/>
      </w:rPr>
      <w:tblPr/>
      <w:tcPr>
        <w:tcBorders>
          <w:top w:val="single" w:sz="8" w:space="0" w:color="4f81bd"/>
          <w:bottom w:val="single" w:sz="8" w:space="0" w:color="4f81bd"/>
        </w:tcBorders>
      </w:tcPr>
    </w:tblStylePr>
    <w:tblStylePr w:type="band1Vert">
      <w:pPr/>
      <w:tblPr/>
      <w:tcPr>
        <w:tcBorders/>
        <w:shd w:val="clear" w:color="auto" w:fill="d3dfee"/>
      </w:tcPr>
    </w:tblStylePr>
    <w:tcPr>
      <w:tcBorders/>
    </w:tcPr>
  </w:style>
  <w:style w:type="table" w:styleId="style195">
    <w:name w:val="Medium List 1 Accent 2"/>
    <w:basedOn w:val="style105"/>
    <w:next w:val="style195"/>
    <w:uiPriority w:val="65"/>
    <w:pPr>
      <w:spacing w:after="0" w:lineRule="auto" w:line="240"/>
    </w:pPr>
    <w:rPr>
      <w:color w:val="000000"/>
    </w:rPr>
    <w:tblPr>
      <w:tblStyleRowBandSize w:val="1"/>
      <w:tblStyleColBandSize w:val="1"/>
      <w:tblBorders>
        <w:top w:val="single" w:sz="8" w:space="0" w:color="c0504d"/>
        <w:bottom w:val="single" w:sz="8" w:space="0" w:color="c0504d"/>
      </w:tblBorders>
    </w:tblPr>
    <w:tblStylePr w:type="firstRow">
      <w:pPr/>
      <w:rPr>
        <w:rFonts w:ascii="Calibri" w:cs="宋体" w:eastAsia="ＭＳ ゴシック" w:hAnsi="Calibri"/>
      </w:rPr>
      <w:tblPr/>
      <w:tcPr>
        <w:tcBorders>
          <w:top w:val="nil"/>
          <w:bottom w:val="single" w:sz="8" w:space="0" w:color="c0504d"/>
        </w:tcBorders>
      </w:tcPr>
    </w:tblStylePr>
    <w:tblStylePr w:type="lastRow">
      <w:pPr/>
      <w:rPr>
        <w:b/>
        <w:bCs/>
        <w:color w:val="1f497d"/>
      </w:rPr>
      <w:tblPr/>
      <w:tcPr>
        <w:tcBorders>
          <w:top w:val="single" w:sz="8" w:space="0" w:color="c0504d"/>
          <w:bottom w:val="single" w:sz="8" w:space="0" w:color="c0504d"/>
        </w:tcBorders>
      </w:tcPr>
    </w:tblStylePr>
    <w:tblStylePr w:type="band1Horz">
      <w:pPr/>
      <w:tblPr/>
      <w:tcPr>
        <w:tcBorders/>
        <w:shd w:val="clear" w:color="auto" w:fill="efd3d2"/>
      </w:tcPr>
    </w:tblStylePr>
    <w:tblStylePr w:type="firstCol">
      <w:pPr/>
      <w:rPr>
        <w:b/>
        <w:bCs/>
      </w:rPr>
      <w:tcPr>
        <w:tcBorders/>
      </w:tcPr>
    </w:tblStylePr>
    <w:tblStylePr w:type="lastCol">
      <w:pPr/>
      <w:rPr>
        <w:b/>
        <w:bCs/>
      </w:rPr>
      <w:tblPr/>
      <w:tcPr>
        <w:tcBorders>
          <w:top w:val="single" w:sz="8" w:space="0" w:color="c0504d"/>
          <w:bottom w:val="single" w:sz="8" w:space="0" w:color="c0504d"/>
        </w:tcBorders>
      </w:tcPr>
    </w:tblStylePr>
    <w:tblStylePr w:type="band1Vert">
      <w:pPr/>
      <w:tblPr/>
      <w:tcPr>
        <w:tcBorders/>
        <w:shd w:val="clear" w:color="auto" w:fill="efd3d2"/>
      </w:tcPr>
    </w:tblStylePr>
    <w:tcPr>
      <w:tcBorders/>
    </w:tcPr>
  </w:style>
  <w:style w:type="table" w:styleId="style209">
    <w:name w:val="Medium List 1 Accent 3"/>
    <w:basedOn w:val="style105"/>
    <w:next w:val="style209"/>
    <w:uiPriority w:val="65"/>
    <w:pPr>
      <w:spacing w:after="0" w:lineRule="auto" w:line="240"/>
    </w:pPr>
    <w:rPr>
      <w:color w:val="000000"/>
    </w:rPr>
    <w:tblPr>
      <w:tblStyleRowBandSize w:val="1"/>
      <w:tblStyleColBandSize w:val="1"/>
      <w:tblBorders>
        <w:top w:val="single" w:sz="8" w:space="0" w:color="9bbb59"/>
        <w:bottom w:val="single" w:sz="8" w:space="0" w:color="9bbb59"/>
      </w:tblBorders>
    </w:tblPr>
    <w:tblStylePr w:type="firstRow">
      <w:pPr/>
      <w:rPr>
        <w:rFonts w:ascii="Calibri" w:cs="宋体" w:eastAsia="ＭＳ ゴシック" w:hAnsi="Calibri"/>
      </w:rPr>
      <w:tblPr/>
      <w:tcPr>
        <w:tcBorders>
          <w:top w:val="nil"/>
          <w:bottom w:val="single" w:sz="8" w:space="0" w:color="9bbb59"/>
        </w:tcBorders>
      </w:tcPr>
    </w:tblStylePr>
    <w:tblStylePr w:type="lastRow">
      <w:pPr/>
      <w:rPr>
        <w:b/>
        <w:bCs/>
        <w:color w:val="1f497d"/>
      </w:rPr>
      <w:tblPr/>
      <w:tcPr>
        <w:tcBorders>
          <w:top w:val="single" w:sz="8" w:space="0" w:color="9bbb59"/>
          <w:bottom w:val="single" w:sz="8" w:space="0" w:color="9bbb59"/>
        </w:tcBorders>
      </w:tcPr>
    </w:tblStylePr>
    <w:tblStylePr w:type="band1Horz">
      <w:pPr/>
      <w:tblPr/>
      <w:tcPr>
        <w:tcBorders/>
        <w:shd w:val="clear" w:color="auto" w:fill="e6eed5"/>
      </w:tcPr>
    </w:tblStylePr>
    <w:tblStylePr w:type="firstCol">
      <w:pPr/>
      <w:rPr>
        <w:b/>
        <w:bCs/>
      </w:rPr>
      <w:tcPr>
        <w:tcBorders/>
      </w:tcPr>
    </w:tblStylePr>
    <w:tblStylePr w:type="lastCol">
      <w:pPr/>
      <w:rPr>
        <w:b/>
        <w:bCs/>
      </w:rPr>
      <w:tblPr/>
      <w:tcPr>
        <w:tcBorders>
          <w:top w:val="single" w:sz="8" w:space="0" w:color="9bbb59"/>
          <w:bottom w:val="single" w:sz="8" w:space="0" w:color="9bbb59"/>
        </w:tcBorders>
      </w:tcPr>
    </w:tblStylePr>
    <w:tblStylePr w:type="band1Vert">
      <w:pPr/>
      <w:tblPr/>
      <w:tcPr>
        <w:tcBorders/>
        <w:shd w:val="clear" w:color="auto" w:fill="e6eed5"/>
      </w:tcPr>
    </w:tblStylePr>
    <w:tcPr>
      <w:tcBorders/>
    </w:tcPr>
  </w:style>
  <w:style w:type="table" w:styleId="style223">
    <w:name w:val="Medium List 1 Accent 4"/>
    <w:basedOn w:val="style105"/>
    <w:next w:val="style223"/>
    <w:uiPriority w:val="65"/>
    <w:pPr>
      <w:spacing w:after="0" w:lineRule="auto" w:line="240"/>
    </w:pPr>
    <w:rPr>
      <w:color w:val="000000"/>
    </w:rPr>
    <w:tblPr>
      <w:tblStyleRowBandSize w:val="1"/>
      <w:tblStyleColBandSize w:val="1"/>
      <w:tblBorders>
        <w:top w:val="single" w:sz="8" w:space="0" w:color="8064a2"/>
        <w:bottom w:val="single" w:sz="8" w:space="0" w:color="8064a2"/>
      </w:tblBorders>
    </w:tblPr>
    <w:tblStylePr w:type="firstRow">
      <w:pPr/>
      <w:rPr>
        <w:rFonts w:ascii="Calibri" w:cs="宋体" w:eastAsia="ＭＳ ゴシック" w:hAnsi="Calibri"/>
      </w:rPr>
      <w:tblPr/>
      <w:tcPr>
        <w:tcBorders>
          <w:top w:val="nil"/>
          <w:bottom w:val="single" w:sz="8" w:space="0" w:color="8064a2"/>
        </w:tcBorders>
      </w:tcPr>
    </w:tblStylePr>
    <w:tblStylePr w:type="lastRow">
      <w:pPr/>
      <w:rPr>
        <w:b/>
        <w:bCs/>
        <w:color w:val="1f497d"/>
      </w:rPr>
      <w:tblPr/>
      <w:tcPr>
        <w:tcBorders>
          <w:top w:val="single" w:sz="8" w:space="0" w:color="8064a2"/>
          <w:bottom w:val="single" w:sz="8" w:space="0" w:color="8064a2"/>
        </w:tcBorders>
      </w:tcPr>
    </w:tblStylePr>
    <w:tblStylePr w:type="band1Horz">
      <w:pPr/>
      <w:tblPr/>
      <w:tcPr>
        <w:tcBorders/>
        <w:shd w:val="clear" w:color="auto" w:fill="dfd8e8"/>
      </w:tcPr>
    </w:tblStylePr>
    <w:tblStylePr w:type="firstCol">
      <w:pPr/>
      <w:rPr>
        <w:b/>
        <w:bCs/>
      </w:rPr>
      <w:tcPr>
        <w:tcBorders/>
      </w:tcPr>
    </w:tblStylePr>
    <w:tblStylePr w:type="lastCol">
      <w:pPr/>
      <w:rPr>
        <w:b/>
        <w:bCs/>
      </w:rPr>
      <w:tblPr/>
      <w:tcPr>
        <w:tcBorders>
          <w:top w:val="single" w:sz="8" w:space="0" w:color="8064a2"/>
          <w:bottom w:val="single" w:sz="8" w:space="0" w:color="8064a2"/>
        </w:tcBorders>
      </w:tcPr>
    </w:tblStylePr>
    <w:tblStylePr w:type="band1Vert">
      <w:pPr/>
      <w:tblPr/>
      <w:tcPr>
        <w:tcBorders/>
        <w:shd w:val="clear" w:color="auto" w:fill="dfd8e8"/>
      </w:tcPr>
    </w:tblStylePr>
    <w:tcPr>
      <w:tcBorders/>
    </w:tcPr>
  </w:style>
  <w:style w:type="table" w:styleId="style237">
    <w:name w:val="Medium List 1 Accent 5"/>
    <w:basedOn w:val="style105"/>
    <w:next w:val="style237"/>
    <w:uiPriority w:val="65"/>
    <w:pPr>
      <w:spacing w:after="0" w:lineRule="auto" w:line="240"/>
    </w:pPr>
    <w:rPr>
      <w:color w:val="000000"/>
    </w:rPr>
    <w:tblPr>
      <w:tblStyleRowBandSize w:val="1"/>
      <w:tblStyleColBandSize w:val="1"/>
      <w:tblBorders>
        <w:top w:val="single" w:sz="8" w:space="0" w:color="4bacc6"/>
        <w:bottom w:val="single" w:sz="8" w:space="0" w:color="4bacc6"/>
      </w:tblBorders>
    </w:tblPr>
    <w:tblStylePr w:type="firstRow">
      <w:pPr/>
      <w:rPr>
        <w:rFonts w:ascii="Calibri" w:cs="宋体" w:eastAsia="ＭＳ ゴシック" w:hAnsi="Calibri"/>
      </w:rPr>
      <w:tblPr/>
      <w:tcPr>
        <w:tcBorders>
          <w:top w:val="nil"/>
          <w:bottom w:val="single" w:sz="8" w:space="0" w:color="4bacc6"/>
        </w:tcBorders>
      </w:tcPr>
    </w:tblStylePr>
    <w:tblStylePr w:type="lastRow">
      <w:pPr/>
      <w:rPr>
        <w:b/>
        <w:bCs/>
        <w:color w:val="1f497d"/>
      </w:rPr>
      <w:tblPr/>
      <w:tcPr>
        <w:tcBorders>
          <w:top w:val="single" w:sz="8" w:space="0" w:color="4bacc6"/>
          <w:bottom w:val="single" w:sz="8" w:space="0" w:color="4bacc6"/>
        </w:tcBorders>
      </w:tcPr>
    </w:tblStylePr>
    <w:tblStylePr w:type="band1Horz">
      <w:pPr/>
      <w:tblPr/>
      <w:tcPr>
        <w:tcBorders/>
        <w:shd w:val="clear" w:color="auto" w:fill="d2eaf1"/>
      </w:tcPr>
    </w:tblStylePr>
    <w:tblStylePr w:type="firstCol">
      <w:pPr/>
      <w:rPr>
        <w:b/>
        <w:bCs/>
      </w:rPr>
      <w:tcPr>
        <w:tcBorders/>
      </w:tcPr>
    </w:tblStylePr>
    <w:tblStylePr w:type="lastCol">
      <w:pPr/>
      <w:rPr>
        <w:b/>
        <w:bCs/>
      </w:rPr>
      <w:tblPr/>
      <w:tcPr>
        <w:tcBorders>
          <w:top w:val="single" w:sz="8" w:space="0" w:color="4bacc6"/>
          <w:bottom w:val="single" w:sz="8" w:space="0" w:color="4bacc6"/>
        </w:tcBorders>
      </w:tcPr>
    </w:tblStylePr>
    <w:tblStylePr w:type="band1Vert">
      <w:pPr/>
      <w:tblPr/>
      <w:tcPr>
        <w:tcBorders/>
        <w:shd w:val="clear" w:color="auto" w:fill="d2eaf1"/>
      </w:tcPr>
    </w:tblStylePr>
    <w:tcPr>
      <w:tcBorders/>
    </w:tcPr>
  </w:style>
  <w:style w:type="table" w:styleId="style251">
    <w:name w:val="Medium List 1 Accent 6"/>
    <w:basedOn w:val="style105"/>
    <w:next w:val="style251"/>
    <w:uiPriority w:val="65"/>
    <w:pPr>
      <w:spacing w:after="0" w:lineRule="auto" w:line="240"/>
    </w:pPr>
    <w:rPr>
      <w:color w:val="000000"/>
    </w:rPr>
    <w:tblPr>
      <w:tblStyleRowBandSize w:val="1"/>
      <w:tblStyleColBandSize w:val="1"/>
      <w:tblBorders>
        <w:top w:val="single" w:sz="8" w:space="0" w:color="f79646"/>
        <w:bottom w:val="single" w:sz="8" w:space="0" w:color="f79646"/>
      </w:tblBorders>
    </w:tblPr>
    <w:tblStylePr w:type="firstRow">
      <w:pPr/>
      <w:rPr>
        <w:rFonts w:ascii="Calibri" w:cs="宋体" w:eastAsia="ＭＳ ゴシック" w:hAnsi="Calibri"/>
      </w:rPr>
      <w:tblPr/>
      <w:tcPr>
        <w:tcBorders>
          <w:top w:val="nil"/>
          <w:bottom w:val="single" w:sz="8" w:space="0" w:color="f79646"/>
        </w:tcBorders>
      </w:tcPr>
    </w:tblStylePr>
    <w:tblStylePr w:type="lastRow">
      <w:pPr/>
      <w:rPr>
        <w:b/>
        <w:bCs/>
        <w:color w:val="1f497d"/>
      </w:rPr>
      <w:tblPr/>
      <w:tcPr>
        <w:tcBorders>
          <w:top w:val="single" w:sz="8" w:space="0" w:color="f79646"/>
          <w:bottom w:val="single" w:sz="8" w:space="0" w:color="f79646"/>
        </w:tcBorders>
      </w:tcPr>
    </w:tblStylePr>
    <w:tblStylePr w:type="band1Horz">
      <w:pPr/>
      <w:tblPr/>
      <w:tcPr>
        <w:tcBorders/>
        <w:shd w:val="clear" w:color="auto" w:fill="fde4d0"/>
      </w:tcPr>
    </w:tblStylePr>
    <w:tblStylePr w:type="firstCol">
      <w:pPr/>
      <w:rPr>
        <w:b/>
        <w:bCs/>
      </w:rPr>
      <w:tcPr>
        <w:tcBorders/>
      </w:tcPr>
    </w:tblStylePr>
    <w:tblStylePr w:type="lastCol">
      <w:pPr/>
      <w:rPr>
        <w:b/>
        <w:bCs/>
      </w:rPr>
      <w:tblPr/>
      <w:tcPr>
        <w:tcBorders>
          <w:top w:val="single" w:sz="8" w:space="0" w:color="f79646"/>
          <w:bottom w:val="single" w:sz="8" w:space="0" w:color="f79646"/>
        </w:tcBorders>
      </w:tcPr>
    </w:tblStylePr>
    <w:tblStylePr w:type="band1Vert">
      <w:pPr/>
      <w:tblPr/>
      <w:tcPr>
        <w:tcBorders/>
        <w:shd w:val="clear" w:color="auto" w:fill="fde4d0"/>
      </w:tcPr>
    </w:tblStylePr>
    <w:tcPr>
      <w:tcBorders/>
    </w:tcPr>
  </w:style>
  <w:style w:type="table" w:styleId="style164">
    <w:name w:val="Medium List 2"/>
    <w:basedOn w:val="style105"/>
    <w:next w:val="style164"/>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rPr>
        <w:sz w:val="24"/>
        <w:szCs w:val="24"/>
      </w:rPr>
      <w:tblPr/>
      <w:tcPr>
        <w:tcBorders>
          <w:top w:val="nil"/>
          <w:left w:val="nil"/>
          <w:bottom w:val="single" w:sz="24" w:space="0" w:color="000000"/>
          <w:right w:val="nil"/>
          <w:insideH w:val="nil"/>
          <w:insideV w:val="nil"/>
        </w:tcBorders>
        <w:shd w:val="clear" w:color="auto" w:fill="ffffff"/>
      </w:tcPr>
    </w:tblStylePr>
    <w:tblStylePr w:type="lastRow">
      <w:pPr/>
      <w:tblPr/>
      <w:tcPr>
        <w:tcBorders>
          <w:top w:val="single" w:sz="8" w:space="0" w:color="000000"/>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c0c0c0"/>
      </w:tcPr>
    </w:tblStylePr>
    <w:tblStylePr w:type="firstCol">
      <w:pPr/>
      <w:tblPr/>
      <w:tcPr>
        <w:tcBorders>
          <w:top w:val="nil"/>
          <w:left w:val="nil"/>
          <w:bottom w:val="nil"/>
          <w:right w:val="single" w:sz="8" w:space="0" w:color="000000"/>
          <w:insideH w:val="nil"/>
          <w:insideV w:val="nil"/>
        </w:tcBorders>
        <w:shd w:val="clear" w:color="auto" w:fill="ffffff"/>
      </w:tcPr>
    </w:tblStylePr>
    <w:tblStylePr w:type="lastCol">
      <w:pPr/>
      <w:tblPr/>
      <w:tcPr>
        <w:tcBorders>
          <w:top w:val="nil"/>
          <w:left w:val="single" w:sz="8" w:space="0" w:color="000000"/>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c0c0c0"/>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82">
    <w:name w:val="Medium List 2 Accent 1"/>
    <w:basedOn w:val="style105"/>
    <w:next w:val="style182"/>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rPr>
        <w:sz w:val="24"/>
        <w:szCs w:val="24"/>
      </w:rPr>
      <w:tblPr/>
      <w:tcPr>
        <w:tcBorders>
          <w:top w:val="nil"/>
          <w:left w:val="nil"/>
          <w:bottom w:val="single" w:sz="24" w:space="0" w:color="4f81bd"/>
          <w:right w:val="nil"/>
          <w:insideH w:val="nil"/>
          <w:insideV w:val="nil"/>
        </w:tcBorders>
        <w:shd w:val="clear" w:color="auto" w:fill="ffffff"/>
      </w:tcPr>
    </w:tblStylePr>
    <w:tblStylePr w:type="lastRow">
      <w:pPr/>
      <w:tblPr/>
      <w:tcPr>
        <w:tcBorders>
          <w:top w:val="single" w:sz="8" w:space="0" w:color="4f81bd"/>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d3dfee"/>
      </w:tcPr>
    </w:tblStylePr>
    <w:tblStylePr w:type="firstCol">
      <w:pPr/>
      <w:tblPr/>
      <w:tcPr>
        <w:tcBorders>
          <w:top w:val="nil"/>
          <w:left w:val="nil"/>
          <w:bottom w:val="nil"/>
          <w:right w:val="single" w:sz="8" w:space="0" w:color="4f81bd"/>
          <w:insideH w:val="nil"/>
          <w:insideV w:val="nil"/>
        </w:tcBorders>
        <w:shd w:val="clear" w:color="auto" w:fill="ffffff"/>
      </w:tcPr>
    </w:tblStylePr>
    <w:tblStylePr w:type="lastCol">
      <w:pPr/>
      <w:tblPr/>
      <w:tcPr>
        <w:tcBorders>
          <w:top w:val="nil"/>
          <w:left w:val="single" w:sz="8" w:space="0" w:color="4f81bd"/>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d3dfee"/>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96">
    <w:name w:val="Medium List 2 Accent 2"/>
    <w:basedOn w:val="style105"/>
    <w:next w:val="style196"/>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rPr>
        <w:sz w:val="24"/>
        <w:szCs w:val="24"/>
      </w:rPr>
      <w:tblPr/>
      <w:tcPr>
        <w:tcBorders>
          <w:top w:val="nil"/>
          <w:left w:val="nil"/>
          <w:bottom w:val="single" w:sz="24" w:space="0" w:color="c0504d"/>
          <w:right w:val="nil"/>
          <w:insideH w:val="nil"/>
          <w:insideV w:val="nil"/>
        </w:tcBorders>
        <w:shd w:val="clear" w:color="auto" w:fill="ffffff"/>
      </w:tcPr>
    </w:tblStylePr>
    <w:tblStylePr w:type="lastRow">
      <w:pPr/>
      <w:tblPr/>
      <w:tcPr>
        <w:tcBorders>
          <w:top w:val="single" w:sz="8" w:space="0" w:color="c0504d"/>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efd3d2"/>
      </w:tcPr>
    </w:tblStylePr>
    <w:tblStylePr w:type="firstCol">
      <w:pPr/>
      <w:tblPr/>
      <w:tcPr>
        <w:tcBorders>
          <w:top w:val="nil"/>
          <w:left w:val="nil"/>
          <w:bottom w:val="nil"/>
          <w:right w:val="single" w:sz="8" w:space="0" w:color="c0504d"/>
          <w:insideH w:val="nil"/>
          <w:insideV w:val="nil"/>
        </w:tcBorders>
        <w:shd w:val="clear" w:color="auto" w:fill="ffffff"/>
      </w:tcPr>
    </w:tblStylePr>
    <w:tblStylePr w:type="lastCol">
      <w:pPr/>
      <w:tblPr/>
      <w:tcPr>
        <w:tcBorders>
          <w:top w:val="nil"/>
          <w:left w:val="single" w:sz="8" w:space="0" w:color="c0504d"/>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efd3d2"/>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10">
    <w:name w:val="Medium List 2 Accent 3"/>
    <w:basedOn w:val="style105"/>
    <w:next w:val="style210"/>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rPr>
        <w:sz w:val="24"/>
        <w:szCs w:val="24"/>
      </w:rPr>
      <w:tblPr/>
      <w:tcPr>
        <w:tcBorders>
          <w:top w:val="nil"/>
          <w:left w:val="nil"/>
          <w:bottom w:val="single" w:sz="24" w:space="0" w:color="9bbb59"/>
          <w:right w:val="nil"/>
          <w:insideH w:val="nil"/>
          <w:insideV w:val="nil"/>
        </w:tcBorders>
        <w:shd w:val="clear" w:color="auto" w:fill="ffffff"/>
      </w:tcPr>
    </w:tblStylePr>
    <w:tblStylePr w:type="lastRow">
      <w:pPr/>
      <w:tblPr/>
      <w:tcPr>
        <w:tcBorders>
          <w:top w:val="single" w:sz="8" w:space="0" w:color="9bbb59"/>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e6eed5"/>
      </w:tcPr>
    </w:tblStylePr>
    <w:tblStylePr w:type="firstCol">
      <w:pPr/>
      <w:tblPr/>
      <w:tcPr>
        <w:tcBorders>
          <w:top w:val="nil"/>
          <w:left w:val="nil"/>
          <w:bottom w:val="nil"/>
          <w:right w:val="single" w:sz="8" w:space="0" w:color="9bbb59"/>
          <w:insideH w:val="nil"/>
          <w:insideV w:val="nil"/>
        </w:tcBorders>
        <w:shd w:val="clear" w:color="auto" w:fill="ffffff"/>
      </w:tcPr>
    </w:tblStylePr>
    <w:tblStylePr w:type="lastCol">
      <w:pPr/>
      <w:tblPr/>
      <w:tcPr>
        <w:tcBorders>
          <w:top w:val="nil"/>
          <w:left w:val="single" w:sz="8" w:space="0" w:color="9bbb59"/>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e6eed5"/>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24">
    <w:name w:val="Medium List 2 Accent 4"/>
    <w:basedOn w:val="style105"/>
    <w:next w:val="style224"/>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rPr>
        <w:sz w:val="24"/>
        <w:szCs w:val="24"/>
      </w:rPr>
      <w:tblPr/>
      <w:tcPr>
        <w:tcBorders>
          <w:top w:val="nil"/>
          <w:left w:val="nil"/>
          <w:bottom w:val="single" w:sz="24" w:space="0" w:color="8064a2"/>
          <w:right w:val="nil"/>
          <w:insideH w:val="nil"/>
          <w:insideV w:val="nil"/>
        </w:tcBorders>
        <w:shd w:val="clear" w:color="auto" w:fill="ffffff"/>
      </w:tcPr>
    </w:tblStylePr>
    <w:tblStylePr w:type="lastRow">
      <w:pPr/>
      <w:tblPr/>
      <w:tcPr>
        <w:tcBorders>
          <w:top w:val="single" w:sz="8" w:space="0" w:color="8064a2"/>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dfd8e8"/>
      </w:tcPr>
    </w:tblStylePr>
    <w:tblStylePr w:type="firstCol">
      <w:pPr/>
      <w:tblPr/>
      <w:tcPr>
        <w:tcBorders>
          <w:top w:val="nil"/>
          <w:left w:val="nil"/>
          <w:bottom w:val="nil"/>
          <w:right w:val="single" w:sz="8" w:space="0" w:color="8064a2"/>
          <w:insideH w:val="nil"/>
          <w:insideV w:val="nil"/>
        </w:tcBorders>
        <w:shd w:val="clear" w:color="auto" w:fill="ffffff"/>
      </w:tcPr>
    </w:tblStylePr>
    <w:tblStylePr w:type="lastCol">
      <w:pPr/>
      <w:tblPr/>
      <w:tcPr>
        <w:tcBorders>
          <w:top w:val="nil"/>
          <w:left w:val="single" w:sz="8" w:space="0" w:color="8064a2"/>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dfd8e8"/>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38">
    <w:name w:val="Medium List 2 Accent 5"/>
    <w:basedOn w:val="style105"/>
    <w:next w:val="style238"/>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rPr>
        <w:sz w:val="24"/>
        <w:szCs w:val="24"/>
      </w:rPr>
      <w:tblPr/>
      <w:tcPr>
        <w:tcBorders>
          <w:top w:val="nil"/>
          <w:left w:val="nil"/>
          <w:bottom w:val="single" w:sz="24" w:space="0" w:color="4bacc6"/>
          <w:right w:val="nil"/>
          <w:insideH w:val="nil"/>
          <w:insideV w:val="nil"/>
        </w:tcBorders>
        <w:shd w:val="clear" w:color="auto" w:fill="ffffff"/>
      </w:tcPr>
    </w:tblStylePr>
    <w:tblStylePr w:type="lastRow">
      <w:pPr/>
      <w:tblPr/>
      <w:tcPr>
        <w:tcBorders>
          <w:top w:val="single" w:sz="8" w:space="0" w:color="4bacc6"/>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d2eaf1"/>
      </w:tcPr>
    </w:tblStylePr>
    <w:tblStylePr w:type="firstCol">
      <w:pPr/>
      <w:tblPr/>
      <w:tcPr>
        <w:tcBorders>
          <w:top w:val="nil"/>
          <w:left w:val="nil"/>
          <w:bottom w:val="nil"/>
          <w:right w:val="single" w:sz="8" w:space="0" w:color="4bacc6"/>
          <w:insideH w:val="nil"/>
          <w:insideV w:val="nil"/>
        </w:tcBorders>
        <w:shd w:val="clear" w:color="auto" w:fill="ffffff"/>
      </w:tcPr>
    </w:tblStylePr>
    <w:tblStylePr w:type="lastCol">
      <w:pPr/>
      <w:tblPr/>
      <w:tcPr>
        <w:tcBorders>
          <w:top w:val="nil"/>
          <w:left w:val="single" w:sz="8" w:space="0" w:color="4bacc6"/>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d2eaf1"/>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52">
    <w:name w:val="Medium List 2 Accent 6"/>
    <w:basedOn w:val="style105"/>
    <w:next w:val="style252"/>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pPr/>
      <w:rPr>
        <w:sz w:val="24"/>
        <w:szCs w:val="24"/>
      </w:rPr>
      <w:tblPr/>
      <w:tcPr>
        <w:tcBorders>
          <w:top w:val="nil"/>
          <w:left w:val="nil"/>
          <w:bottom w:val="single" w:sz="24" w:space="0" w:color="f79646"/>
          <w:right w:val="nil"/>
          <w:insideH w:val="nil"/>
          <w:insideV w:val="nil"/>
        </w:tcBorders>
        <w:shd w:val="clear" w:color="auto" w:fill="ffffff"/>
      </w:tcPr>
    </w:tblStylePr>
    <w:tblStylePr w:type="lastRow">
      <w:pPr/>
      <w:tblPr/>
      <w:tcPr>
        <w:tcBorders>
          <w:top w:val="single" w:sz="8" w:space="0" w:color="f79646"/>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fde4d0"/>
      </w:tcPr>
    </w:tblStylePr>
    <w:tblStylePr w:type="firstCol">
      <w:pPr/>
      <w:tblPr/>
      <w:tcPr>
        <w:tcBorders>
          <w:top w:val="nil"/>
          <w:left w:val="nil"/>
          <w:bottom w:val="nil"/>
          <w:right w:val="single" w:sz="8" w:space="0" w:color="f79646"/>
          <w:insideH w:val="nil"/>
          <w:insideV w:val="nil"/>
        </w:tcBorders>
        <w:shd w:val="clear" w:color="auto" w:fill="ffffff"/>
      </w:tcPr>
    </w:tblStylePr>
    <w:tblStylePr w:type="lastCol">
      <w:pPr/>
      <w:tblPr/>
      <w:tcPr>
        <w:tcBorders>
          <w:top w:val="nil"/>
          <w:left w:val="single" w:sz="8" w:space="0" w:color="f79646"/>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fde4d0"/>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65">
    <w:name w:val="Medium Grid 1"/>
    <w:basedOn w:val="style105"/>
    <w:next w:val="style165"/>
    <w:uiPriority w:val="67"/>
    <w:pPr>
      <w:spacing w:after="0" w:lineRule="auto" w:line="240"/>
    </w:pPr>
    <w:r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Pr>
    <w:tblStylePr w:type="firstRow">
      <w:pPr/>
      <w:rPr>
        <w:b/>
        <w:bCs/>
      </w:rPr>
      <w:tcPr>
        <w:tcBorders/>
      </w:tcPr>
    </w:tblStylePr>
    <w:tblStylePr w:type="lastRow">
      <w:pPr/>
      <w:rPr>
        <w:b/>
        <w:bCs/>
      </w:rPr>
      <w:tblPr/>
      <w:tcPr>
        <w:tcBorders>
          <w:top w:val="single" w:sz="18" w:space="0" w:color="404040"/>
        </w:tcBorders>
      </w:tcPr>
    </w:tblStylePr>
    <w:tblStylePr w:type="band1Horz">
      <w:pPr/>
      <w:tblPr/>
      <w:tcPr>
        <w:tcBorders/>
        <w:shd w:val="clear" w:color="auto" w:fill="808080"/>
      </w:tcPr>
    </w:tblStylePr>
    <w:tblStylePr w:type="firstCol">
      <w:pPr/>
      <w:rPr>
        <w:b/>
        <w:bCs/>
      </w:rPr>
      <w:tcPr>
        <w:tcBorders/>
      </w:tcPr>
    </w:tblStylePr>
    <w:tblStylePr w:type="lastCol">
      <w:pPr/>
      <w:rPr>
        <w:b/>
        <w:bCs/>
      </w:rPr>
      <w:tcPr>
        <w:tcBorders/>
      </w:tcPr>
    </w:tblStylePr>
    <w:tblStylePr w:type="band1Vert">
      <w:pPr/>
      <w:tblPr/>
      <w:tcPr>
        <w:tcBorders/>
        <w:shd w:val="clear" w:color="auto" w:fill="808080"/>
      </w:tcPr>
    </w:tblStylePr>
    <w:tcPr>
      <w:tcBorders/>
      <w:shd w:val="clear" w:color="auto" w:fill="c0c0c0"/>
    </w:tcPr>
  </w:style>
  <w:style w:type="table" w:styleId="style183">
    <w:name w:val="Medium Grid 1 Accent 1"/>
    <w:basedOn w:val="style105"/>
    <w:next w:val="style183"/>
    <w:uiPriority w:val="67"/>
    <w:pPr>
      <w:spacing w:after="0" w:lineRule="auto" w:line="240"/>
    </w:pPr>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blStylePr w:type="firstRow">
      <w:pPr/>
      <w:rPr>
        <w:b/>
        <w:bCs/>
      </w:rPr>
      <w:tcPr>
        <w:tcBorders/>
      </w:tcPr>
    </w:tblStylePr>
    <w:tblStylePr w:type="lastRow">
      <w:pPr/>
      <w:rPr>
        <w:b/>
        <w:bCs/>
      </w:rPr>
      <w:tblPr/>
      <w:tcPr>
        <w:tcBorders>
          <w:top w:val="single" w:sz="18" w:space="0" w:color="7ba0cd"/>
        </w:tcBorders>
      </w:tcPr>
    </w:tblStylePr>
    <w:tblStylePr w:type="band1Horz">
      <w:pPr/>
      <w:tblPr/>
      <w:tcPr>
        <w:tcBorders/>
        <w:shd w:val="clear" w:color="auto" w:fill="a7bfde"/>
      </w:tcPr>
    </w:tblStylePr>
    <w:tblStylePr w:type="firstCol">
      <w:pPr/>
      <w:rPr>
        <w:b/>
        <w:bCs/>
      </w:rPr>
      <w:tcPr>
        <w:tcBorders/>
      </w:tcPr>
    </w:tblStylePr>
    <w:tblStylePr w:type="lastCol">
      <w:pPr/>
      <w:rPr>
        <w:b/>
        <w:bCs/>
      </w:rPr>
      <w:tcPr>
        <w:tcBorders/>
      </w:tcPr>
    </w:tblStylePr>
    <w:tblStylePr w:type="band1Vert">
      <w:pPr/>
      <w:tblPr/>
      <w:tcPr>
        <w:tcBorders/>
        <w:shd w:val="clear" w:color="auto" w:fill="a7bfde"/>
      </w:tcPr>
    </w:tblStylePr>
    <w:tcPr>
      <w:tcBorders/>
      <w:shd w:val="clear" w:color="auto" w:fill="d3dfee"/>
    </w:tcPr>
  </w:style>
  <w:style w:type="table" w:styleId="style197">
    <w:name w:val="Medium Grid 1 Accent 2"/>
    <w:basedOn w:val="style105"/>
    <w:next w:val="style197"/>
    <w:uiPriority w:val="67"/>
    <w:pPr>
      <w:spacing w:after="0" w:lineRule="auto" w:line="240"/>
    </w:pPr>
    <w:r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Pr>
    <w:tblStylePr w:type="firstRow">
      <w:pPr/>
      <w:rPr>
        <w:b/>
        <w:bCs/>
      </w:rPr>
      <w:tcPr>
        <w:tcBorders/>
      </w:tcPr>
    </w:tblStylePr>
    <w:tblStylePr w:type="lastRow">
      <w:pPr/>
      <w:rPr>
        <w:b/>
        <w:bCs/>
      </w:rPr>
      <w:tblPr/>
      <w:tcPr>
        <w:tcBorders>
          <w:top w:val="single" w:sz="18" w:space="0" w:color="cf7b79"/>
        </w:tcBorders>
      </w:tcPr>
    </w:tblStylePr>
    <w:tblStylePr w:type="band1Horz">
      <w:pPr/>
      <w:tblPr/>
      <w:tcPr>
        <w:tcBorders/>
        <w:shd w:val="clear" w:color="auto" w:fill="dfa7a6"/>
      </w:tcPr>
    </w:tblStylePr>
    <w:tblStylePr w:type="firstCol">
      <w:pPr/>
      <w:rPr>
        <w:b/>
        <w:bCs/>
      </w:rPr>
      <w:tcPr>
        <w:tcBorders/>
      </w:tcPr>
    </w:tblStylePr>
    <w:tblStylePr w:type="lastCol">
      <w:pPr/>
      <w:rPr>
        <w:b/>
        <w:bCs/>
      </w:rPr>
      <w:tcPr>
        <w:tcBorders/>
      </w:tcPr>
    </w:tblStylePr>
    <w:tblStylePr w:type="band1Vert">
      <w:pPr/>
      <w:tblPr/>
      <w:tcPr>
        <w:tcBorders/>
        <w:shd w:val="clear" w:color="auto" w:fill="dfa7a6"/>
      </w:tcPr>
    </w:tblStylePr>
    <w:tcPr>
      <w:tcBorders/>
      <w:shd w:val="clear" w:color="auto" w:fill="efd3d2"/>
    </w:tcPr>
  </w:style>
  <w:style w:type="table" w:styleId="style211">
    <w:name w:val="Medium Grid 1 Accent 3"/>
    <w:basedOn w:val="style105"/>
    <w:next w:val="style211"/>
    <w:uiPriority w:val="67"/>
    <w:pPr>
      <w:spacing w:after="0" w:lineRule="auto" w:line="240"/>
    </w:pPr>
    <w:r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blStylePr w:type="firstRow">
      <w:pPr/>
      <w:rPr>
        <w:b/>
        <w:bCs/>
      </w:rPr>
      <w:tcPr>
        <w:tcBorders/>
      </w:tcPr>
    </w:tblStylePr>
    <w:tblStylePr w:type="lastRow">
      <w:pPr/>
      <w:rPr>
        <w:b/>
        <w:bCs/>
      </w:rPr>
      <w:tblPr/>
      <w:tcPr>
        <w:tcBorders>
          <w:top w:val="single" w:sz="18" w:space="0" w:color="b3cc82"/>
        </w:tcBorders>
      </w:tcPr>
    </w:tblStylePr>
    <w:tblStylePr w:type="band1Horz">
      <w:pPr/>
      <w:tblPr/>
      <w:tcPr>
        <w:tcBorders/>
        <w:shd w:val="clear" w:color="auto" w:fill="cdddac"/>
      </w:tcPr>
    </w:tblStylePr>
    <w:tblStylePr w:type="firstCol">
      <w:pPr/>
      <w:rPr>
        <w:b/>
        <w:bCs/>
      </w:rPr>
      <w:tcPr>
        <w:tcBorders/>
      </w:tcPr>
    </w:tblStylePr>
    <w:tblStylePr w:type="lastCol">
      <w:pPr/>
      <w:rPr>
        <w:b/>
        <w:bCs/>
      </w:rPr>
      <w:tcPr>
        <w:tcBorders/>
      </w:tcPr>
    </w:tblStylePr>
    <w:tblStylePr w:type="band1Vert">
      <w:pPr/>
      <w:tblPr/>
      <w:tcPr>
        <w:tcBorders/>
        <w:shd w:val="clear" w:color="auto" w:fill="cdddac"/>
      </w:tcPr>
    </w:tblStylePr>
    <w:tcPr>
      <w:tcBorders/>
      <w:shd w:val="clear" w:color="auto" w:fill="e6eed5"/>
    </w:tcPr>
  </w:style>
  <w:style w:type="table" w:styleId="style225">
    <w:name w:val="Medium Grid 1 Accent 4"/>
    <w:basedOn w:val="style105"/>
    <w:next w:val="style225"/>
    <w:uiPriority w:val="67"/>
    <w:pPr>
      <w:spacing w:after="0" w:lineRule="auto" w:line="240"/>
    </w:pPr>
    <w:r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blStylePr w:type="firstRow">
      <w:pPr/>
      <w:rPr>
        <w:b/>
        <w:bCs/>
      </w:rPr>
      <w:tcPr>
        <w:tcBorders/>
      </w:tcPr>
    </w:tblStylePr>
    <w:tblStylePr w:type="lastRow">
      <w:pPr/>
      <w:rPr>
        <w:b/>
        <w:bCs/>
      </w:rPr>
      <w:tblPr/>
      <w:tcPr>
        <w:tcBorders>
          <w:top w:val="single" w:sz="18" w:space="0" w:color="9f8ab9"/>
        </w:tcBorders>
      </w:tcPr>
    </w:tblStylePr>
    <w:tblStylePr w:type="band1Horz">
      <w:pPr/>
      <w:tblPr/>
      <w:tcPr>
        <w:tcBorders/>
        <w:shd w:val="clear" w:color="auto" w:fill="bfb1d0"/>
      </w:tcPr>
    </w:tblStylePr>
    <w:tblStylePr w:type="firstCol">
      <w:pPr/>
      <w:rPr>
        <w:b/>
        <w:bCs/>
      </w:rPr>
      <w:tcPr>
        <w:tcBorders/>
      </w:tcPr>
    </w:tblStylePr>
    <w:tblStylePr w:type="lastCol">
      <w:pPr/>
      <w:rPr>
        <w:b/>
        <w:bCs/>
      </w:rPr>
      <w:tcPr>
        <w:tcBorders/>
      </w:tcPr>
    </w:tblStylePr>
    <w:tblStylePr w:type="band1Vert">
      <w:pPr/>
      <w:tblPr/>
      <w:tcPr>
        <w:tcBorders/>
        <w:shd w:val="clear" w:color="auto" w:fill="bfb1d0"/>
      </w:tcPr>
    </w:tblStylePr>
    <w:tcPr>
      <w:tcBorders/>
      <w:shd w:val="clear" w:color="auto" w:fill="dfd8e8"/>
    </w:tcPr>
  </w:style>
  <w:style w:type="table" w:styleId="style239">
    <w:name w:val="Medium Grid 1 Accent 5"/>
    <w:basedOn w:val="style105"/>
    <w:next w:val="style239"/>
    <w:uiPriority w:val="67"/>
    <w:pPr>
      <w:spacing w:after="0" w:lineRule="auto" w:line="240"/>
    </w:pPr>
    <w:r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Pr>
    <w:tblStylePr w:type="firstRow">
      <w:pPr/>
      <w:rPr>
        <w:b/>
        <w:bCs/>
      </w:rPr>
      <w:tcPr>
        <w:tcBorders/>
      </w:tcPr>
    </w:tblStylePr>
    <w:tblStylePr w:type="lastRow">
      <w:pPr/>
      <w:rPr>
        <w:b/>
        <w:bCs/>
      </w:rPr>
      <w:tblPr/>
      <w:tcPr>
        <w:tcBorders>
          <w:top w:val="single" w:sz="18" w:space="0" w:color="78c0d4"/>
        </w:tcBorders>
      </w:tcPr>
    </w:tblStylePr>
    <w:tblStylePr w:type="band1Horz">
      <w:pPr/>
      <w:tblPr/>
      <w:tcPr>
        <w:tcBorders/>
        <w:shd w:val="clear" w:color="auto" w:fill="a5d5e2"/>
      </w:tcPr>
    </w:tblStylePr>
    <w:tblStylePr w:type="firstCol">
      <w:pPr/>
      <w:rPr>
        <w:b/>
        <w:bCs/>
      </w:rPr>
      <w:tcPr>
        <w:tcBorders/>
      </w:tcPr>
    </w:tblStylePr>
    <w:tblStylePr w:type="lastCol">
      <w:pPr/>
      <w:rPr>
        <w:b/>
        <w:bCs/>
      </w:rPr>
      <w:tcPr>
        <w:tcBorders/>
      </w:tcPr>
    </w:tblStylePr>
    <w:tblStylePr w:type="band1Vert">
      <w:pPr/>
      <w:tblPr/>
      <w:tcPr>
        <w:tcBorders/>
        <w:shd w:val="clear" w:color="auto" w:fill="a5d5e2"/>
      </w:tcPr>
    </w:tblStylePr>
    <w:tcPr>
      <w:tcBorders/>
      <w:shd w:val="clear" w:color="auto" w:fill="d2eaf1"/>
    </w:tcPr>
  </w:style>
  <w:style w:type="table" w:styleId="style253">
    <w:name w:val="Medium Grid 1 Accent 6"/>
    <w:basedOn w:val="style105"/>
    <w:next w:val="style253"/>
    <w:uiPriority w:val="67"/>
    <w:pPr>
      <w:spacing w:after="0" w:lineRule="auto" w:line="240"/>
    </w:pPr>
    <w:r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Pr>
    <w:tblStylePr w:type="firstRow">
      <w:pPr/>
      <w:rPr>
        <w:b/>
        <w:bCs/>
      </w:rPr>
      <w:tcPr>
        <w:tcBorders/>
      </w:tcPr>
    </w:tblStylePr>
    <w:tblStylePr w:type="lastRow">
      <w:pPr/>
      <w:rPr>
        <w:b/>
        <w:bCs/>
      </w:rPr>
      <w:tblPr/>
      <w:tcPr>
        <w:tcBorders>
          <w:top w:val="single" w:sz="18" w:space="0" w:color="f9b074"/>
        </w:tcBorders>
      </w:tcPr>
    </w:tblStylePr>
    <w:tblStylePr w:type="band1Horz">
      <w:pPr/>
      <w:tblPr/>
      <w:tcPr>
        <w:tcBorders/>
        <w:shd w:val="clear" w:color="auto" w:fill="fbcaa2"/>
      </w:tcPr>
    </w:tblStylePr>
    <w:tblStylePr w:type="firstCol">
      <w:pPr/>
      <w:rPr>
        <w:b/>
        <w:bCs/>
      </w:rPr>
      <w:tcPr>
        <w:tcBorders/>
      </w:tcPr>
    </w:tblStylePr>
    <w:tblStylePr w:type="lastCol">
      <w:pPr/>
      <w:rPr>
        <w:b/>
        <w:bCs/>
      </w:rPr>
      <w:tcPr>
        <w:tcBorders/>
      </w:tcPr>
    </w:tblStylePr>
    <w:tblStylePr w:type="band1Vert">
      <w:pPr/>
      <w:tblPr/>
      <w:tcPr>
        <w:tcBorders/>
        <w:shd w:val="clear" w:color="auto" w:fill="fbcaa2"/>
      </w:tcPr>
    </w:tblStylePr>
    <w:tcPr>
      <w:tcBorders/>
      <w:shd w:val="clear" w:color="auto" w:fill="fde4d0"/>
    </w:tcPr>
  </w:style>
  <w:style w:type="table" w:styleId="style166">
    <w:name w:val="Medium Grid 2"/>
    <w:basedOn w:val="style105"/>
    <w:next w:val="style166"/>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Pr>
    <w:tblStylePr w:type="firstRow">
      <w:pPr/>
      <w:rPr>
        <w:b/>
        <w:bCs/>
        <w:color w:val="000000"/>
      </w:rPr>
      <w:tblPr/>
      <w:tcPr>
        <w:tcBorders/>
        <w:shd w:val="clear" w:color="auto" w:fill="e6e6e6"/>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000000"/>
          <w:insideV w:val="single" w:sz="6" w:space="0" w:color="000000"/>
        </w:tcBorders>
        <w:shd w:val="clear" w:color="auto" w:fill="808080"/>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cccccc"/>
      </w:tcPr>
    </w:tblStylePr>
    <w:tblStylePr w:type="band1Vert">
      <w:pPr/>
      <w:tblPr/>
      <w:tcPr>
        <w:tcBorders/>
        <w:shd w:val="clear" w:color="auto" w:fill="808080"/>
      </w:tcPr>
    </w:tblStylePr>
    <w:tblStylePr w:type="nwCell">
      <w:pPr/>
      <w:tblPr/>
      <w:tcPr>
        <w:tcBorders/>
        <w:shd w:val="clear" w:color="auto" w:fill="ffffff"/>
      </w:tcPr>
    </w:tblStylePr>
    <w:tcPr>
      <w:tcBorders/>
      <w:shd w:val="clear" w:color="auto" w:fill="c0c0c0"/>
    </w:tcPr>
  </w:style>
  <w:style w:type="table" w:styleId="style184">
    <w:name w:val="Medium Grid 2 Accent 1"/>
    <w:basedOn w:val="style105"/>
    <w:next w:val="style184"/>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blStylePr w:type="firstRow">
      <w:pPr/>
      <w:rPr>
        <w:b/>
        <w:bCs/>
        <w:color w:val="000000"/>
      </w:rPr>
      <w:tblPr/>
      <w:tcPr>
        <w:tcBorders/>
        <w:shd w:val="clear" w:color="auto" w:fill="edf2f8"/>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4f81bd"/>
          <w:insideV w:val="single" w:sz="6" w:space="0" w:color="4f81bd"/>
        </w:tcBorders>
        <w:shd w:val="clear" w:color="auto" w:fill="a7bfde"/>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dbe5f1"/>
      </w:tcPr>
    </w:tblStylePr>
    <w:tblStylePr w:type="band1Vert">
      <w:pPr/>
      <w:tblPr/>
      <w:tcPr>
        <w:tcBorders/>
        <w:shd w:val="clear" w:color="auto" w:fill="a7bfde"/>
      </w:tcPr>
    </w:tblStylePr>
    <w:tblStylePr w:type="nwCell">
      <w:pPr/>
      <w:tblPr/>
      <w:tcPr>
        <w:tcBorders/>
        <w:shd w:val="clear" w:color="auto" w:fill="ffffff"/>
      </w:tcPr>
    </w:tblStylePr>
    <w:tcPr>
      <w:tcBorders/>
      <w:shd w:val="clear" w:color="auto" w:fill="d3dfee"/>
    </w:tcPr>
  </w:style>
  <w:style w:type="table" w:styleId="style198">
    <w:name w:val="Medium Grid 2 Accent 2"/>
    <w:basedOn w:val="style105"/>
    <w:next w:val="style198"/>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Pr>
    <w:tblStylePr w:type="firstRow">
      <w:pPr/>
      <w:rPr>
        <w:b/>
        <w:bCs/>
        <w:color w:val="000000"/>
      </w:rPr>
      <w:tblPr/>
      <w:tcPr>
        <w:tcBorders/>
        <w:shd w:val="clear" w:color="auto" w:fill="f8eded"/>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c0504d"/>
          <w:insideV w:val="single" w:sz="6" w:space="0" w:color="c0504d"/>
        </w:tcBorders>
        <w:shd w:val="clear" w:color="auto" w:fill="dfa7a6"/>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f2dbdb"/>
      </w:tcPr>
    </w:tblStylePr>
    <w:tblStylePr w:type="band1Vert">
      <w:pPr/>
      <w:tblPr/>
      <w:tcPr>
        <w:tcBorders/>
        <w:shd w:val="clear" w:color="auto" w:fill="dfa7a6"/>
      </w:tcPr>
    </w:tblStylePr>
    <w:tblStylePr w:type="nwCell">
      <w:pPr/>
      <w:tblPr/>
      <w:tcPr>
        <w:tcBorders/>
        <w:shd w:val="clear" w:color="auto" w:fill="ffffff"/>
      </w:tcPr>
    </w:tblStylePr>
    <w:tcPr>
      <w:tcBorders/>
      <w:shd w:val="clear" w:color="auto" w:fill="efd3d2"/>
    </w:tcPr>
  </w:style>
  <w:style w:type="table" w:styleId="style212">
    <w:name w:val="Medium Grid 2 Accent 3"/>
    <w:basedOn w:val="style105"/>
    <w:next w:val="style212"/>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blStylePr w:type="firstRow">
      <w:pPr/>
      <w:rPr>
        <w:b/>
        <w:bCs/>
        <w:color w:val="000000"/>
      </w:rPr>
      <w:tblPr/>
      <w:tcPr>
        <w:tcBorders/>
        <w:shd w:val="clear" w:color="auto" w:fill="f5f8ee"/>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9bbb59"/>
          <w:insideV w:val="single" w:sz="6" w:space="0" w:color="9bbb59"/>
        </w:tcBorders>
        <w:shd w:val="clear" w:color="auto" w:fill="cdddac"/>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eaf1dd"/>
      </w:tcPr>
    </w:tblStylePr>
    <w:tblStylePr w:type="band1Vert">
      <w:pPr/>
      <w:tblPr/>
      <w:tcPr>
        <w:tcBorders/>
        <w:shd w:val="clear" w:color="auto" w:fill="cdddac"/>
      </w:tcPr>
    </w:tblStylePr>
    <w:tblStylePr w:type="nwCell">
      <w:pPr/>
      <w:tblPr/>
      <w:tcPr>
        <w:tcBorders/>
        <w:shd w:val="clear" w:color="auto" w:fill="ffffff"/>
      </w:tcPr>
    </w:tblStylePr>
    <w:tcPr>
      <w:tcBorders/>
      <w:shd w:val="clear" w:color="auto" w:fill="e6eed5"/>
    </w:tcPr>
  </w:style>
  <w:style w:type="table" w:styleId="style226">
    <w:name w:val="Medium Grid 2 Accent 4"/>
    <w:basedOn w:val="style105"/>
    <w:next w:val="style226"/>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blStylePr w:type="firstRow">
      <w:pPr/>
      <w:rPr>
        <w:b/>
        <w:bCs/>
        <w:color w:val="000000"/>
      </w:rPr>
      <w:tblPr/>
      <w:tcPr>
        <w:tcBorders/>
        <w:shd w:val="clear" w:color="auto" w:fill="f2eff6"/>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8064a2"/>
          <w:insideV w:val="single" w:sz="6" w:space="0" w:color="8064a2"/>
        </w:tcBorders>
        <w:shd w:val="clear" w:color="auto" w:fill="bfb1d0"/>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e5dfec"/>
      </w:tcPr>
    </w:tblStylePr>
    <w:tblStylePr w:type="band1Vert">
      <w:pPr/>
      <w:tblPr/>
      <w:tcPr>
        <w:tcBorders/>
        <w:shd w:val="clear" w:color="auto" w:fill="bfb1d0"/>
      </w:tcPr>
    </w:tblStylePr>
    <w:tblStylePr w:type="nwCell">
      <w:pPr/>
      <w:tblPr/>
      <w:tcPr>
        <w:tcBorders/>
        <w:shd w:val="clear" w:color="auto" w:fill="ffffff"/>
      </w:tcPr>
    </w:tblStylePr>
    <w:tcPr>
      <w:tcBorders/>
      <w:shd w:val="clear" w:color="auto" w:fill="dfd8e8"/>
    </w:tcPr>
  </w:style>
  <w:style w:type="table" w:styleId="style240">
    <w:name w:val="Medium Grid 2 Accent 5"/>
    <w:basedOn w:val="style105"/>
    <w:next w:val="style240"/>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Pr>
    <w:tblStylePr w:type="firstRow">
      <w:pPr/>
      <w:rPr>
        <w:b/>
        <w:bCs/>
        <w:color w:val="000000"/>
      </w:rPr>
      <w:tblPr/>
      <w:tcPr>
        <w:tcBorders/>
        <w:shd w:val="clear" w:color="auto" w:fill="edf6f9"/>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4bacc6"/>
          <w:insideV w:val="single" w:sz="6" w:space="0" w:color="4bacc6"/>
        </w:tcBorders>
        <w:shd w:val="clear" w:color="auto" w:fill="a5d5e2"/>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daeef3"/>
      </w:tcPr>
    </w:tblStylePr>
    <w:tblStylePr w:type="band1Vert">
      <w:pPr/>
      <w:tblPr/>
      <w:tcPr>
        <w:tcBorders/>
        <w:shd w:val="clear" w:color="auto" w:fill="a5d5e2"/>
      </w:tcPr>
    </w:tblStylePr>
    <w:tblStylePr w:type="nwCell">
      <w:pPr/>
      <w:tblPr/>
      <w:tcPr>
        <w:tcBorders/>
        <w:shd w:val="clear" w:color="auto" w:fill="ffffff"/>
      </w:tcPr>
    </w:tblStylePr>
    <w:tcPr>
      <w:tcBorders/>
      <w:shd w:val="clear" w:color="auto" w:fill="d2eaf1"/>
    </w:tcPr>
  </w:style>
  <w:style w:type="table" w:styleId="style254">
    <w:name w:val="Medium Grid 2 Accent 6"/>
    <w:basedOn w:val="style105"/>
    <w:next w:val="style254"/>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Pr>
    <w:tblStylePr w:type="firstRow">
      <w:pPr/>
      <w:rPr>
        <w:b/>
        <w:bCs/>
        <w:color w:val="000000"/>
      </w:rPr>
      <w:tblPr/>
      <w:tcPr>
        <w:tcBorders/>
        <w:shd w:val="clear" w:color="auto" w:fill="fef4ec"/>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f79646"/>
          <w:insideV w:val="single" w:sz="6" w:space="0" w:color="f79646"/>
        </w:tcBorders>
        <w:shd w:val="clear" w:color="auto" w:fill="fbcaa2"/>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fde9d9"/>
      </w:tcPr>
    </w:tblStylePr>
    <w:tblStylePr w:type="band1Vert">
      <w:pPr/>
      <w:tblPr/>
      <w:tcPr>
        <w:tcBorders/>
        <w:shd w:val="clear" w:color="auto" w:fill="fbcaa2"/>
      </w:tcPr>
    </w:tblStylePr>
    <w:tblStylePr w:type="nwCell">
      <w:pPr/>
      <w:tblPr/>
      <w:tcPr>
        <w:tcBorders/>
        <w:shd w:val="clear" w:color="auto" w:fill="ffffff"/>
      </w:tcPr>
    </w:tblStylePr>
    <w:tcPr>
      <w:tcBorders/>
      <w:shd w:val="clear" w:color="auto" w:fill="fde4d0"/>
    </w:tcPr>
  </w:style>
  <w:style w:type="table" w:styleId="style167">
    <w:name w:val="Medium Grid 3"/>
    <w:basedOn w:val="style105"/>
    <w:next w:val="style167"/>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000000"/>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000000"/>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cPr>
      <w:tcBorders/>
      <w:shd w:val="clear" w:color="auto" w:fill="c0c0c0"/>
    </w:tcPr>
  </w:style>
  <w:style w:type="table" w:styleId="style185">
    <w:name w:val="Medium Grid 3 Accent 1"/>
    <w:basedOn w:val="style105"/>
    <w:next w:val="style185"/>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4f81bd"/>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4f81bd"/>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cPr>
      <w:tcBorders/>
      <w:shd w:val="clear" w:color="auto" w:fill="d3dfee"/>
    </w:tcPr>
  </w:style>
  <w:style w:type="table" w:styleId="style199">
    <w:name w:val="Medium Grid 3 Accent 2"/>
    <w:basedOn w:val="style105"/>
    <w:next w:val="style199"/>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0504d"/>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0504d"/>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a7a6"/>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c0504d"/>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c0504d"/>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cPr>
      <w:tcBorders/>
      <w:shd w:val="clear" w:color="auto" w:fill="efd3d2"/>
    </w:tcPr>
  </w:style>
  <w:style w:type="table" w:styleId="style213">
    <w:name w:val="Medium Grid 3 Accent 3"/>
    <w:basedOn w:val="style105"/>
    <w:next w:val="style213"/>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9bbb59"/>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9bbb59"/>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cdddac"/>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9bbb59"/>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9bbb59"/>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cPr>
      <w:tcBorders/>
      <w:shd w:val="clear" w:color="auto" w:fill="e6eed5"/>
    </w:tcPr>
  </w:style>
  <w:style w:type="table" w:styleId="style227">
    <w:name w:val="Medium Grid 3 Accent 4"/>
    <w:basedOn w:val="style105"/>
    <w:next w:val="style227"/>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64a2"/>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64a2"/>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1d0"/>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8064a2"/>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8064a2"/>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cPr>
      <w:tcBorders/>
      <w:shd w:val="clear" w:color="auto" w:fill="dfd8e8"/>
    </w:tcPr>
  </w:style>
  <w:style w:type="table" w:styleId="style241">
    <w:name w:val="Medium Grid 3 Accent 5"/>
    <w:basedOn w:val="style105"/>
    <w:next w:val="style241"/>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4bacc6"/>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4bacc6"/>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cPr>
      <w:tcBorders/>
      <w:shd w:val="clear" w:color="auto" w:fill="d2eaf1"/>
    </w:tcPr>
  </w:style>
  <w:style w:type="table" w:styleId="style255">
    <w:name w:val="Medium Grid 3 Accent 6"/>
    <w:basedOn w:val="style105"/>
    <w:next w:val="style255"/>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f79646"/>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f79646"/>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cPr>
      <w:tcBorders/>
      <w:shd w:val="clear" w:color="auto" w:fill="fde4d0"/>
    </w:tcPr>
  </w:style>
  <w:style w:type="table" w:styleId="style168">
    <w:name w:val="Dark List"/>
    <w:basedOn w:val="style105"/>
    <w:next w:val="style168"/>
    <w:uiPriority w:val="70"/>
    <w:pPr>
      <w:spacing w:after="0" w:lineRule="auto" w:line="240"/>
    </w:pPr>
    <w:rPr>
      <w:color w:val="ffffff"/>
    </w:rPr>
    <w:tblPr>
      <w:tblStyleRowBandSize w:val="1"/>
      <w:tblStyleColBandSize w:val="1"/>
      <w:shd w:val="clear" w:color="auto" w:fill="000000"/>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000000"/>
      </w:tcPr>
    </w:tblStylePr>
    <w:tblStylePr w:type="band1Horz">
      <w:pPr/>
      <w:tblPr/>
      <w:tcPr>
        <w:tcBorders>
          <w:top w:val="nil"/>
          <w:left w:val="nil"/>
          <w:bottom w:val="nil"/>
          <w:right w:val="nil"/>
          <w:insideH w:val="nil"/>
          <w:insideV w:val="nil"/>
        </w:tcBorders>
        <w:shd w:val="clear" w:color="auto" w:fill="000000"/>
      </w:tcPr>
    </w:tblStylePr>
    <w:tblStylePr w:type="firstCol">
      <w:pPr/>
      <w:tblPr/>
      <w:tcPr>
        <w:tcBorders>
          <w:top w:val="nil"/>
          <w:left w:val="nil"/>
          <w:bottom w:val="nil"/>
          <w:right w:val="single" w:sz="18" w:space="0" w:color="ffffff"/>
          <w:insideH w:val="nil"/>
          <w:insideV w:val="nil"/>
        </w:tcBorders>
        <w:shd w:val="clear" w:color="auto" w:fill="000000"/>
      </w:tcPr>
    </w:tblStylePr>
    <w:tblStylePr w:type="lastCol">
      <w:pPr/>
      <w:tblPr/>
      <w:tcPr>
        <w:tcBorders>
          <w:top w:val="nil"/>
          <w:left w:val="single" w:sz="18" w:space="0" w:color="ffffff"/>
          <w:bottom w:val="nil"/>
          <w:right w:val="nil"/>
          <w:insideH w:val="nil"/>
          <w:insideV w:val="nil"/>
        </w:tcBorders>
        <w:shd w:val="clear" w:color="auto" w:fill="000000"/>
      </w:tcPr>
    </w:tblStylePr>
    <w:tblStylePr w:type="band1Vert">
      <w:pPr/>
      <w:tblPr/>
      <w:tcPr>
        <w:tcBorders>
          <w:top w:val="nil"/>
          <w:left w:val="nil"/>
          <w:bottom w:val="nil"/>
          <w:right w:val="nil"/>
          <w:insideH w:val="nil"/>
          <w:insideV w:val="nil"/>
        </w:tcBorders>
        <w:shd w:val="clear" w:color="auto" w:fill="000000"/>
      </w:tcPr>
    </w:tblStylePr>
    <w:tcPr>
      <w:tcBorders/>
      <w:shd w:val="clear" w:color="auto" w:fill="000000"/>
    </w:tcPr>
  </w:style>
  <w:style w:type="table" w:styleId="style186">
    <w:name w:val="Dark List Accent 1"/>
    <w:basedOn w:val="style105"/>
    <w:next w:val="style186"/>
    <w:uiPriority w:val="70"/>
    <w:pPr>
      <w:spacing w:after="0" w:lineRule="auto" w:line="240"/>
    </w:pPr>
    <w:rPr>
      <w:color w:val="ffffff"/>
    </w:rPr>
    <w:tblPr>
      <w:tblStyleRowBandSize w:val="1"/>
      <w:tblStyleColBandSize w:val="1"/>
      <w:shd w:val="clear" w:color="auto" w:fill="4f81bd"/>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243f60"/>
      </w:tcPr>
    </w:tblStylePr>
    <w:tblStylePr w:type="band1Horz">
      <w:pPr/>
      <w:tblPr/>
      <w:tcPr>
        <w:tcBorders>
          <w:top w:val="nil"/>
          <w:left w:val="nil"/>
          <w:bottom w:val="nil"/>
          <w:right w:val="nil"/>
          <w:insideH w:val="nil"/>
          <w:insideV w:val="nil"/>
        </w:tcBorders>
        <w:shd w:val="clear" w:color="auto" w:fill="365f91"/>
      </w:tcPr>
    </w:tblStylePr>
    <w:tblStylePr w:type="firstCol">
      <w:pPr/>
      <w:tblPr/>
      <w:tcPr>
        <w:tcBorders>
          <w:top w:val="nil"/>
          <w:left w:val="nil"/>
          <w:bottom w:val="nil"/>
          <w:right w:val="single" w:sz="18" w:space="0" w:color="ffffff"/>
          <w:insideH w:val="nil"/>
          <w:insideV w:val="nil"/>
        </w:tcBorders>
        <w:shd w:val="clear" w:color="auto" w:fill="365f91"/>
      </w:tcPr>
    </w:tblStylePr>
    <w:tblStylePr w:type="lastCol">
      <w:pPr/>
      <w:tblPr/>
      <w:tcPr>
        <w:tcBorders>
          <w:top w:val="nil"/>
          <w:left w:val="single" w:sz="18" w:space="0" w:color="ffffff"/>
          <w:bottom w:val="nil"/>
          <w:right w:val="nil"/>
          <w:insideH w:val="nil"/>
          <w:insideV w:val="nil"/>
        </w:tcBorders>
        <w:shd w:val="clear" w:color="auto" w:fill="365f91"/>
      </w:tcPr>
    </w:tblStylePr>
    <w:tblStylePr w:type="band1Vert">
      <w:pPr/>
      <w:tblPr/>
      <w:tcPr>
        <w:tcBorders>
          <w:top w:val="nil"/>
          <w:left w:val="nil"/>
          <w:bottom w:val="nil"/>
          <w:right w:val="nil"/>
          <w:insideH w:val="nil"/>
          <w:insideV w:val="nil"/>
        </w:tcBorders>
        <w:shd w:val="clear" w:color="auto" w:fill="365f91"/>
      </w:tcPr>
    </w:tblStylePr>
    <w:tcPr>
      <w:tcBorders/>
      <w:shd w:val="clear" w:color="auto" w:fill="4f81bd"/>
    </w:tcPr>
  </w:style>
  <w:style w:type="table" w:styleId="style200">
    <w:name w:val="Dark List Accent 2"/>
    <w:basedOn w:val="style105"/>
    <w:next w:val="style200"/>
    <w:uiPriority w:val="70"/>
    <w:pPr>
      <w:spacing w:after="0" w:lineRule="auto" w:line="240"/>
    </w:pPr>
    <w:rPr>
      <w:color w:val="ffffff"/>
    </w:rPr>
    <w:tblPr>
      <w:tblStyleRowBandSize w:val="1"/>
      <w:tblStyleColBandSize w:val="1"/>
      <w:shd w:val="clear" w:color="auto" w:fill="c0504d"/>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622423"/>
      </w:tcPr>
    </w:tblStylePr>
    <w:tblStylePr w:type="band1Horz">
      <w:pPr/>
      <w:tblPr/>
      <w:tcPr>
        <w:tcBorders>
          <w:top w:val="nil"/>
          <w:left w:val="nil"/>
          <w:bottom w:val="nil"/>
          <w:right w:val="nil"/>
          <w:insideH w:val="nil"/>
          <w:insideV w:val="nil"/>
        </w:tcBorders>
        <w:shd w:val="clear" w:color="auto" w:fill="943634"/>
      </w:tcPr>
    </w:tblStylePr>
    <w:tblStylePr w:type="firstCol">
      <w:pPr/>
      <w:tblPr/>
      <w:tcPr>
        <w:tcBorders>
          <w:top w:val="nil"/>
          <w:left w:val="nil"/>
          <w:bottom w:val="nil"/>
          <w:right w:val="single" w:sz="18" w:space="0" w:color="ffffff"/>
          <w:insideH w:val="nil"/>
          <w:insideV w:val="nil"/>
        </w:tcBorders>
        <w:shd w:val="clear" w:color="auto" w:fill="943634"/>
      </w:tcPr>
    </w:tblStylePr>
    <w:tblStylePr w:type="lastCol">
      <w:pPr/>
      <w:tblPr/>
      <w:tcPr>
        <w:tcBorders>
          <w:top w:val="nil"/>
          <w:left w:val="single" w:sz="18" w:space="0" w:color="ffffff"/>
          <w:bottom w:val="nil"/>
          <w:right w:val="nil"/>
          <w:insideH w:val="nil"/>
          <w:insideV w:val="nil"/>
        </w:tcBorders>
        <w:shd w:val="clear" w:color="auto" w:fill="943634"/>
      </w:tcPr>
    </w:tblStylePr>
    <w:tblStylePr w:type="band1Vert">
      <w:pPr/>
      <w:tblPr/>
      <w:tcPr>
        <w:tcBorders>
          <w:top w:val="nil"/>
          <w:left w:val="nil"/>
          <w:bottom w:val="nil"/>
          <w:right w:val="nil"/>
          <w:insideH w:val="nil"/>
          <w:insideV w:val="nil"/>
        </w:tcBorders>
        <w:shd w:val="clear" w:color="auto" w:fill="943634"/>
      </w:tcPr>
    </w:tblStylePr>
    <w:tcPr>
      <w:tcBorders/>
      <w:shd w:val="clear" w:color="auto" w:fill="c0504d"/>
    </w:tcPr>
  </w:style>
  <w:style w:type="table" w:styleId="style214">
    <w:name w:val="Dark List Accent 3"/>
    <w:basedOn w:val="style105"/>
    <w:next w:val="style214"/>
    <w:uiPriority w:val="70"/>
    <w:pPr>
      <w:spacing w:after="0" w:lineRule="auto" w:line="240"/>
    </w:pPr>
    <w:rPr>
      <w:color w:val="ffffff"/>
    </w:rPr>
    <w:tblPr>
      <w:tblStyleRowBandSize w:val="1"/>
      <w:tblStyleColBandSize w:val="1"/>
      <w:shd w:val="clear" w:color="auto" w:fill="9bbb59"/>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4e6128"/>
      </w:tcPr>
    </w:tblStylePr>
    <w:tblStylePr w:type="band1Horz">
      <w:pPr/>
      <w:tblPr/>
      <w:tcPr>
        <w:tcBorders>
          <w:top w:val="nil"/>
          <w:left w:val="nil"/>
          <w:bottom w:val="nil"/>
          <w:right w:val="nil"/>
          <w:insideH w:val="nil"/>
          <w:insideV w:val="nil"/>
        </w:tcBorders>
        <w:shd w:val="clear" w:color="auto" w:fill="76923c"/>
      </w:tcPr>
    </w:tblStylePr>
    <w:tblStylePr w:type="firstCol">
      <w:pPr/>
      <w:tblPr/>
      <w:tcPr>
        <w:tcBorders>
          <w:top w:val="nil"/>
          <w:left w:val="nil"/>
          <w:bottom w:val="nil"/>
          <w:right w:val="single" w:sz="18" w:space="0" w:color="ffffff"/>
          <w:insideH w:val="nil"/>
          <w:insideV w:val="nil"/>
        </w:tcBorders>
        <w:shd w:val="clear" w:color="auto" w:fill="76923c"/>
      </w:tcPr>
    </w:tblStylePr>
    <w:tblStylePr w:type="lastCol">
      <w:pPr/>
      <w:tblPr/>
      <w:tcPr>
        <w:tcBorders>
          <w:top w:val="nil"/>
          <w:left w:val="single" w:sz="18" w:space="0" w:color="ffffff"/>
          <w:bottom w:val="nil"/>
          <w:right w:val="nil"/>
          <w:insideH w:val="nil"/>
          <w:insideV w:val="nil"/>
        </w:tcBorders>
        <w:shd w:val="clear" w:color="auto" w:fill="76923c"/>
      </w:tcPr>
    </w:tblStylePr>
    <w:tblStylePr w:type="band1Vert">
      <w:pPr/>
      <w:tblPr/>
      <w:tcPr>
        <w:tcBorders>
          <w:top w:val="nil"/>
          <w:left w:val="nil"/>
          <w:bottom w:val="nil"/>
          <w:right w:val="nil"/>
          <w:insideH w:val="nil"/>
          <w:insideV w:val="nil"/>
        </w:tcBorders>
        <w:shd w:val="clear" w:color="auto" w:fill="76923c"/>
      </w:tcPr>
    </w:tblStylePr>
    <w:tcPr>
      <w:tcBorders/>
      <w:shd w:val="clear" w:color="auto" w:fill="9bbb59"/>
    </w:tcPr>
  </w:style>
  <w:style w:type="table" w:styleId="style228">
    <w:name w:val="Dark List Accent 4"/>
    <w:basedOn w:val="style105"/>
    <w:next w:val="style228"/>
    <w:uiPriority w:val="70"/>
    <w:pPr>
      <w:spacing w:after="0" w:lineRule="auto" w:line="240"/>
    </w:pPr>
    <w:rPr>
      <w:color w:val="ffffff"/>
    </w:rPr>
    <w:tblPr>
      <w:tblStyleRowBandSize w:val="1"/>
      <w:tblStyleColBandSize w:val="1"/>
      <w:shd w:val="clear" w:color="auto" w:fill="8064a2"/>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3f3151"/>
      </w:tcPr>
    </w:tblStylePr>
    <w:tblStylePr w:type="band1Horz">
      <w:pPr/>
      <w:tblPr/>
      <w:tcPr>
        <w:tcBorders>
          <w:top w:val="nil"/>
          <w:left w:val="nil"/>
          <w:bottom w:val="nil"/>
          <w:right w:val="nil"/>
          <w:insideH w:val="nil"/>
          <w:insideV w:val="nil"/>
        </w:tcBorders>
        <w:shd w:val="clear" w:color="auto" w:fill="5f497a"/>
      </w:tcPr>
    </w:tblStylePr>
    <w:tblStylePr w:type="firstCol">
      <w:pPr/>
      <w:tblPr/>
      <w:tcPr>
        <w:tcBorders>
          <w:top w:val="nil"/>
          <w:left w:val="nil"/>
          <w:bottom w:val="nil"/>
          <w:right w:val="single" w:sz="18" w:space="0" w:color="ffffff"/>
          <w:insideH w:val="nil"/>
          <w:insideV w:val="nil"/>
        </w:tcBorders>
        <w:shd w:val="clear" w:color="auto" w:fill="5f497a"/>
      </w:tcPr>
    </w:tblStylePr>
    <w:tblStylePr w:type="lastCol">
      <w:pPr/>
      <w:tblPr/>
      <w:tcPr>
        <w:tcBorders>
          <w:top w:val="nil"/>
          <w:left w:val="single" w:sz="18" w:space="0" w:color="ffffff"/>
          <w:bottom w:val="nil"/>
          <w:right w:val="nil"/>
          <w:insideH w:val="nil"/>
          <w:insideV w:val="nil"/>
        </w:tcBorders>
        <w:shd w:val="clear" w:color="auto" w:fill="5f497a"/>
      </w:tcPr>
    </w:tblStylePr>
    <w:tblStylePr w:type="band1Vert">
      <w:pPr/>
      <w:tblPr/>
      <w:tcPr>
        <w:tcBorders>
          <w:top w:val="nil"/>
          <w:left w:val="nil"/>
          <w:bottom w:val="nil"/>
          <w:right w:val="nil"/>
          <w:insideH w:val="nil"/>
          <w:insideV w:val="nil"/>
        </w:tcBorders>
        <w:shd w:val="clear" w:color="auto" w:fill="5f497a"/>
      </w:tcPr>
    </w:tblStylePr>
    <w:tcPr>
      <w:tcBorders/>
      <w:shd w:val="clear" w:color="auto" w:fill="8064a2"/>
    </w:tcPr>
  </w:style>
  <w:style w:type="table" w:styleId="style242">
    <w:name w:val="Dark List Accent 5"/>
    <w:basedOn w:val="style105"/>
    <w:next w:val="style242"/>
    <w:uiPriority w:val="70"/>
    <w:pPr>
      <w:spacing w:after="0" w:lineRule="auto" w:line="240"/>
    </w:pPr>
    <w:rPr>
      <w:color w:val="ffffff"/>
    </w:rPr>
    <w:tblPr>
      <w:tblStyleRowBandSize w:val="1"/>
      <w:tblStyleColBandSize w:val="1"/>
      <w:shd w:val="clear" w:color="auto" w:fill="4bacc6"/>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205867"/>
      </w:tcPr>
    </w:tblStylePr>
    <w:tblStylePr w:type="band1Horz">
      <w:pPr/>
      <w:tblPr/>
      <w:tcPr>
        <w:tcBorders>
          <w:top w:val="nil"/>
          <w:left w:val="nil"/>
          <w:bottom w:val="nil"/>
          <w:right w:val="nil"/>
          <w:insideH w:val="nil"/>
          <w:insideV w:val="nil"/>
        </w:tcBorders>
        <w:shd w:val="clear" w:color="auto" w:fill="31849b"/>
      </w:tcPr>
    </w:tblStylePr>
    <w:tblStylePr w:type="firstCol">
      <w:pPr/>
      <w:tblPr/>
      <w:tcPr>
        <w:tcBorders>
          <w:top w:val="nil"/>
          <w:left w:val="nil"/>
          <w:bottom w:val="nil"/>
          <w:right w:val="single" w:sz="18" w:space="0" w:color="ffffff"/>
          <w:insideH w:val="nil"/>
          <w:insideV w:val="nil"/>
        </w:tcBorders>
        <w:shd w:val="clear" w:color="auto" w:fill="31849b"/>
      </w:tcPr>
    </w:tblStylePr>
    <w:tblStylePr w:type="lastCol">
      <w:pPr/>
      <w:tblPr/>
      <w:tcPr>
        <w:tcBorders>
          <w:top w:val="nil"/>
          <w:left w:val="single" w:sz="18" w:space="0" w:color="ffffff"/>
          <w:bottom w:val="nil"/>
          <w:right w:val="nil"/>
          <w:insideH w:val="nil"/>
          <w:insideV w:val="nil"/>
        </w:tcBorders>
        <w:shd w:val="clear" w:color="auto" w:fill="31849b"/>
      </w:tcPr>
    </w:tblStylePr>
    <w:tblStylePr w:type="band1Vert">
      <w:pPr/>
      <w:tblPr/>
      <w:tcPr>
        <w:tcBorders>
          <w:top w:val="nil"/>
          <w:left w:val="nil"/>
          <w:bottom w:val="nil"/>
          <w:right w:val="nil"/>
          <w:insideH w:val="nil"/>
          <w:insideV w:val="nil"/>
        </w:tcBorders>
        <w:shd w:val="clear" w:color="auto" w:fill="31849b"/>
      </w:tcPr>
    </w:tblStylePr>
    <w:tcPr>
      <w:tcBorders/>
      <w:shd w:val="clear" w:color="auto" w:fill="4bacc6"/>
    </w:tcPr>
  </w:style>
  <w:style w:type="table" w:styleId="style256">
    <w:name w:val="Dark List Accent 6"/>
    <w:basedOn w:val="style105"/>
    <w:next w:val="style256"/>
    <w:uiPriority w:val="70"/>
    <w:pPr>
      <w:spacing w:after="0" w:lineRule="auto" w:line="240"/>
    </w:pPr>
    <w:rPr>
      <w:color w:val="ffffff"/>
    </w:rPr>
    <w:tblPr>
      <w:tblStyleRowBandSize w:val="1"/>
      <w:tblStyleColBandSize w:val="1"/>
      <w:shd w:val="clear" w:color="auto" w:fill="f79646"/>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974706"/>
      </w:tcPr>
    </w:tblStylePr>
    <w:tblStylePr w:type="band1Horz">
      <w:pPr/>
      <w:tblPr/>
      <w:tcPr>
        <w:tcBorders>
          <w:top w:val="nil"/>
          <w:left w:val="nil"/>
          <w:bottom w:val="nil"/>
          <w:right w:val="nil"/>
          <w:insideH w:val="nil"/>
          <w:insideV w:val="nil"/>
        </w:tcBorders>
        <w:shd w:val="clear" w:color="auto" w:fill="e36c0a"/>
      </w:tcPr>
    </w:tblStylePr>
    <w:tblStylePr w:type="firstCol">
      <w:pPr/>
      <w:tblPr/>
      <w:tcPr>
        <w:tcBorders>
          <w:top w:val="nil"/>
          <w:left w:val="nil"/>
          <w:bottom w:val="nil"/>
          <w:right w:val="single" w:sz="18" w:space="0" w:color="ffffff"/>
          <w:insideH w:val="nil"/>
          <w:insideV w:val="nil"/>
        </w:tcBorders>
        <w:shd w:val="clear" w:color="auto" w:fill="e36c0a"/>
      </w:tcPr>
    </w:tblStylePr>
    <w:tblStylePr w:type="lastCol">
      <w:pPr/>
      <w:tblPr/>
      <w:tcPr>
        <w:tcBorders>
          <w:top w:val="nil"/>
          <w:left w:val="single" w:sz="18" w:space="0" w:color="ffffff"/>
          <w:bottom w:val="nil"/>
          <w:right w:val="nil"/>
          <w:insideH w:val="nil"/>
          <w:insideV w:val="nil"/>
        </w:tcBorders>
        <w:shd w:val="clear" w:color="auto" w:fill="e36c0a"/>
      </w:tcPr>
    </w:tblStylePr>
    <w:tblStylePr w:type="band1Vert">
      <w:pPr/>
      <w:tblPr/>
      <w:tcPr>
        <w:tcBorders>
          <w:top w:val="nil"/>
          <w:left w:val="nil"/>
          <w:bottom w:val="nil"/>
          <w:right w:val="nil"/>
          <w:insideH w:val="nil"/>
          <w:insideV w:val="nil"/>
        </w:tcBorders>
        <w:shd w:val="clear" w:color="auto" w:fill="e36c0a"/>
      </w:tcPr>
    </w:tblStylePr>
    <w:tcPr>
      <w:tcBorders/>
      <w:shd w:val="clear" w:color="auto" w:fill="f79646"/>
    </w:tcPr>
  </w:style>
  <w:style w:type="table" w:styleId="style169">
    <w:name w:val="Colorful Shading"/>
    <w:basedOn w:val="style105"/>
    <w:next w:val="style169"/>
    <w:uiPriority w:val="71"/>
    <w:pPr>
      <w:spacing w:after="0" w:lineRule="auto" w:line="240"/>
    </w:pPr>
    <w:rPr>
      <w:color w:val="000000"/>
    </w:rPr>
    <w:tblPr>
      <w:tblStyleRowBandSize w:val="1"/>
      <w:tblStyleColBandSize w:val="1"/>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Pr>
    <w:tblStylePr w:type="firstRow">
      <w:pPr/>
      <w:rPr>
        <w:b/>
        <w:bCs/>
      </w:rPr>
      <w:tblPr/>
      <w:tcPr>
        <w:tcBorders>
          <w:top w:val="nil"/>
          <w:left w:val="nil"/>
          <w:bottom w:val="single" w:sz="24" w:space="0" w:color="c0504d"/>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000000"/>
      </w:tcPr>
    </w:tblStylePr>
    <w:tblStylePr w:type="band1Horz">
      <w:pPr/>
      <w:tblPr/>
      <w:tcPr>
        <w:tcBorders/>
        <w:shd w:val="clear" w:color="auto" w:fill="808080"/>
      </w:tcPr>
    </w:tblStylePr>
    <w:tblStylePr w:type="firstCol">
      <w:pPr/>
      <w:rPr>
        <w:color w:val="ffffff"/>
      </w:rPr>
      <w:tblPr/>
      <w:tcPr>
        <w:tcBorders>
          <w:top w:val="nil"/>
          <w:left w:val="nil"/>
          <w:bottom w:val="nil"/>
          <w:right w:val="nil"/>
          <w:insideH w:val="single" w:sz="4" w:space="0" w:color="000000"/>
          <w:insideV w:val="nil"/>
        </w:tcBorders>
        <w:shd w:val="clear" w:color="auto" w:fill="000000"/>
      </w:tcPr>
    </w:tblStylePr>
    <w:tblStylePr w:type="lastCol">
      <w:pPr/>
      <w:rPr>
        <w:color w:val="ffffff"/>
      </w:rPr>
      <w:tblPr/>
      <w:tcPr>
        <w:tcBorders>
          <w:top w:val="nil"/>
          <w:left w:val="nil"/>
          <w:bottom w:val="nil"/>
          <w:right w:val="nil"/>
          <w:insideH w:val="nil"/>
          <w:insideV w:val="nil"/>
        </w:tcBorders>
        <w:shd w:val="clear" w:color="auto" w:fill="000000"/>
      </w:tcPr>
    </w:tblStylePr>
    <w:tblStylePr w:type="band1Vert">
      <w:pPr/>
      <w:tblPr/>
      <w:tcPr>
        <w:tcBorders/>
        <w:shd w:val="clear" w:color="auto" w:fill="999999"/>
      </w:tcPr>
    </w:tblStylePr>
    <w:tblStylePr w:type="neCell">
      <w:pPr/>
      <w:rPr>
        <w:color w:val="000000"/>
      </w:rPr>
      <w:tcPr>
        <w:tcBorders/>
      </w:tcPr>
    </w:tblStylePr>
    <w:tblStylePr w:type="nwCell">
      <w:pPr/>
      <w:rPr>
        <w:color w:val="000000"/>
      </w:rPr>
      <w:tcPr>
        <w:tcBorders/>
      </w:tcPr>
    </w:tblStylePr>
    <w:tcPr>
      <w:tcBorders/>
      <w:shd w:val="clear" w:color="auto" w:fill="e6e6e6"/>
    </w:tcPr>
  </w:style>
  <w:style w:type="table" w:styleId="style187">
    <w:name w:val="Colorful Shading Accent 1"/>
    <w:basedOn w:val="style105"/>
    <w:next w:val="style187"/>
    <w:uiPriority w:val="71"/>
    <w:pPr>
      <w:spacing w:after="0" w:lineRule="auto" w:line="240"/>
    </w:pPr>
    <w:rPr>
      <w:color w:val="000000"/>
    </w:rPr>
    <w:tblPr>
      <w:tblStyleRowBandSize w:val="1"/>
      <w:tblStyleColBandSize w:val="1"/>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blStylePr w:type="firstRow">
      <w:pPr/>
      <w:rPr>
        <w:b/>
        <w:bCs/>
      </w:rPr>
      <w:tblPr/>
      <w:tcPr>
        <w:tcBorders>
          <w:top w:val="nil"/>
          <w:left w:val="nil"/>
          <w:bottom w:val="single" w:sz="24" w:space="0" w:color="c0504d"/>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2c4c74"/>
      </w:tcPr>
    </w:tblStylePr>
    <w:tblStylePr w:type="band1Horz">
      <w:pPr/>
      <w:tblPr/>
      <w:tcPr>
        <w:tcBorders/>
        <w:shd w:val="clear" w:color="auto" w:fill="a7bfde"/>
      </w:tcPr>
    </w:tblStylePr>
    <w:tblStylePr w:type="firstCol">
      <w:pPr/>
      <w:rPr>
        <w:color w:val="ffffff"/>
      </w:rPr>
      <w:tblPr/>
      <w:tcPr>
        <w:tcBorders>
          <w:top w:val="nil"/>
          <w:left w:val="nil"/>
          <w:bottom w:val="nil"/>
          <w:right w:val="nil"/>
          <w:insideH w:val="single" w:sz="4" w:space="0" w:color="2c4c74"/>
          <w:insideV w:val="nil"/>
        </w:tcBorders>
        <w:shd w:val="clear" w:color="auto" w:fill="2c4c74"/>
      </w:tcPr>
    </w:tblStylePr>
    <w:tblStylePr w:type="lastCol">
      <w:pPr/>
      <w:rPr>
        <w:color w:val="ffffff"/>
      </w:rPr>
      <w:tblPr/>
      <w:tcPr>
        <w:tcBorders>
          <w:top w:val="nil"/>
          <w:left w:val="nil"/>
          <w:bottom w:val="nil"/>
          <w:right w:val="nil"/>
          <w:insideH w:val="nil"/>
          <w:insideV w:val="nil"/>
        </w:tcBorders>
        <w:shd w:val="clear" w:color="auto" w:fill="2c4c74"/>
      </w:tcPr>
    </w:tblStylePr>
    <w:tblStylePr w:type="band1Vert">
      <w:pPr/>
      <w:tblPr/>
      <w:tcPr>
        <w:tcBorders/>
        <w:shd w:val="clear" w:color="auto" w:fill="b8cce4"/>
      </w:tcPr>
    </w:tblStylePr>
    <w:tblStylePr w:type="neCell">
      <w:pPr/>
      <w:rPr>
        <w:color w:val="000000"/>
      </w:rPr>
      <w:tcPr>
        <w:tcBorders/>
      </w:tcPr>
    </w:tblStylePr>
    <w:tblStylePr w:type="nwCell">
      <w:pPr/>
      <w:rPr>
        <w:color w:val="000000"/>
      </w:rPr>
      <w:tcPr>
        <w:tcBorders/>
      </w:tcPr>
    </w:tblStylePr>
    <w:tcPr>
      <w:tcBorders/>
      <w:shd w:val="clear" w:color="auto" w:fill="edf2f8"/>
    </w:tcPr>
  </w:style>
  <w:style w:type="table" w:styleId="style201">
    <w:name w:val="Colorful Shading Accent 2"/>
    <w:basedOn w:val="style105"/>
    <w:next w:val="style201"/>
    <w:uiPriority w:val="71"/>
    <w:pPr>
      <w:spacing w:after="0" w:lineRule="auto" w:line="240"/>
    </w:pPr>
    <w:rPr>
      <w:color w:val="000000"/>
    </w:rPr>
    <w:tblPr>
      <w:tblStyleRowBandSize w:val="1"/>
      <w:tblStyleColBandSize w:val="1"/>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blStylePr w:type="firstRow">
      <w:pPr/>
      <w:rPr>
        <w:b/>
        <w:bCs/>
      </w:rPr>
      <w:tblPr/>
      <w:tcPr>
        <w:tcBorders>
          <w:top w:val="nil"/>
          <w:left w:val="nil"/>
          <w:bottom w:val="single" w:sz="24" w:space="0" w:color="c0504d"/>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772c2a"/>
      </w:tcPr>
    </w:tblStylePr>
    <w:tblStylePr w:type="band1Horz">
      <w:pPr/>
      <w:tblPr/>
      <w:tcPr>
        <w:tcBorders/>
        <w:shd w:val="clear" w:color="auto" w:fill="dfa7a6"/>
      </w:tcPr>
    </w:tblStylePr>
    <w:tblStylePr w:type="firstCol">
      <w:pPr/>
      <w:rPr>
        <w:color w:val="ffffff"/>
      </w:rPr>
      <w:tblPr/>
      <w:tcPr>
        <w:tcBorders>
          <w:top w:val="nil"/>
          <w:left w:val="nil"/>
          <w:bottom w:val="nil"/>
          <w:right w:val="nil"/>
          <w:insideH w:val="single" w:sz="4" w:space="0" w:color="772c2a"/>
          <w:insideV w:val="nil"/>
        </w:tcBorders>
        <w:shd w:val="clear" w:color="auto" w:fill="772c2a"/>
      </w:tcPr>
    </w:tblStylePr>
    <w:tblStylePr w:type="lastCol">
      <w:pPr/>
      <w:rPr>
        <w:color w:val="ffffff"/>
      </w:rPr>
      <w:tblPr/>
      <w:tcPr>
        <w:tcBorders>
          <w:top w:val="nil"/>
          <w:left w:val="nil"/>
          <w:bottom w:val="nil"/>
          <w:right w:val="nil"/>
          <w:insideH w:val="nil"/>
          <w:insideV w:val="nil"/>
        </w:tcBorders>
        <w:shd w:val="clear" w:color="auto" w:fill="772c2a"/>
      </w:tcPr>
    </w:tblStylePr>
    <w:tblStylePr w:type="band1Vert">
      <w:pPr/>
      <w:tblPr/>
      <w:tcPr>
        <w:tcBorders/>
        <w:shd w:val="clear" w:color="auto" w:fill="e5b8b7"/>
      </w:tcPr>
    </w:tblStylePr>
    <w:tblStylePr w:type="neCell">
      <w:pPr/>
      <w:rPr>
        <w:color w:val="000000"/>
      </w:rPr>
      <w:tcPr>
        <w:tcBorders/>
      </w:tcPr>
    </w:tblStylePr>
    <w:tblStylePr w:type="nwCell">
      <w:pPr/>
      <w:rPr>
        <w:color w:val="000000"/>
      </w:rPr>
      <w:tcPr>
        <w:tcBorders/>
      </w:tcPr>
    </w:tblStylePr>
    <w:tcPr>
      <w:tcBorders/>
      <w:shd w:val="clear" w:color="auto" w:fill="f8eded"/>
    </w:tcPr>
  </w:style>
  <w:style w:type="table" w:styleId="style215">
    <w:name w:val="Colorful Shading Accent 3"/>
    <w:basedOn w:val="style105"/>
    <w:next w:val="style215"/>
    <w:uiPriority w:val="71"/>
    <w:pPr>
      <w:spacing w:after="0" w:lineRule="auto" w:line="240"/>
    </w:pPr>
    <w:rPr>
      <w:color w:val="000000"/>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blStylePr w:type="firstRow">
      <w:pPr/>
      <w:rPr>
        <w:b/>
        <w:bCs/>
      </w:rPr>
      <w:tblPr/>
      <w:tcPr>
        <w:tcBorders>
          <w:top w:val="nil"/>
          <w:left w:val="nil"/>
          <w:bottom w:val="single" w:sz="24" w:space="0" w:color="8064a2"/>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5e7530"/>
      </w:tcPr>
    </w:tblStylePr>
    <w:tblStylePr w:type="band1Horz">
      <w:pPr/>
      <w:tblPr/>
      <w:tcPr>
        <w:tcBorders/>
        <w:shd w:val="clear" w:color="auto" w:fill="cdddac"/>
      </w:tcPr>
    </w:tblStylePr>
    <w:tblStylePr w:type="firstCol">
      <w:pPr/>
      <w:rPr>
        <w:color w:val="ffffff"/>
      </w:rPr>
      <w:tblPr/>
      <w:tcPr>
        <w:tcBorders>
          <w:top w:val="nil"/>
          <w:left w:val="nil"/>
          <w:bottom w:val="nil"/>
          <w:right w:val="nil"/>
          <w:insideH w:val="single" w:sz="4" w:space="0" w:color="5e7530"/>
          <w:insideV w:val="nil"/>
        </w:tcBorders>
        <w:shd w:val="clear" w:color="auto" w:fill="5e7530"/>
      </w:tcPr>
    </w:tblStylePr>
    <w:tblStylePr w:type="lastCol">
      <w:pPr/>
      <w:rPr>
        <w:color w:val="ffffff"/>
      </w:rPr>
      <w:tblPr/>
      <w:tcPr>
        <w:tcBorders>
          <w:top w:val="nil"/>
          <w:left w:val="nil"/>
          <w:bottom w:val="nil"/>
          <w:right w:val="nil"/>
          <w:insideH w:val="nil"/>
          <w:insideV w:val="nil"/>
        </w:tcBorders>
        <w:shd w:val="clear" w:color="auto" w:fill="5e7530"/>
      </w:tcPr>
    </w:tblStylePr>
    <w:tblStylePr w:type="band1Vert">
      <w:pPr/>
      <w:tblPr/>
      <w:tcPr>
        <w:tcBorders/>
        <w:shd w:val="clear" w:color="auto" w:fill="d6e3bc"/>
      </w:tcPr>
    </w:tblStylePr>
    <w:tcPr>
      <w:tcBorders/>
      <w:shd w:val="clear" w:color="auto" w:fill="f5f8ee"/>
    </w:tcPr>
  </w:style>
  <w:style w:type="table" w:styleId="style229">
    <w:name w:val="Colorful Shading Accent 4"/>
    <w:basedOn w:val="style105"/>
    <w:next w:val="style229"/>
    <w:uiPriority w:val="71"/>
    <w:pPr>
      <w:spacing w:after="0" w:lineRule="auto" w:line="240"/>
    </w:pPr>
    <w:rPr>
      <w:color w:val="000000"/>
    </w:rPr>
    <w:tblPr>
      <w:tblStyleRowBandSize w:val="1"/>
      <w:tblStyleColBandSize w:val="1"/>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Pr>
    <w:tblStylePr w:type="firstRow">
      <w:pPr/>
      <w:rPr>
        <w:b/>
        <w:bCs/>
      </w:rPr>
      <w:tblPr/>
      <w:tcPr>
        <w:tcBorders>
          <w:top w:val="nil"/>
          <w:left w:val="nil"/>
          <w:bottom w:val="single" w:sz="24" w:space="0" w:color="9bbb59"/>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4c3b62"/>
      </w:tcPr>
    </w:tblStylePr>
    <w:tblStylePr w:type="band1Horz">
      <w:pPr/>
      <w:tblPr/>
      <w:tcPr>
        <w:tcBorders/>
        <w:shd w:val="clear" w:color="auto" w:fill="bfb1d0"/>
      </w:tcPr>
    </w:tblStylePr>
    <w:tblStylePr w:type="firstCol">
      <w:pPr/>
      <w:rPr>
        <w:color w:val="ffffff"/>
      </w:rPr>
      <w:tblPr/>
      <w:tcPr>
        <w:tcBorders>
          <w:top w:val="nil"/>
          <w:left w:val="nil"/>
          <w:bottom w:val="nil"/>
          <w:right w:val="nil"/>
          <w:insideH w:val="single" w:sz="4" w:space="0" w:color="4c3b62"/>
          <w:insideV w:val="nil"/>
        </w:tcBorders>
        <w:shd w:val="clear" w:color="auto" w:fill="4c3b62"/>
      </w:tcPr>
    </w:tblStylePr>
    <w:tblStylePr w:type="lastCol">
      <w:pPr/>
      <w:rPr>
        <w:color w:val="ffffff"/>
      </w:rPr>
      <w:tblPr/>
      <w:tcPr>
        <w:tcBorders>
          <w:top w:val="nil"/>
          <w:left w:val="nil"/>
          <w:bottom w:val="nil"/>
          <w:right w:val="nil"/>
          <w:insideH w:val="nil"/>
          <w:insideV w:val="nil"/>
        </w:tcBorders>
        <w:shd w:val="clear" w:color="auto" w:fill="4c3b62"/>
      </w:tcPr>
    </w:tblStylePr>
    <w:tblStylePr w:type="band1Vert">
      <w:pPr/>
      <w:tblPr/>
      <w:tcPr>
        <w:tcBorders/>
        <w:shd w:val="clear" w:color="auto" w:fill="ccc0d9"/>
      </w:tcPr>
    </w:tblStylePr>
    <w:tblStylePr w:type="neCell">
      <w:pPr/>
      <w:rPr>
        <w:color w:val="000000"/>
      </w:rPr>
      <w:tcPr>
        <w:tcBorders/>
      </w:tcPr>
    </w:tblStylePr>
    <w:tblStylePr w:type="nwCell">
      <w:pPr/>
      <w:rPr>
        <w:color w:val="000000"/>
      </w:rPr>
      <w:tcPr>
        <w:tcBorders/>
      </w:tcPr>
    </w:tblStylePr>
    <w:tcPr>
      <w:tcBorders/>
      <w:shd w:val="clear" w:color="auto" w:fill="f2eff6"/>
    </w:tcPr>
  </w:style>
  <w:style w:type="table" w:styleId="style243">
    <w:name w:val="Colorful Shading Accent 5"/>
    <w:basedOn w:val="style105"/>
    <w:next w:val="style243"/>
    <w:uiPriority w:val="71"/>
    <w:pPr>
      <w:spacing w:after="0" w:lineRule="auto" w:line="240"/>
    </w:pPr>
    <w:rPr>
      <w:color w:val="000000"/>
    </w:rPr>
    <w:tblPr>
      <w:tblStyleRowBandSize w:val="1"/>
      <w:tblStyleColBandSize w:val="1"/>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blStylePr w:type="firstRow">
      <w:pPr/>
      <w:rPr>
        <w:b/>
        <w:bCs/>
      </w:rPr>
      <w:tblPr/>
      <w:tcPr>
        <w:tcBorders>
          <w:top w:val="nil"/>
          <w:left w:val="nil"/>
          <w:bottom w:val="single" w:sz="24" w:space="0" w:color="f79646"/>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276a7c"/>
      </w:tcPr>
    </w:tblStylePr>
    <w:tblStylePr w:type="band1Horz">
      <w:pPr/>
      <w:tblPr/>
      <w:tcPr>
        <w:tcBorders/>
        <w:shd w:val="clear" w:color="auto" w:fill="a5d5e2"/>
      </w:tcPr>
    </w:tblStylePr>
    <w:tblStylePr w:type="firstCol">
      <w:pPr/>
      <w:rPr>
        <w:color w:val="ffffff"/>
      </w:rPr>
      <w:tblPr/>
      <w:tcPr>
        <w:tcBorders>
          <w:top w:val="nil"/>
          <w:left w:val="nil"/>
          <w:bottom w:val="nil"/>
          <w:right w:val="nil"/>
          <w:insideH w:val="single" w:sz="4" w:space="0" w:color="276a7c"/>
          <w:insideV w:val="nil"/>
        </w:tcBorders>
        <w:shd w:val="clear" w:color="auto" w:fill="276a7c"/>
      </w:tcPr>
    </w:tblStylePr>
    <w:tblStylePr w:type="lastCol">
      <w:pPr/>
      <w:rPr>
        <w:color w:val="ffffff"/>
      </w:rPr>
      <w:tblPr/>
      <w:tcPr>
        <w:tcBorders>
          <w:top w:val="nil"/>
          <w:left w:val="nil"/>
          <w:bottom w:val="nil"/>
          <w:right w:val="nil"/>
          <w:insideH w:val="nil"/>
          <w:insideV w:val="nil"/>
        </w:tcBorders>
        <w:shd w:val="clear" w:color="auto" w:fill="276a7c"/>
      </w:tcPr>
    </w:tblStylePr>
    <w:tblStylePr w:type="band1Vert">
      <w:pPr/>
      <w:tblPr/>
      <w:tcPr>
        <w:tcBorders/>
        <w:shd w:val="clear" w:color="auto" w:fill="b6dde8"/>
      </w:tcPr>
    </w:tblStylePr>
    <w:tblStylePr w:type="neCell">
      <w:pPr/>
      <w:rPr>
        <w:color w:val="000000"/>
      </w:rPr>
      <w:tcPr>
        <w:tcBorders/>
      </w:tcPr>
    </w:tblStylePr>
    <w:tblStylePr w:type="nwCell">
      <w:pPr/>
      <w:rPr>
        <w:color w:val="000000"/>
      </w:rPr>
      <w:tcPr>
        <w:tcBorders/>
      </w:tcPr>
    </w:tblStylePr>
    <w:tcPr>
      <w:tcBorders/>
      <w:shd w:val="clear" w:color="auto" w:fill="edf6f9"/>
    </w:tcPr>
  </w:style>
  <w:style w:type="table" w:styleId="style257">
    <w:name w:val="Colorful Shading Accent 6"/>
    <w:basedOn w:val="style105"/>
    <w:next w:val="style257"/>
    <w:uiPriority w:val="71"/>
    <w:pPr>
      <w:spacing w:after="0" w:lineRule="auto" w:line="240"/>
    </w:pPr>
    <w:rPr>
      <w:color w:val="000000"/>
    </w:rPr>
    <w:tblPr>
      <w:tblStyleRowBandSize w:val="1"/>
      <w:tblStyleColBandSize w:val="1"/>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blStylePr w:type="firstRow">
      <w:pPr/>
      <w:rPr>
        <w:b/>
        <w:bCs/>
      </w:rPr>
      <w:tblPr/>
      <w:tcPr>
        <w:tcBorders>
          <w:top w:val="nil"/>
          <w:left w:val="nil"/>
          <w:bottom w:val="single" w:sz="24" w:space="0" w:color="4bacc6"/>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b65608"/>
      </w:tcPr>
    </w:tblStylePr>
    <w:tblStylePr w:type="band1Horz">
      <w:pPr/>
      <w:tblPr/>
      <w:tcPr>
        <w:tcBorders/>
        <w:shd w:val="clear" w:color="auto" w:fill="fbcaa2"/>
      </w:tcPr>
    </w:tblStylePr>
    <w:tblStylePr w:type="firstCol">
      <w:pPr/>
      <w:rPr>
        <w:color w:val="ffffff"/>
      </w:rPr>
      <w:tblPr/>
      <w:tcPr>
        <w:tcBorders>
          <w:top w:val="nil"/>
          <w:left w:val="nil"/>
          <w:bottom w:val="nil"/>
          <w:right w:val="nil"/>
          <w:insideH w:val="single" w:sz="4" w:space="0" w:color="b65608"/>
          <w:insideV w:val="nil"/>
        </w:tcBorders>
        <w:shd w:val="clear" w:color="auto" w:fill="b65608"/>
      </w:tcPr>
    </w:tblStylePr>
    <w:tblStylePr w:type="lastCol">
      <w:pPr/>
      <w:rPr>
        <w:color w:val="ffffff"/>
      </w:rPr>
      <w:tblPr/>
      <w:tcPr>
        <w:tcBorders>
          <w:top w:val="nil"/>
          <w:left w:val="nil"/>
          <w:bottom w:val="nil"/>
          <w:right w:val="nil"/>
          <w:insideH w:val="nil"/>
          <w:insideV w:val="nil"/>
        </w:tcBorders>
        <w:shd w:val="clear" w:color="auto" w:fill="b65608"/>
      </w:tcPr>
    </w:tblStylePr>
    <w:tblStylePr w:type="band1Vert">
      <w:pPr/>
      <w:tblPr/>
      <w:tcPr>
        <w:tcBorders/>
        <w:shd w:val="clear" w:color="auto" w:fill="fbd4b4"/>
      </w:tcPr>
    </w:tblStylePr>
    <w:tblStylePr w:type="neCell">
      <w:pPr/>
      <w:rPr>
        <w:color w:val="000000"/>
      </w:rPr>
      <w:tcPr>
        <w:tcBorders/>
      </w:tcPr>
    </w:tblStylePr>
    <w:tblStylePr w:type="nwCell">
      <w:pPr/>
      <w:rPr>
        <w:color w:val="000000"/>
      </w:rPr>
      <w:tcPr>
        <w:tcBorders/>
      </w:tcPr>
    </w:tblStylePr>
    <w:tcPr>
      <w:tcBorders/>
      <w:shd w:val="clear" w:color="auto" w:fill="fef4ec"/>
    </w:tcPr>
  </w:style>
  <w:style w:type="table" w:styleId="style170">
    <w:name w:val="Colorful List"/>
    <w:basedOn w:val="style105"/>
    <w:next w:val="style170"/>
    <w:uiPriority w:val="72"/>
    <w:pPr>
      <w:spacing w:after="0" w:lineRule="auto" w:line="240"/>
    </w:pPr>
    <w:rPr>
      <w:color w:val="000000"/>
    </w:rPr>
    <w:tblPr>
      <w:tblStyleRowBandSize w:val="1"/>
      <w:tblStyleColBandSize w:val="1"/>
      <w:shd w:val="clear" w:color="auto" w:fill="e6e6e6"/>
    </w:tblPr>
    <w:tblStylePr w:type="firstRow">
      <w:pPr/>
      <w:rPr>
        <w:b/>
        <w:bCs/>
        <w:color w:val="ffffff"/>
      </w:rPr>
      <w:tblPr/>
      <w:tcPr>
        <w:tcBorders>
          <w:bottom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cccccc"/>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c0c0c0"/>
      </w:tcPr>
    </w:tblStylePr>
    <w:tcPr>
      <w:tcBorders/>
      <w:shd w:val="clear" w:color="auto" w:fill="e6e6e6"/>
    </w:tcPr>
  </w:style>
  <w:style w:type="table" w:styleId="style188">
    <w:name w:val="Colorful List Accent 1"/>
    <w:basedOn w:val="style105"/>
    <w:next w:val="style188"/>
    <w:uiPriority w:val="72"/>
    <w:pPr>
      <w:spacing w:after="0" w:lineRule="auto" w:line="240"/>
    </w:pPr>
    <w:rPr>
      <w:color w:val="000000"/>
    </w:rPr>
    <w:tblPr>
      <w:tblStyleRowBandSize w:val="1"/>
      <w:tblStyleColBandSize w:val="1"/>
      <w:shd w:val="clear" w:color="auto" w:fill="edf2f8"/>
    </w:tblPr>
    <w:tblStylePr w:type="firstRow">
      <w:pPr/>
      <w:rPr>
        <w:b/>
        <w:bCs/>
        <w:color w:val="ffffff"/>
      </w:rPr>
      <w:tblPr/>
      <w:tcPr>
        <w:tcBorders>
          <w:bottom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dbe5f1"/>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3dfee"/>
      </w:tcPr>
    </w:tblStylePr>
    <w:tcPr>
      <w:tcBorders/>
      <w:shd w:val="clear" w:color="auto" w:fill="edf2f8"/>
    </w:tcPr>
  </w:style>
  <w:style w:type="table" w:styleId="style202">
    <w:name w:val="Colorful List Accent 2"/>
    <w:basedOn w:val="style105"/>
    <w:next w:val="style202"/>
    <w:uiPriority w:val="72"/>
    <w:pPr>
      <w:spacing w:after="0" w:lineRule="auto" w:line="240"/>
    </w:pPr>
    <w:rPr>
      <w:color w:val="000000"/>
    </w:rPr>
    <w:tblPr>
      <w:tblStyleRowBandSize w:val="1"/>
      <w:tblStyleColBandSize w:val="1"/>
      <w:shd w:val="clear" w:color="auto" w:fill="f8eded"/>
    </w:tblPr>
    <w:tblStylePr w:type="firstRow">
      <w:pPr/>
      <w:rPr>
        <w:b/>
        <w:bCs/>
        <w:color w:val="ffffff"/>
      </w:rPr>
      <w:tblPr/>
      <w:tcPr>
        <w:tcBorders>
          <w:bottom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f2dbdb"/>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efd3d2"/>
      </w:tcPr>
    </w:tblStylePr>
    <w:tcPr>
      <w:tcBorders/>
      <w:shd w:val="clear" w:color="auto" w:fill="f8eded"/>
    </w:tcPr>
  </w:style>
  <w:style w:type="table" w:styleId="style216">
    <w:name w:val="Colorful List Accent 3"/>
    <w:basedOn w:val="style105"/>
    <w:next w:val="style216"/>
    <w:uiPriority w:val="72"/>
    <w:pPr>
      <w:spacing w:after="0" w:lineRule="auto" w:line="240"/>
    </w:pPr>
    <w:rPr>
      <w:color w:val="000000"/>
    </w:rPr>
    <w:tblPr>
      <w:tblStyleRowBandSize w:val="1"/>
      <w:tblStyleColBandSize w:val="1"/>
      <w:shd w:val="clear" w:color="auto" w:fill="f5f8ee"/>
    </w:tblPr>
    <w:tblStylePr w:type="firstRow">
      <w:pPr/>
      <w:rPr>
        <w:b/>
        <w:bCs/>
        <w:color w:val="ffffff"/>
      </w:rPr>
      <w:tblPr/>
      <w:tcPr>
        <w:tcBorders>
          <w:bottom w:val="single" w:sz="12" w:space="0" w:color="ffffff"/>
        </w:tcBorders>
        <w:shd w:val="clear" w:color="auto" w:fill="664e82"/>
      </w:tcPr>
    </w:tblStylePr>
    <w:tblStylePr w:type="lastRow">
      <w:pPr/>
      <w:rPr>
        <w:b/>
        <w:bCs/>
        <w:color w:val="664e82"/>
      </w:rPr>
      <w:tblPr/>
      <w:tcPr>
        <w:tcBorders>
          <w:top w:val="single" w:sz="12" w:space="0" w:color="000000"/>
        </w:tcBorders>
        <w:shd w:val="clear" w:color="auto" w:fill="ffffff"/>
      </w:tcPr>
    </w:tblStylePr>
    <w:tblStylePr w:type="band1Horz">
      <w:pPr/>
      <w:tblPr/>
      <w:tcPr>
        <w:tcBorders/>
        <w:shd w:val="clear" w:color="auto" w:fill="eaf1dd"/>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e6eed5"/>
      </w:tcPr>
    </w:tblStylePr>
    <w:tcPr>
      <w:tcBorders/>
      <w:shd w:val="clear" w:color="auto" w:fill="f5f8ee"/>
    </w:tcPr>
  </w:style>
  <w:style w:type="table" w:styleId="style230">
    <w:name w:val="Colorful List Accent 4"/>
    <w:basedOn w:val="style105"/>
    <w:next w:val="style230"/>
    <w:uiPriority w:val="72"/>
    <w:pPr>
      <w:spacing w:after="0" w:lineRule="auto" w:line="240"/>
    </w:pPr>
    <w:rPr>
      <w:color w:val="000000"/>
    </w:rPr>
    <w:tblPr>
      <w:tblStyleRowBandSize w:val="1"/>
      <w:tblStyleColBandSize w:val="1"/>
      <w:shd w:val="clear" w:color="auto" w:fill="f2eff6"/>
    </w:tblPr>
    <w:tblStylePr w:type="firstRow">
      <w:pPr/>
      <w:rPr>
        <w:b/>
        <w:bCs/>
        <w:color w:val="ffffff"/>
      </w:rPr>
      <w:tblPr/>
      <w:tcPr>
        <w:tcBorders>
          <w:bottom w:val="single" w:sz="12" w:space="0" w:color="ffffff"/>
        </w:tcBorders>
        <w:shd w:val="clear" w:color="auto" w:fill="7e9c40"/>
      </w:tcPr>
    </w:tblStylePr>
    <w:tblStylePr w:type="lastRow">
      <w:pPr/>
      <w:rPr>
        <w:b/>
        <w:bCs/>
        <w:color w:val="7e9c40"/>
      </w:rPr>
      <w:tblPr/>
      <w:tcPr>
        <w:tcBorders>
          <w:top w:val="single" w:sz="12" w:space="0" w:color="000000"/>
        </w:tcBorders>
        <w:shd w:val="clear" w:color="auto" w:fill="ffffff"/>
      </w:tcPr>
    </w:tblStylePr>
    <w:tblStylePr w:type="band1Horz">
      <w:pPr/>
      <w:tblPr/>
      <w:tcPr>
        <w:tcBorders/>
        <w:shd w:val="clear" w:color="auto" w:fill="e5dfec"/>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fd8e8"/>
      </w:tcPr>
    </w:tblStylePr>
    <w:tcPr>
      <w:tcBorders/>
      <w:shd w:val="clear" w:color="auto" w:fill="f2eff6"/>
    </w:tcPr>
  </w:style>
  <w:style w:type="table" w:styleId="style244">
    <w:name w:val="Colorful List Accent 5"/>
    <w:basedOn w:val="style105"/>
    <w:next w:val="style244"/>
    <w:uiPriority w:val="72"/>
    <w:pPr>
      <w:spacing w:after="0" w:lineRule="auto" w:line="240"/>
    </w:pPr>
    <w:rPr>
      <w:color w:val="000000"/>
    </w:rPr>
    <w:tblPr>
      <w:tblStyleRowBandSize w:val="1"/>
      <w:tblStyleColBandSize w:val="1"/>
      <w:shd w:val="clear" w:color="auto" w:fill="edf6f9"/>
    </w:tblPr>
    <w:tblStylePr w:type="firstRow">
      <w:pPr/>
      <w:rPr>
        <w:b/>
        <w:bCs/>
        <w:color w:val="ffffff"/>
      </w:rPr>
      <w:tblPr/>
      <w:tcPr>
        <w:tcBorders>
          <w:bottom w:val="single" w:sz="12" w:space="0" w:color="ffffff"/>
        </w:tcBorders>
        <w:shd w:val="clear" w:color="auto" w:fill="f2730a"/>
      </w:tcPr>
    </w:tblStylePr>
    <w:tblStylePr w:type="lastRow">
      <w:pPr/>
      <w:rPr>
        <w:b/>
        <w:bCs/>
        <w:color w:val="f2730a"/>
      </w:rPr>
      <w:tblPr/>
      <w:tcPr>
        <w:tcBorders>
          <w:top w:val="single" w:sz="12" w:space="0" w:color="000000"/>
        </w:tcBorders>
        <w:shd w:val="clear" w:color="auto" w:fill="ffffff"/>
      </w:tcPr>
    </w:tblStylePr>
    <w:tblStylePr w:type="band1Horz">
      <w:pPr/>
      <w:tblPr/>
      <w:tcPr>
        <w:tcBorders/>
        <w:shd w:val="clear" w:color="auto" w:fill="daeef3"/>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2eaf1"/>
      </w:tcPr>
    </w:tblStylePr>
    <w:tcPr>
      <w:tcBorders/>
      <w:shd w:val="clear" w:color="auto" w:fill="edf6f9"/>
    </w:tcPr>
  </w:style>
  <w:style w:type="table" w:styleId="style258">
    <w:name w:val="Colorful List Accent 6"/>
    <w:basedOn w:val="style105"/>
    <w:next w:val="style258"/>
    <w:uiPriority w:val="72"/>
    <w:pPr>
      <w:spacing w:after="0" w:lineRule="auto" w:line="240"/>
    </w:pPr>
    <w:rPr>
      <w:color w:val="000000"/>
    </w:rPr>
    <w:tblPr>
      <w:tblStyleRowBandSize w:val="1"/>
      <w:tblStyleColBandSize w:val="1"/>
      <w:shd w:val="clear" w:color="auto" w:fill="fef4ec"/>
    </w:tblPr>
    <w:tblStylePr w:type="firstRow">
      <w:pPr/>
      <w:rPr>
        <w:b/>
        <w:bCs/>
        <w:color w:val="ffffff"/>
      </w:rPr>
      <w:tblPr/>
      <w:tcPr>
        <w:tcBorders>
          <w:bottom w:val="single" w:sz="12" w:space="0" w:color="ffffff"/>
        </w:tcBorders>
        <w:shd w:val="clear" w:color="auto" w:fill="348da5"/>
      </w:tcPr>
    </w:tblStylePr>
    <w:tblStylePr w:type="lastRow">
      <w:pPr/>
      <w:rPr>
        <w:b/>
        <w:bCs/>
        <w:color w:val="348da5"/>
      </w:rPr>
      <w:tblPr/>
      <w:tcPr>
        <w:tcBorders>
          <w:top w:val="single" w:sz="12" w:space="0" w:color="000000"/>
        </w:tcBorders>
        <w:shd w:val="clear" w:color="auto" w:fill="ffffff"/>
      </w:tcPr>
    </w:tblStylePr>
    <w:tblStylePr w:type="band1Horz">
      <w:pPr/>
      <w:tblPr/>
      <w:tcPr>
        <w:tcBorders/>
        <w:shd w:val="clear" w:color="auto" w:fill="fde9d9"/>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fde4d0"/>
      </w:tcPr>
    </w:tblStylePr>
    <w:tcPr>
      <w:tcBorders/>
      <w:shd w:val="clear" w:color="auto" w:fill="fef4ec"/>
    </w:tcPr>
  </w:style>
  <w:style w:type="table" w:styleId="style171">
    <w:name w:val="Colorful Grid"/>
    <w:basedOn w:val="style105"/>
    <w:next w:val="style171"/>
    <w:uiPriority w:val="73"/>
    <w:pPr>
      <w:spacing w:after="0" w:lineRule="auto" w:line="240"/>
    </w:pPr>
    <w:rPr>
      <w:color w:val="000000"/>
    </w:rPr>
    <w:tblPr>
      <w:tblStyleRowBandSize w:val="1"/>
      <w:tblStyleColBandSize w:val="1"/>
      <w:tblBorders>
        <w:insideH w:val="single" w:sz="4" w:space="0" w:color="ffffff"/>
      </w:tblBorders>
      <w:shd w:val="clear" w:color="auto" w:fill="cccccc"/>
    </w:tblPr>
    <w:tblStylePr w:type="firstRow">
      <w:pPr/>
      <w:rPr>
        <w:b/>
        <w:bCs/>
      </w:rPr>
      <w:tblPr/>
      <w:tcPr>
        <w:tcBorders/>
        <w:shd w:val="clear" w:color="auto" w:fill="999999"/>
      </w:tcPr>
    </w:tblStylePr>
    <w:tblStylePr w:type="lastRow">
      <w:pPr/>
      <w:rPr>
        <w:b/>
        <w:bCs/>
        <w:color w:val="000000"/>
      </w:rPr>
      <w:tblPr/>
      <w:tcPr>
        <w:tcBorders/>
        <w:shd w:val="clear" w:color="auto" w:fill="999999"/>
      </w:tcPr>
    </w:tblStylePr>
    <w:tblStylePr w:type="band1Horz">
      <w:pPr/>
      <w:tblPr/>
      <w:tcPr>
        <w:tcBorders/>
        <w:shd w:val="clear" w:color="auto" w:fill="808080"/>
      </w:tcPr>
    </w:tblStylePr>
    <w:tblStylePr w:type="firstCol">
      <w:pPr/>
      <w:rPr>
        <w:color w:val="ffffff"/>
      </w:rPr>
      <w:tblPr/>
      <w:tcPr>
        <w:tcBorders/>
        <w:shd w:val="clear" w:color="auto" w:fill="000000"/>
      </w:tcPr>
    </w:tblStylePr>
    <w:tblStylePr w:type="lastCol">
      <w:pPr/>
      <w:rPr>
        <w:color w:val="ffffff"/>
      </w:rPr>
      <w:tblPr/>
      <w:tcPr>
        <w:tcBorders/>
        <w:shd w:val="clear" w:color="auto" w:fill="000000"/>
      </w:tcPr>
    </w:tblStylePr>
    <w:tblStylePr w:type="band1Vert">
      <w:pPr/>
      <w:tblPr/>
      <w:tcPr>
        <w:tcBorders/>
        <w:shd w:val="clear" w:color="auto" w:fill="808080"/>
      </w:tcPr>
    </w:tblStylePr>
    <w:tcPr>
      <w:tcBorders/>
      <w:shd w:val="clear" w:color="auto" w:fill="cccccc"/>
    </w:tcPr>
  </w:style>
  <w:style w:type="table" w:styleId="style189">
    <w:name w:val="Colorful Grid Accent 1"/>
    <w:basedOn w:val="style105"/>
    <w:next w:val="style189"/>
    <w:uiPriority w:val="73"/>
    <w:pPr>
      <w:spacing w:after="0" w:lineRule="auto" w:line="240"/>
    </w:pPr>
    <w:rPr>
      <w:color w:val="000000"/>
    </w:rPr>
    <w:tblPr>
      <w:tblStyleRowBandSize w:val="1"/>
      <w:tblStyleColBandSize w:val="1"/>
      <w:tblBorders>
        <w:insideH w:val="single" w:sz="4" w:space="0" w:color="ffffff"/>
      </w:tblBorders>
      <w:shd w:val="clear" w:color="auto" w:fill="dbe5f1"/>
    </w:tblPr>
    <w:tblStylePr w:type="firstRow">
      <w:pPr/>
      <w:rPr>
        <w:b/>
        <w:bCs/>
      </w:rPr>
      <w:tblPr/>
      <w:tcPr>
        <w:tcBorders/>
        <w:shd w:val="clear" w:color="auto" w:fill="b8cce4"/>
      </w:tcPr>
    </w:tblStylePr>
    <w:tblStylePr w:type="lastRow">
      <w:pPr/>
      <w:rPr>
        <w:b/>
        <w:bCs/>
        <w:color w:val="000000"/>
      </w:rPr>
      <w:tblPr/>
      <w:tcPr>
        <w:tcBorders/>
        <w:shd w:val="clear" w:color="auto" w:fill="b8cce4"/>
      </w:tcPr>
    </w:tblStylePr>
    <w:tblStylePr w:type="band1Horz">
      <w:pPr/>
      <w:tblPr/>
      <w:tcPr>
        <w:tcBorders/>
        <w:shd w:val="clear" w:color="auto" w:fill="a7bfde"/>
      </w:tcPr>
    </w:tblStylePr>
    <w:tblStylePr w:type="firstCol">
      <w:pPr/>
      <w:rPr>
        <w:color w:val="ffffff"/>
      </w:rPr>
      <w:tblPr/>
      <w:tcPr>
        <w:tcBorders/>
        <w:shd w:val="clear" w:color="auto" w:fill="365f91"/>
      </w:tcPr>
    </w:tblStylePr>
    <w:tblStylePr w:type="lastCol">
      <w:pPr/>
      <w:rPr>
        <w:color w:val="ffffff"/>
      </w:rPr>
      <w:tblPr/>
      <w:tcPr>
        <w:tcBorders/>
        <w:shd w:val="clear" w:color="auto" w:fill="365f91"/>
      </w:tcPr>
    </w:tblStylePr>
    <w:tblStylePr w:type="band1Vert">
      <w:pPr/>
      <w:tblPr/>
      <w:tcPr>
        <w:tcBorders/>
        <w:shd w:val="clear" w:color="auto" w:fill="a7bfde"/>
      </w:tcPr>
    </w:tblStylePr>
    <w:tcPr>
      <w:tcBorders/>
      <w:shd w:val="clear" w:color="auto" w:fill="dbe5f1"/>
    </w:tcPr>
  </w:style>
  <w:style w:type="table" w:styleId="style203">
    <w:name w:val="Colorful Grid Accent 2"/>
    <w:basedOn w:val="style105"/>
    <w:next w:val="style203"/>
    <w:uiPriority w:val="73"/>
    <w:pPr>
      <w:spacing w:after="0" w:lineRule="auto" w:line="240"/>
    </w:pPr>
    <w:rPr>
      <w:color w:val="000000"/>
    </w:rPr>
    <w:tblPr>
      <w:tblStyleRowBandSize w:val="1"/>
      <w:tblStyleColBandSize w:val="1"/>
      <w:tblBorders>
        <w:insideH w:val="single" w:sz="4" w:space="0" w:color="ffffff"/>
      </w:tblBorders>
      <w:shd w:val="clear" w:color="auto" w:fill="f2dbdb"/>
    </w:tblPr>
    <w:tblStylePr w:type="firstRow">
      <w:pPr/>
      <w:rPr>
        <w:b/>
        <w:bCs/>
      </w:rPr>
      <w:tblPr/>
      <w:tcPr>
        <w:tcBorders/>
        <w:shd w:val="clear" w:color="auto" w:fill="e5b8b7"/>
      </w:tcPr>
    </w:tblStylePr>
    <w:tblStylePr w:type="lastRow">
      <w:pPr/>
      <w:rPr>
        <w:b/>
        <w:bCs/>
        <w:color w:val="000000"/>
      </w:rPr>
      <w:tblPr/>
      <w:tcPr>
        <w:tcBorders/>
        <w:shd w:val="clear" w:color="auto" w:fill="e5b8b7"/>
      </w:tcPr>
    </w:tblStylePr>
    <w:tblStylePr w:type="band1Horz">
      <w:pPr/>
      <w:tblPr/>
      <w:tcPr>
        <w:tcBorders/>
        <w:shd w:val="clear" w:color="auto" w:fill="dfa7a6"/>
      </w:tcPr>
    </w:tblStylePr>
    <w:tblStylePr w:type="firstCol">
      <w:pPr/>
      <w:rPr>
        <w:color w:val="ffffff"/>
      </w:rPr>
      <w:tblPr/>
      <w:tcPr>
        <w:tcBorders/>
        <w:shd w:val="clear" w:color="auto" w:fill="943634"/>
      </w:tcPr>
    </w:tblStylePr>
    <w:tblStylePr w:type="lastCol">
      <w:pPr/>
      <w:rPr>
        <w:color w:val="ffffff"/>
      </w:rPr>
      <w:tblPr/>
      <w:tcPr>
        <w:tcBorders/>
        <w:shd w:val="clear" w:color="auto" w:fill="943634"/>
      </w:tcPr>
    </w:tblStylePr>
    <w:tblStylePr w:type="band1Vert">
      <w:pPr/>
      <w:tblPr/>
      <w:tcPr>
        <w:tcBorders/>
        <w:shd w:val="clear" w:color="auto" w:fill="dfa7a6"/>
      </w:tcPr>
    </w:tblStylePr>
    <w:tcPr>
      <w:tcBorders/>
      <w:shd w:val="clear" w:color="auto" w:fill="f2dbdb"/>
    </w:tcPr>
  </w:style>
  <w:style w:type="table" w:styleId="style217">
    <w:name w:val="Colorful Grid Accent 3"/>
    <w:basedOn w:val="style105"/>
    <w:next w:val="style217"/>
    <w:uiPriority w:val="73"/>
    <w:pPr>
      <w:spacing w:after="0" w:lineRule="auto" w:line="240"/>
    </w:pPr>
    <w:rPr>
      <w:color w:val="000000"/>
    </w:rPr>
    <w:tblPr>
      <w:tblStyleRowBandSize w:val="1"/>
      <w:tblStyleColBandSize w:val="1"/>
      <w:tblBorders>
        <w:insideH w:val="single" w:sz="4" w:space="0" w:color="ffffff"/>
      </w:tblBorders>
      <w:shd w:val="clear" w:color="auto" w:fill="eaf1dd"/>
    </w:tblPr>
    <w:tblStylePr w:type="firstRow">
      <w:pPr/>
      <w:rPr>
        <w:b/>
        <w:bCs/>
      </w:rPr>
      <w:tblPr/>
      <w:tcPr>
        <w:tcBorders/>
        <w:shd w:val="clear" w:color="auto" w:fill="d6e3bc"/>
      </w:tcPr>
    </w:tblStylePr>
    <w:tblStylePr w:type="lastRow">
      <w:pPr/>
      <w:rPr>
        <w:b/>
        <w:bCs/>
        <w:color w:val="000000"/>
      </w:rPr>
      <w:tblPr/>
      <w:tcPr>
        <w:tcBorders/>
        <w:shd w:val="clear" w:color="auto" w:fill="d6e3bc"/>
      </w:tcPr>
    </w:tblStylePr>
    <w:tblStylePr w:type="band1Horz">
      <w:pPr/>
      <w:tblPr/>
      <w:tcPr>
        <w:tcBorders/>
        <w:shd w:val="clear" w:color="auto" w:fill="cdddac"/>
      </w:tcPr>
    </w:tblStylePr>
    <w:tblStylePr w:type="firstCol">
      <w:pPr/>
      <w:rPr>
        <w:color w:val="ffffff"/>
      </w:rPr>
      <w:tblPr/>
      <w:tcPr>
        <w:tcBorders/>
        <w:shd w:val="clear" w:color="auto" w:fill="76923c"/>
      </w:tcPr>
    </w:tblStylePr>
    <w:tblStylePr w:type="lastCol">
      <w:pPr/>
      <w:rPr>
        <w:color w:val="ffffff"/>
      </w:rPr>
      <w:tblPr/>
      <w:tcPr>
        <w:tcBorders/>
        <w:shd w:val="clear" w:color="auto" w:fill="76923c"/>
      </w:tcPr>
    </w:tblStylePr>
    <w:tblStylePr w:type="band1Vert">
      <w:pPr/>
      <w:tblPr/>
      <w:tcPr>
        <w:tcBorders/>
        <w:shd w:val="clear" w:color="auto" w:fill="cdddac"/>
      </w:tcPr>
    </w:tblStylePr>
    <w:tcPr>
      <w:tcBorders/>
      <w:shd w:val="clear" w:color="auto" w:fill="eaf1dd"/>
    </w:tcPr>
  </w:style>
  <w:style w:type="table" w:styleId="style231">
    <w:name w:val="Colorful Grid Accent 4"/>
    <w:basedOn w:val="style105"/>
    <w:next w:val="style231"/>
    <w:uiPriority w:val="73"/>
    <w:pPr>
      <w:spacing w:after="0" w:lineRule="auto" w:line="240"/>
    </w:pPr>
    <w:rPr>
      <w:color w:val="000000"/>
    </w:rPr>
    <w:tblPr>
      <w:tblStyleRowBandSize w:val="1"/>
      <w:tblStyleColBandSize w:val="1"/>
      <w:tblBorders>
        <w:insideH w:val="single" w:sz="4" w:space="0" w:color="ffffff"/>
      </w:tblBorders>
      <w:shd w:val="clear" w:color="auto" w:fill="e5dfec"/>
    </w:tblPr>
    <w:tblStylePr w:type="firstRow">
      <w:pPr/>
      <w:rPr>
        <w:b/>
        <w:bCs/>
      </w:rPr>
      <w:tblPr/>
      <w:tcPr>
        <w:tcBorders/>
        <w:shd w:val="clear" w:color="auto" w:fill="ccc0d9"/>
      </w:tcPr>
    </w:tblStylePr>
    <w:tblStylePr w:type="lastRow">
      <w:pPr/>
      <w:rPr>
        <w:b/>
        <w:bCs/>
        <w:color w:val="000000"/>
      </w:rPr>
      <w:tblPr/>
      <w:tcPr>
        <w:tcBorders/>
        <w:shd w:val="clear" w:color="auto" w:fill="ccc0d9"/>
      </w:tcPr>
    </w:tblStylePr>
    <w:tblStylePr w:type="band1Horz">
      <w:pPr/>
      <w:tblPr/>
      <w:tcPr>
        <w:tcBorders/>
        <w:shd w:val="clear" w:color="auto" w:fill="bfb1d0"/>
      </w:tcPr>
    </w:tblStylePr>
    <w:tblStylePr w:type="firstCol">
      <w:pPr/>
      <w:rPr>
        <w:color w:val="ffffff"/>
      </w:rPr>
      <w:tblPr/>
      <w:tcPr>
        <w:tcBorders/>
        <w:shd w:val="clear" w:color="auto" w:fill="5f497a"/>
      </w:tcPr>
    </w:tblStylePr>
    <w:tblStylePr w:type="lastCol">
      <w:pPr/>
      <w:rPr>
        <w:color w:val="ffffff"/>
      </w:rPr>
      <w:tblPr/>
      <w:tcPr>
        <w:tcBorders/>
        <w:shd w:val="clear" w:color="auto" w:fill="5f497a"/>
      </w:tcPr>
    </w:tblStylePr>
    <w:tblStylePr w:type="band1Vert">
      <w:pPr/>
      <w:tblPr/>
      <w:tcPr>
        <w:tcBorders/>
        <w:shd w:val="clear" w:color="auto" w:fill="bfb1d0"/>
      </w:tcPr>
    </w:tblStylePr>
    <w:tcPr>
      <w:tcBorders/>
      <w:shd w:val="clear" w:color="auto" w:fill="e5dfec"/>
    </w:tcPr>
  </w:style>
  <w:style w:type="table" w:styleId="style245">
    <w:name w:val="Colorful Grid Accent 5"/>
    <w:basedOn w:val="style105"/>
    <w:next w:val="style245"/>
    <w:uiPriority w:val="73"/>
    <w:pPr>
      <w:spacing w:after="0" w:lineRule="auto" w:line="240"/>
    </w:pPr>
    <w:rPr>
      <w:color w:val="000000"/>
    </w:rPr>
    <w:tblPr>
      <w:tblStyleRowBandSize w:val="1"/>
      <w:tblStyleColBandSize w:val="1"/>
      <w:tblBorders>
        <w:insideH w:val="single" w:sz="4" w:space="0" w:color="ffffff"/>
      </w:tblBorders>
      <w:shd w:val="clear" w:color="auto" w:fill="daeef3"/>
    </w:tblPr>
    <w:tblStylePr w:type="firstRow">
      <w:pPr/>
      <w:rPr>
        <w:b/>
        <w:bCs/>
      </w:rPr>
      <w:tblPr/>
      <w:tcPr>
        <w:tcBorders/>
        <w:shd w:val="clear" w:color="auto" w:fill="b6dde8"/>
      </w:tcPr>
    </w:tblStylePr>
    <w:tblStylePr w:type="lastRow">
      <w:pPr/>
      <w:rPr>
        <w:b/>
        <w:bCs/>
        <w:color w:val="000000"/>
      </w:rPr>
      <w:tblPr/>
      <w:tcPr>
        <w:tcBorders/>
        <w:shd w:val="clear" w:color="auto" w:fill="b6dde8"/>
      </w:tcPr>
    </w:tblStylePr>
    <w:tblStylePr w:type="band1Horz">
      <w:pPr/>
      <w:tblPr/>
      <w:tcPr>
        <w:tcBorders/>
        <w:shd w:val="clear" w:color="auto" w:fill="a5d5e2"/>
      </w:tcPr>
    </w:tblStylePr>
    <w:tblStylePr w:type="firstCol">
      <w:pPr/>
      <w:rPr>
        <w:color w:val="ffffff"/>
      </w:rPr>
      <w:tblPr/>
      <w:tcPr>
        <w:tcBorders/>
        <w:shd w:val="clear" w:color="auto" w:fill="31849b"/>
      </w:tcPr>
    </w:tblStylePr>
    <w:tblStylePr w:type="lastCol">
      <w:pPr/>
      <w:rPr>
        <w:color w:val="ffffff"/>
      </w:rPr>
      <w:tblPr/>
      <w:tcPr>
        <w:tcBorders/>
        <w:shd w:val="clear" w:color="auto" w:fill="31849b"/>
      </w:tcPr>
    </w:tblStylePr>
    <w:tblStylePr w:type="band1Vert">
      <w:pPr/>
      <w:tblPr/>
      <w:tcPr>
        <w:tcBorders/>
        <w:shd w:val="clear" w:color="auto" w:fill="a5d5e2"/>
      </w:tcPr>
    </w:tblStylePr>
    <w:tcPr>
      <w:tcBorders/>
      <w:shd w:val="clear" w:color="auto" w:fill="daeef3"/>
    </w:tcPr>
  </w:style>
  <w:style w:type="table" w:styleId="style259">
    <w:name w:val="Colorful Grid Accent 6"/>
    <w:basedOn w:val="style105"/>
    <w:next w:val="style259"/>
    <w:uiPriority w:val="73"/>
    <w:pPr>
      <w:spacing w:after="0" w:lineRule="auto" w:line="240"/>
    </w:pPr>
    <w:rPr>
      <w:color w:val="000000"/>
    </w:rPr>
    <w:tblPr>
      <w:tblStyleRowBandSize w:val="1"/>
      <w:tblStyleColBandSize w:val="1"/>
      <w:tblBorders>
        <w:insideH w:val="single" w:sz="4" w:space="0" w:color="ffffff"/>
      </w:tblBorders>
      <w:shd w:val="clear" w:color="auto" w:fill="fde9d9"/>
    </w:tblPr>
    <w:tblStylePr w:type="firstRow">
      <w:pPr/>
      <w:rPr>
        <w:b/>
        <w:bCs/>
      </w:rPr>
      <w:tblPr/>
      <w:tcPr>
        <w:tcBorders/>
        <w:shd w:val="clear" w:color="auto" w:fill="fbd4b4"/>
      </w:tcPr>
    </w:tblStylePr>
    <w:tblStylePr w:type="lastRow">
      <w:pPr/>
      <w:rPr>
        <w:b/>
        <w:bCs/>
        <w:color w:val="000000"/>
      </w:rPr>
      <w:tblPr/>
      <w:tcPr>
        <w:tcBorders/>
        <w:shd w:val="clear" w:color="auto" w:fill="fbd4b4"/>
      </w:tcPr>
    </w:tblStylePr>
    <w:tblStylePr w:type="band1Horz">
      <w:pPr/>
      <w:tblPr/>
      <w:tcPr>
        <w:tcBorders/>
        <w:shd w:val="clear" w:color="auto" w:fill="fbcaa2"/>
      </w:tcPr>
    </w:tblStylePr>
    <w:tblStylePr w:type="firstCol">
      <w:pPr/>
      <w:rPr>
        <w:color w:val="ffffff"/>
      </w:rPr>
      <w:tblPr/>
      <w:tcPr>
        <w:tcBorders/>
        <w:shd w:val="clear" w:color="auto" w:fill="e36c0a"/>
      </w:tcPr>
    </w:tblStylePr>
    <w:tblStylePr w:type="lastCol">
      <w:pPr/>
      <w:rPr>
        <w:color w:val="ffffff"/>
      </w:rPr>
      <w:tblPr/>
      <w:tcPr>
        <w:tcBorders/>
        <w:shd w:val="clear" w:color="auto" w:fill="e36c0a"/>
      </w:tcPr>
    </w:tblStylePr>
    <w:tblStylePr w:type="band1Vert">
      <w:pPr/>
      <w:tblPr/>
      <w:tcPr>
        <w:tcBorders/>
        <w:shd w:val="clear" w:color="auto" w:fill="fbcaa2"/>
      </w:tcPr>
    </w:tblStylePr>
    <w:tcPr>
      <w:tcBorders/>
      <w:shd w:val="clear" w:color="auto" w:fill="fde9d9"/>
    </w:tc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1" Type="http://schemas.openxmlformats.org/officeDocument/2006/relationships/settings" Target="settings.xml"/><Relationship Id="rId10"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styles" Target="style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34D4D7-41B7-4FE3-A372-4C47EC419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Words>2310</Words>
  <Pages>12</Pages>
  <Characters>13630</Characters>
  <Application>WPS Office</Application>
  <DocSecurity>0</DocSecurity>
  <Paragraphs>74</Paragraphs>
  <ScaleCrop>false</ScaleCrop>
  <LinksUpToDate>false</LinksUpToDate>
  <CharactersWithSpaces>15882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2013-12-23T23:15:00Z</dcterms:created>
  <dc:creator>WPS Office</dc:creator>
  <lastModifiedBy>V2318</lastModifiedBy>
  <dcterms:modified xsi:type="dcterms:W3CDTF">2026-08-17T07:34:15Z</dcterms:modified>
  <revision>18</revision>
  <dc:subject>LCHS4008 Component 2 Report</dc:subject>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7ca544420e0a489d82130951bbc2dfb3_23</vt:lpwstr>
  </property>
</Properties>
</file>