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E18A4" w14:textId="77777777" w:rsidR="00595160" w:rsidRPr="00595160" w:rsidRDefault="00595160" w:rsidP="00595160">
      <w:pPr>
        <w:spacing w:before="100" w:beforeAutospacing="1" w:after="100" w:afterAutospacing="1" w:line="240" w:lineRule="auto"/>
        <w:outlineLvl w:val="0"/>
        <w:rPr>
          <w:rFonts w:ascii="Arial" w:eastAsia="Times New Roman" w:hAnsi="Arial" w:cs="Arial"/>
          <w:b/>
          <w:bCs/>
          <w:kern w:val="36"/>
          <w:sz w:val="48"/>
          <w:szCs w:val="48"/>
          <w14:ligatures w14:val="none"/>
        </w:rPr>
      </w:pPr>
      <w:r w:rsidRPr="00595160">
        <w:rPr>
          <w:rFonts w:ascii="Arial" w:eastAsia="Times New Roman" w:hAnsi="Arial" w:cs="Arial"/>
          <w:b/>
          <w:bCs/>
          <w:kern w:val="36"/>
          <w:sz w:val="48"/>
          <w:szCs w:val="48"/>
          <w14:ligatures w14:val="none"/>
        </w:rPr>
        <w:t>Title Page</w:t>
      </w:r>
    </w:p>
    <w:p w14:paraId="6DA3FED4" w14:textId="77777777" w:rsidR="00595160" w:rsidRPr="00595160" w:rsidRDefault="00595160" w:rsidP="00595160">
      <w:pPr>
        <w:spacing w:before="100" w:beforeAutospacing="1" w:after="100" w:afterAutospacing="1" w:line="240" w:lineRule="auto"/>
        <w:rPr>
          <w:rFonts w:ascii="Arial" w:hAnsi="Arial" w:cs="Arial"/>
          <w:kern w:val="0"/>
          <w14:ligatures w14:val="none"/>
        </w:rPr>
      </w:pPr>
    </w:p>
    <w:p w14:paraId="4773EE25" w14:textId="77777777" w:rsidR="00595160" w:rsidRPr="00595160" w:rsidRDefault="00595160" w:rsidP="00595160">
      <w:pPr>
        <w:spacing w:before="100" w:beforeAutospacing="1" w:after="100" w:afterAutospacing="1" w:line="240" w:lineRule="auto"/>
        <w:rPr>
          <w:rFonts w:ascii="Arial" w:hAnsi="Arial" w:cs="Arial"/>
          <w:kern w:val="0"/>
          <w14:ligatures w14:val="none"/>
        </w:rPr>
      </w:pPr>
      <w:r w:rsidRPr="00595160">
        <w:rPr>
          <w:rFonts w:ascii="Arial" w:hAnsi="Arial" w:cs="Arial"/>
          <w:kern w:val="0"/>
          <w14:ligatures w14:val="none"/>
        </w:rPr>
        <w:t>The Impact of Telehealth on Quality of Care and Health Outcomes for Older Adults in the UK: A Scoping Review</w:t>
      </w:r>
    </w:p>
    <w:p w14:paraId="4583E745" w14:textId="77777777" w:rsidR="00595160" w:rsidRPr="00595160" w:rsidRDefault="00595160" w:rsidP="00595160">
      <w:pPr>
        <w:spacing w:before="100" w:beforeAutospacing="1" w:after="100" w:afterAutospacing="1" w:line="240" w:lineRule="auto"/>
        <w:rPr>
          <w:rFonts w:ascii="Arial" w:hAnsi="Arial" w:cs="Arial"/>
          <w:kern w:val="0"/>
          <w14:ligatures w14:val="none"/>
        </w:rPr>
      </w:pPr>
      <w:r w:rsidRPr="00595160">
        <w:rPr>
          <w:rFonts w:ascii="Arial" w:hAnsi="Arial" w:cs="Arial"/>
          <w:kern w:val="0"/>
          <w14:ligatures w14:val="none"/>
        </w:rPr>
        <w:t>Student Name: Newrikaa Jeyapathy</w:t>
      </w:r>
    </w:p>
    <w:p w14:paraId="704C1622" w14:textId="77777777" w:rsidR="00595160" w:rsidRPr="00595160" w:rsidRDefault="00595160" w:rsidP="00595160">
      <w:pPr>
        <w:spacing w:before="100" w:beforeAutospacing="1" w:after="100" w:afterAutospacing="1" w:line="240" w:lineRule="auto"/>
        <w:rPr>
          <w:rFonts w:ascii="Arial" w:hAnsi="Arial" w:cs="Arial"/>
          <w:kern w:val="0"/>
          <w14:ligatures w14:val="none"/>
        </w:rPr>
      </w:pPr>
      <w:r w:rsidRPr="00595160">
        <w:rPr>
          <w:rFonts w:ascii="Arial" w:hAnsi="Arial" w:cs="Arial"/>
          <w:kern w:val="0"/>
          <w14:ligatures w14:val="none"/>
        </w:rPr>
        <w:t>Student ID: 2324340</w:t>
      </w:r>
    </w:p>
    <w:p w14:paraId="31FA0EEA" w14:textId="77777777" w:rsidR="00595160" w:rsidRPr="00595160" w:rsidRDefault="00595160" w:rsidP="00595160">
      <w:pPr>
        <w:spacing w:before="100" w:beforeAutospacing="1" w:after="100" w:afterAutospacing="1" w:line="240" w:lineRule="auto"/>
        <w:rPr>
          <w:rFonts w:ascii="Arial" w:hAnsi="Arial" w:cs="Arial"/>
          <w:kern w:val="0"/>
          <w14:ligatures w14:val="none"/>
        </w:rPr>
      </w:pPr>
      <w:r w:rsidRPr="00595160">
        <w:rPr>
          <w:rFonts w:ascii="Arial" w:hAnsi="Arial" w:cs="Arial"/>
          <w:kern w:val="0"/>
          <w14:ligatures w14:val="none"/>
        </w:rPr>
        <w:t>Module Code: BMHP5019</w:t>
      </w:r>
    </w:p>
    <w:p w14:paraId="611AE486" w14:textId="77777777" w:rsidR="00595160" w:rsidRPr="00595160" w:rsidRDefault="00595160" w:rsidP="00595160">
      <w:pPr>
        <w:spacing w:before="100" w:beforeAutospacing="1" w:after="100" w:afterAutospacing="1" w:line="240" w:lineRule="auto"/>
        <w:rPr>
          <w:rFonts w:ascii="Arial" w:hAnsi="Arial" w:cs="Arial"/>
          <w:kern w:val="0"/>
          <w14:ligatures w14:val="none"/>
        </w:rPr>
      </w:pPr>
      <w:r w:rsidRPr="00595160">
        <w:rPr>
          <w:rFonts w:ascii="Arial" w:hAnsi="Arial" w:cs="Arial"/>
          <w:kern w:val="0"/>
          <w14:ligatures w14:val="none"/>
        </w:rPr>
        <w:t>Module Title: Changemakers: Creativity and Value Creation in Health and Social Care</w:t>
      </w:r>
    </w:p>
    <w:p w14:paraId="0E971196" w14:textId="6FC875C9" w:rsidR="00595160" w:rsidRPr="00EE2F77" w:rsidRDefault="00595160" w:rsidP="00595160">
      <w:pPr>
        <w:spacing w:before="100" w:beforeAutospacing="1" w:after="100" w:afterAutospacing="1" w:line="240" w:lineRule="auto"/>
        <w:rPr>
          <w:rFonts w:ascii="Arial" w:hAnsi="Arial" w:cs="Arial"/>
          <w:kern w:val="0"/>
          <w14:ligatures w14:val="none"/>
        </w:rPr>
      </w:pPr>
      <w:r w:rsidRPr="00595160">
        <w:rPr>
          <w:rFonts w:ascii="Arial" w:hAnsi="Arial" w:cs="Arial"/>
          <w:kern w:val="0"/>
          <w14:ligatures w14:val="none"/>
        </w:rPr>
        <w:t>Assignment Title: Component 2 – Research Repor</w:t>
      </w:r>
      <w:r w:rsidRPr="00EE2F77">
        <w:rPr>
          <w:rFonts w:ascii="Arial" w:hAnsi="Arial" w:cs="Arial"/>
          <w:kern w:val="0"/>
          <w14:ligatures w14:val="none"/>
        </w:rPr>
        <w:t>t</w:t>
      </w:r>
    </w:p>
    <w:p w14:paraId="19DABDD2" w14:textId="77777777" w:rsidR="00E75FF4" w:rsidRPr="00EE2F77" w:rsidRDefault="00E75FF4" w:rsidP="00595160">
      <w:pPr>
        <w:spacing w:before="100" w:beforeAutospacing="1" w:after="100" w:afterAutospacing="1" w:line="240" w:lineRule="auto"/>
        <w:rPr>
          <w:rFonts w:ascii="Arial" w:hAnsi="Arial" w:cs="Arial"/>
          <w:kern w:val="0"/>
          <w14:ligatures w14:val="none"/>
        </w:rPr>
      </w:pPr>
    </w:p>
    <w:p w14:paraId="595A4CC8" w14:textId="77777777" w:rsidR="00E75FF4" w:rsidRPr="00EE2F77" w:rsidRDefault="00E75FF4" w:rsidP="00595160">
      <w:pPr>
        <w:spacing w:before="100" w:beforeAutospacing="1" w:after="100" w:afterAutospacing="1" w:line="240" w:lineRule="auto"/>
        <w:rPr>
          <w:rFonts w:ascii="Arial" w:hAnsi="Arial" w:cs="Arial"/>
          <w:kern w:val="0"/>
          <w14:ligatures w14:val="none"/>
        </w:rPr>
      </w:pPr>
    </w:p>
    <w:p w14:paraId="5ECFA249" w14:textId="77777777" w:rsidR="00E75FF4" w:rsidRPr="00EE2F77" w:rsidRDefault="00E75FF4" w:rsidP="00595160">
      <w:pPr>
        <w:spacing w:before="100" w:beforeAutospacing="1" w:after="100" w:afterAutospacing="1" w:line="240" w:lineRule="auto"/>
        <w:rPr>
          <w:rFonts w:ascii="Arial" w:hAnsi="Arial" w:cs="Arial"/>
          <w:kern w:val="0"/>
          <w14:ligatures w14:val="none"/>
        </w:rPr>
      </w:pPr>
    </w:p>
    <w:p w14:paraId="155DE375" w14:textId="77777777" w:rsidR="00E75FF4" w:rsidRPr="00EE2F77" w:rsidRDefault="00E75FF4" w:rsidP="00595160">
      <w:pPr>
        <w:spacing w:before="100" w:beforeAutospacing="1" w:after="100" w:afterAutospacing="1" w:line="240" w:lineRule="auto"/>
        <w:rPr>
          <w:rFonts w:ascii="Arial" w:hAnsi="Arial" w:cs="Arial"/>
          <w:kern w:val="0"/>
          <w14:ligatures w14:val="none"/>
        </w:rPr>
      </w:pPr>
    </w:p>
    <w:p w14:paraId="681583A5" w14:textId="77777777" w:rsidR="00E75FF4" w:rsidRPr="00EE2F77" w:rsidRDefault="00E75FF4" w:rsidP="00595160">
      <w:pPr>
        <w:spacing w:before="100" w:beforeAutospacing="1" w:after="100" w:afterAutospacing="1" w:line="240" w:lineRule="auto"/>
        <w:rPr>
          <w:rFonts w:ascii="Arial" w:hAnsi="Arial" w:cs="Arial"/>
          <w:kern w:val="0"/>
          <w14:ligatures w14:val="none"/>
        </w:rPr>
      </w:pPr>
    </w:p>
    <w:p w14:paraId="656033C1" w14:textId="77777777" w:rsidR="00E75FF4" w:rsidRPr="00EE2F77" w:rsidRDefault="00E75FF4" w:rsidP="00595160">
      <w:pPr>
        <w:spacing w:before="100" w:beforeAutospacing="1" w:after="100" w:afterAutospacing="1" w:line="240" w:lineRule="auto"/>
        <w:rPr>
          <w:rFonts w:ascii="Arial" w:hAnsi="Arial" w:cs="Arial"/>
          <w:kern w:val="0"/>
          <w14:ligatures w14:val="none"/>
        </w:rPr>
      </w:pPr>
    </w:p>
    <w:p w14:paraId="5B1DD808" w14:textId="77777777" w:rsidR="00E75FF4" w:rsidRPr="00EE2F77" w:rsidRDefault="00E75FF4" w:rsidP="00595160">
      <w:pPr>
        <w:spacing w:before="100" w:beforeAutospacing="1" w:after="100" w:afterAutospacing="1" w:line="240" w:lineRule="auto"/>
        <w:rPr>
          <w:rFonts w:ascii="Arial" w:hAnsi="Arial" w:cs="Arial"/>
          <w:kern w:val="0"/>
          <w14:ligatures w14:val="none"/>
        </w:rPr>
      </w:pPr>
    </w:p>
    <w:p w14:paraId="410C1863" w14:textId="77777777" w:rsidR="00E75FF4" w:rsidRPr="00EE2F77" w:rsidRDefault="00E75FF4" w:rsidP="00595160">
      <w:pPr>
        <w:spacing w:before="100" w:beforeAutospacing="1" w:after="100" w:afterAutospacing="1" w:line="240" w:lineRule="auto"/>
        <w:rPr>
          <w:rFonts w:ascii="Arial" w:hAnsi="Arial" w:cs="Arial"/>
          <w:kern w:val="0"/>
          <w14:ligatures w14:val="none"/>
        </w:rPr>
      </w:pPr>
    </w:p>
    <w:p w14:paraId="7551BF33" w14:textId="77777777" w:rsidR="00E75FF4" w:rsidRPr="00EE2F77" w:rsidRDefault="00E75FF4" w:rsidP="00595160">
      <w:pPr>
        <w:spacing w:before="100" w:beforeAutospacing="1" w:after="100" w:afterAutospacing="1" w:line="240" w:lineRule="auto"/>
        <w:rPr>
          <w:rFonts w:ascii="Arial" w:hAnsi="Arial" w:cs="Arial"/>
          <w:kern w:val="0"/>
          <w14:ligatures w14:val="none"/>
        </w:rPr>
      </w:pPr>
    </w:p>
    <w:p w14:paraId="781BBABB" w14:textId="77777777" w:rsidR="00E75FF4" w:rsidRPr="00EE2F77" w:rsidRDefault="00E75FF4" w:rsidP="00595160">
      <w:pPr>
        <w:spacing w:before="100" w:beforeAutospacing="1" w:after="100" w:afterAutospacing="1" w:line="240" w:lineRule="auto"/>
        <w:rPr>
          <w:rFonts w:ascii="Arial" w:hAnsi="Arial" w:cs="Arial"/>
          <w:kern w:val="0"/>
          <w14:ligatures w14:val="none"/>
        </w:rPr>
      </w:pPr>
    </w:p>
    <w:p w14:paraId="1CD19E6E" w14:textId="77777777" w:rsidR="00E75FF4" w:rsidRPr="00EE2F77" w:rsidRDefault="00E75FF4" w:rsidP="00595160">
      <w:pPr>
        <w:spacing w:before="100" w:beforeAutospacing="1" w:after="100" w:afterAutospacing="1" w:line="240" w:lineRule="auto"/>
        <w:rPr>
          <w:rFonts w:ascii="Arial" w:hAnsi="Arial" w:cs="Arial"/>
          <w:kern w:val="0"/>
          <w14:ligatures w14:val="none"/>
        </w:rPr>
      </w:pPr>
    </w:p>
    <w:p w14:paraId="120BABE6" w14:textId="77777777" w:rsidR="00E75FF4" w:rsidRPr="00EE2F77" w:rsidRDefault="00E75FF4" w:rsidP="00595160">
      <w:pPr>
        <w:spacing w:before="100" w:beforeAutospacing="1" w:after="100" w:afterAutospacing="1" w:line="240" w:lineRule="auto"/>
        <w:rPr>
          <w:rFonts w:ascii="Arial" w:hAnsi="Arial" w:cs="Arial"/>
          <w:kern w:val="0"/>
          <w14:ligatures w14:val="none"/>
        </w:rPr>
      </w:pPr>
    </w:p>
    <w:p w14:paraId="5C39A134" w14:textId="77777777" w:rsidR="00E75FF4" w:rsidRPr="00EE2F77" w:rsidRDefault="00E75FF4" w:rsidP="00595160">
      <w:pPr>
        <w:spacing w:before="100" w:beforeAutospacing="1" w:after="100" w:afterAutospacing="1" w:line="240" w:lineRule="auto"/>
        <w:rPr>
          <w:rFonts w:ascii="Arial" w:hAnsi="Arial" w:cs="Arial"/>
          <w:kern w:val="0"/>
          <w14:ligatures w14:val="none"/>
        </w:rPr>
      </w:pPr>
    </w:p>
    <w:p w14:paraId="15C9785C" w14:textId="77777777" w:rsidR="00E75FF4" w:rsidRPr="00EE2F77" w:rsidRDefault="00E75FF4" w:rsidP="00595160">
      <w:pPr>
        <w:spacing w:before="100" w:beforeAutospacing="1" w:after="100" w:afterAutospacing="1" w:line="240" w:lineRule="auto"/>
        <w:rPr>
          <w:rFonts w:ascii="Arial" w:hAnsi="Arial" w:cs="Arial"/>
          <w:kern w:val="0"/>
          <w14:ligatures w14:val="none"/>
        </w:rPr>
      </w:pPr>
    </w:p>
    <w:p w14:paraId="4395E65F" w14:textId="77777777" w:rsidR="00E75FF4" w:rsidRPr="00EE2F77" w:rsidRDefault="00E75FF4" w:rsidP="00595160">
      <w:pPr>
        <w:spacing w:before="100" w:beforeAutospacing="1" w:after="100" w:afterAutospacing="1" w:line="240" w:lineRule="auto"/>
        <w:rPr>
          <w:rFonts w:ascii="Arial" w:hAnsi="Arial" w:cs="Arial"/>
          <w:kern w:val="0"/>
          <w14:ligatures w14:val="none"/>
        </w:rPr>
      </w:pPr>
    </w:p>
    <w:p w14:paraId="08B31B1B" w14:textId="77777777" w:rsidR="00E75FF4" w:rsidRPr="00EE2F77" w:rsidRDefault="00E75FF4" w:rsidP="00595160">
      <w:pPr>
        <w:spacing w:before="100" w:beforeAutospacing="1" w:after="100" w:afterAutospacing="1" w:line="240" w:lineRule="auto"/>
        <w:rPr>
          <w:rFonts w:ascii="Arial" w:hAnsi="Arial" w:cs="Arial"/>
          <w:kern w:val="0"/>
          <w14:ligatures w14:val="none"/>
        </w:rPr>
      </w:pPr>
    </w:p>
    <w:p w14:paraId="1F224462" w14:textId="77777777" w:rsidR="000D0706" w:rsidRPr="000D0706" w:rsidRDefault="000D0706" w:rsidP="000D0706">
      <w:pPr>
        <w:spacing w:before="100" w:beforeAutospacing="1" w:after="100" w:afterAutospacing="1" w:line="240" w:lineRule="auto"/>
        <w:outlineLvl w:val="0"/>
        <w:rPr>
          <w:rFonts w:ascii="Arial" w:eastAsia="Times New Roman" w:hAnsi="Arial" w:cs="Arial"/>
          <w:b/>
          <w:bCs/>
          <w:kern w:val="36"/>
          <w:sz w:val="48"/>
          <w:szCs w:val="48"/>
          <w14:ligatures w14:val="none"/>
        </w:rPr>
      </w:pPr>
      <w:r w:rsidRPr="000D0706">
        <w:rPr>
          <w:rFonts w:ascii="Arial" w:eastAsia="Times New Roman" w:hAnsi="Arial" w:cs="Arial"/>
          <w:b/>
          <w:bCs/>
          <w:kern w:val="36"/>
          <w:sz w:val="48"/>
          <w:szCs w:val="48"/>
          <w14:ligatures w14:val="none"/>
        </w:rPr>
        <w:lastRenderedPageBreak/>
        <w:t>Contents</w:t>
      </w:r>
    </w:p>
    <w:p w14:paraId="00A62F82" w14:textId="362819C6" w:rsidR="000D0706" w:rsidRPr="000D0706" w:rsidRDefault="000D0706" w:rsidP="000D0706">
      <w:pPr>
        <w:numPr>
          <w:ilvl w:val="0"/>
          <w:numId w:val="1"/>
        </w:numPr>
        <w:spacing w:before="100" w:beforeAutospacing="1" w:after="100" w:afterAutospacing="1" w:line="240" w:lineRule="auto"/>
        <w:rPr>
          <w:rFonts w:ascii="Arial" w:hAnsi="Arial" w:cs="Arial"/>
          <w:kern w:val="0"/>
          <w14:ligatures w14:val="none"/>
        </w:rPr>
      </w:pPr>
      <w:r w:rsidRPr="000D0706">
        <w:rPr>
          <w:rFonts w:ascii="Arial" w:hAnsi="Arial" w:cs="Arial"/>
          <w:kern w:val="0"/>
          <w14:ligatures w14:val="none"/>
        </w:rPr>
        <w:t xml:space="preserve">Introduction ……………………………………………………………………… </w:t>
      </w:r>
    </w:p>
    <w:p w14:paraId="027941C8" w14:textId="305B35B4" w:rsidR="000D0706" w:rsidRPr="000D0706" w:rsidRDefault="000D0706" w:rsidP="000D0706">
      <w:pPr>
        <w:numPr>
          <w:ilvl w:val="0"/>
          <w:numId w:val="1"/>
        </w:numPr>
        <w:spacing w:before="100" w:beforeAutospacing="1" w:after="100" w:afterAutospacing="1" w:line="240" w:lineRule="auto"/>
        <w:rPr>
          <w:rFonts w:ascii="Arial" w:hAnsi="Arial" w:cs="Arial"/>
          <w:kern w:val="0"/>
          <w14:ligatures w14:val="none"/>
        </w:rPr>
      </w:pPr>
      <w:r w:rsidRPr="000D0706">
        <w:rPr>
          <w:rFonts w:ascii="Arial" w:hAnsi="Arial" w:cs="Arial"/>
          <w:kern w:val="0"/>
          <w14:ligatures w14:val="none"/>
        </w:rPr>
        <w:t xml:space="preserve">Background ……………………………………………………………………… </w:t>
      </w:r>
    </w:p>
    <w:p w14:paraId="00DD47F0" w14:textId="1083EE57" w:rsidR="000D0706" w:rsidRPr="000D0706" w:rsidRDefault="000D0706" w:rsidP="000D0706">
      <w:pPr>
        <w:numPr>
          <w:ilvl w:val="0"/>
          <w:numId w:val="1"/>
        </w:numPr>
        <w:spacing w:before="100" w:beforeAutospacing="1" w:after="100" w:afterAutospacing="1" w:line="240" w:lineRule="auto"/>
        <w:rPr>
          <w:rFonts w:ascii="Arial" w:hAnsi="Arial" w:cs="Arial"/>
          <w:kern w:val="0"/>
          <w14:ligatures w14:val="none"/>
        </w:rPr>
      </w:pPr>
      <w:r w:rsidRPr="000D0706">
        <w:rPr>
          <w:rFonts w:ascii="Arial" w:hAnsi="Arial" w:cs="Arial"/>
          <w:kern w:val="0"/>
          <w14:ligatures w14:val="none"/>
        </w:rPr>
        <w:t xml:space="preserve">Methods ………………………………………………………………………… </w:t>
      </w:r>
    </w:p>
    <w:p w14:paraId="441D7C98" w14:textId="249CD687" w:rsidR="000D0706" w:rsidRPr="000D0706" w:rsidRDefault="000D0706" w:rsidP="000D0706">
      <w:pPr>
        <w:numPr>
          <w:ilvl w:val="0"/>
          <w:numId w:val="1"/>
        </w:numPr>
        <w:spacing w:before="100" w:beforeAutospacing="1" w:after="100" w:afterAutospacing="1" w:line="240" w:lineRule="auto"/>
        <w:rPr>
          <w:rFonts w:ascii="Arial" w:hAnsi="Arial" w:cs="Arial"/>
          <w:kern w:val="0"/>
          <w14:ligatures w14:val="none"/>
        </w:rPr>
      </w:pPr>
      <w:r w:rsidRPr="000D0706">
        <w:rPr>
          <w:rFonts w:ascii="Arial" w:hAnsi="Arial" w:cs="Arial"/>
          <w:kern w:val="0"/>
          <w14:ligatures w14:val="none"/>
        </w:rPr>
        <w:t xml:space="preserve">Results ………………………………………………………………………… </w:t>
      </w:r>
    </w:p>
    <w:p w14:paraId="3A419979" w14:textId="4AF88E16" w:rsidR="000D0706" w:rsidRPr="000D0706" w:rsidRDefault="000D0706" w:rsidP="000D0706">
      <w:pPr>
        <w:numPr>
          <w:ilvl w:val="0"/>
          <w:numId w:val="1"/>
        </w:numPr>
        <w:spacing w:before="100" w:beforeAutospacing="1" w:after="100" w:afterAutospacing="1" w:line="240" w:lineRule="auto"/>
        <w:rPr>
          <w:rFonts w:ascii="Arial" w:hAnsi="Arial" w:cs="Arial"/>
          <w:kern w:val="0"/>
          <w14:ligatures w14:val="none"/>
        </w:rPr>
      </w:pPr>
      <w:r w:rsidRPr="000D0706">
        <w:rPr>
          <w:rFonts w:ascii="Arial" w:hAnsi="Arial" w:cs="Arial"/>
          <w:kern w:val="0"/>
          <w14:ligatures w14:val="none"/>
        </w:rPr>
        <w:t xml:space="preserve">Discussion ……………………………………………………………………… </w:t>
      </w:r>
    </w:p>
    <w:p w14:paraId="01A98C74" w14:textId="35653EB4" w:rsidR="000D0706" w:rsidRPr="000D0706" w:rsidRDefault="000D0706" w:rsidP="000D0706">
      <w:pPr>
        <w:numPr>
          <w:ilvl w:val="0"/>
          <w:numId w:val="1"/>
        </w:numPr>
        <w:spacing w:before="100" w:beforeAutospacing="1" w:after="100" w:afterAutospacing="1" w:line="240" w:lineRule="auto"/>
        <w:rPr>
          <w:rFonts w:ascii="Arial" w:hAnsi="Arial" w:cs="Arial"/>
          <w:kern w:val="0"/>
          <w14:ligatures w14:val="none"/>
        </w:rPr>
      </w:pPr>
      <w:r w:rsidRPr="000D0706">
        <w:rPr>
          <w:rFonts w:ascii="Arial" w:hAnsi="Arial" w:cs="Arial"/>
          <w:kern w:val="0"/>
          <w14:ligatures w14:val="none"/>
        </w:rPr>
        <w:t xml:space="preserve">Conclusion and Recommendations …………………………………………… </w:t>
      </w:r>
    </w:p>
    <w:p w14:paraId="607DFB48" w14:textId="00158F63" w:rsidR="000D0706" w:rsidRPr="00EE2F77" w:rsidRDefault="000D0706" w:rsidP="000D0706">
      <w:pPr>
        <w:numPr>
          <w:ilvl w:val="0"/>
          <w:numId w:val="1"/>
        </w:numPr>
        <w:spacing w:before="100" w:beforeAutospacing="1" w:after="100" w:afterAutospacing="1" w:line="240" w:lineRule="auto"/>
        <w:rPr>
          <w:rFonts w:ascii="Arial" w:hAnsi="Arial" w:cs="Arial"/>
          <w:kern w:val="0"/>
          <w14:ligatures w14:val="none"/>
        </w:rPr>
      </w:pPr>
      <w:r w:rsidRPr="000D0706">
        <w:rPr>
          <w:rFonts w:ascii="Arial" w:hAnsi="Arial" w:cs="Arial"/>
          <w:kern w:val="0"/>
          <w14:ligatures w14:val="none"/>
        </w:rPr>
        <w:t xml:space="preserve">References ……………………………………………………………………… </w:t>
      </w:r>
    </w:p>
    <w:p w14:paraId="119B9A1C"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0E8ED12D"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20D37D70"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06AEB293"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232A325D"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7B403B25"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64A73E89"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2F5DDF36"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6C9D80C3"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480E25E8"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2A3E40F5"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328FFB1D"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41F9335C"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395ABFA3"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07EDF231"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615E555B"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67D6B1E5"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139413C9"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3712218C"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5C7F00E9" w14:textId="77777777" w:rsidR="008C3C76" w:rsidRPr="00EE2F77" w:rsidRDefault="008C3C76" w:rsidP="008C3C76">
      <w:pPr>
        <w:spacing w:before="100" w:beforeAutospacing="1" w:after="100" w:afterAutospacing="1" w:line="240" w:lineRule="auto"/>
        <w:rPr>
          <w:rFonts w:ascii="Arial" w:hAnsi="Arial" w:cs="Arial"/>
          <w:kern w:val="0"/>
          <w14:ligatures w14:val="none"/>
        </w:rPr>
      </w:pPr>
    </w:p>
    <w:p w14:paraId="48A5583F" w14:textId="657C7145" w:rsidR="00F216A0" w:rsidRPr="00F216A0" w:rsidRDefault="00F216A0" w:rsidP="002B1A01">
      <w:pPr>
        <w:spacing w:before="100" w:beforeAutospacing="1" w:after="100" w:afterAutospacing="1" w:line="240" w:lineRule="auto"/>
        <w:outlineLvl w:val="1"/>
        <w:rPr>
          <w:rFonts w:ascii="Arial" w:eastAsia="Times New Roman" w:hAnsi="Arial" w:cs="Arial"/>
          <w:b/>
          <w:bCs/>
          <w:kern w:val="0"/>
          <w14:ligatures w14:val="none"/>
        </w:rPr>
      </w:pPr>
      <w:r w:rsidRPr="00F216A0">
        <w:rPr>
          <w:rFonts w:ascii="Arial" w:eastAsia="Times New Roman" w:hAnsi="Arial" w:cs="Arial"/>
          <w:b/>
          <w:bCs/>
          <w:kern w:val="0"/>
          <w14:ligatures w14:val="none"/>
        </w:rPr>
        <w:t>Introduction</w:t>
      </w:r>
    </w:p>
    <w:p w14:paraId="06FBD4BE" w14:textId="72124F83" w:rsidR="00F216A0" w:rsidRPr="00F216A0" w:rsidRDefault="00F216A0" w:rsidP="00F216A0">
      <w:pPr>
        <w:spacing w:before="100" w:beforeAutospacing="1" w:after="100" w:afterAutospacing="1" w:line="240" w:lineRule="auto"/>
        <w:rPr>
          <w:rFonts w:ascii="Arial" w:hAnsi="Arial" w:cs="Arial"/>
          <w:kern w:val="0"/>
          <w14:ligatures w14:val="none"/>
        </w:rPr>
      </w:pPr>
      <w:r w:rsidRPr="00F216A0">
        <w:rPr>
          <w:rFonts w:ascii="Arial" w:hAnsi="Arial" w:cs="Arial"/>
          <w:kern w:val="0"/>
          <w14:ligatures w14:val="none"/>
        </w:rPr>
        <w:t>Telehealth, defined as the provision of healthcare through digital technologies, has become a central feature of UK primary care. It encompasses a wide range of interventions, including video consultations, telephone consultations, asynchronous messaging, online appointment scheduling, and remote monitoring of chronic conditions (Shaw et al., 2021). The COVID-19 pandemic accelerated the adoption of telehealth, with many primary care practices rapidly transitioning from face-to-face consultations to remote care to reduce viral transmission while maintaining continuity of care (Murphy et al., 2021). This rapid shift has highlighted both opportunities and challenges in integrating telehealth into routine practice, particularly regarding patient experience, a critical dimension of healthcare quality.</w:t>
      </w:r>
    </w:p>
    <w:p w14:paraId="2A8F5C84" w14:textId="43814090" w:rsidR="00F216A0" w:rsidRPr="00F216A0" w:rsidRDefault="00F216A0" w:rsidP="00F216A0">
      <w:pPr>
        <w:spacing w:before="100" w:beforeAutospacing="1" w:after="100" w:afterAutospacing="1" w:line="240" w:lineRule="auto"/>
        <w:rPr>
          <w:rFonts w:ascii="Arial" w:hAnsi="Arial" w:cs="Arial"/>
          <w:kern w:val="0"/>
          <w14:ligatures w14:val="none"/>
        </w:rPr>
      </w:pPr>
      <w:r w:rsidRPr="00F216A0">
        <w:rPr>
          <w:rFonts w:ascii="Arial" w:hAnsi="Arial" w:cs="Arial"/>
          <w:kern w:val="0"/>
          <w14:ligatures w14:val="none"/>
        </w:rPr>
        <w:t>Patient experience encompasses perceptions of healthcare delivery, including accessibility, communication, relational continuity, perceived safety, and overall satisfaction (Coulter et al., 2019). Positive experiences are strongly associated with adherence to treatment, engagement with healthcare services, and improved health outcomes. Conversely, negative experiences may reduce trust, engagement, and equity in healthcare delivery. Understanding patient perspectives is essential to ensure services are patient-centered, inclusive, and effective.</w:t>
      </w:r>
    </w:p>
    <w:p w14:paraId="3172CCEC" w14:textId="0C9BF038" w:rsidR="00F216A0" w:rsidRPr="00F216A0" w:rsidRDefault="00F216A0" w:rsidP="00F216A0">
      <w:pPr>
        <w:spacing w:before="100" w:beforeAutospacing="1" w:after="100" w:afterAutospacing="1" w:line="240" w:lineRule="auto"/>
        <w:rPr>
          <w:rFonts w:ascii="Arial" w:hAnsi="Arial" w:cs="Arial"/>
          <w:kern w:val="0"/>
          <w14:ligatures w14:val="none"/>
        </w:rPr>
      </w:pPr>
      <w:r w:rsidRPr="00F216A0">
        <w:rPr>
          <w:rFonts w:ascii="Arial" w:hAnsi="Arial" w:cs="Arial"/>
          <w:kern w:val="0"/>
          <w14:ligatures w14:val="none"/>
        </w:rPr>
        <w:t>The rationale for this scoping review is to synthesise UK-based evidence on how telehealth influences patient experience in primary care. While remote consultations offer convenience, flexibility, and reduced travel burdens, challenges such as digital literacy barriers, technological limitations, reduced opportunities for physical assessment, and communication concerns can negatively affect patient satisfaction (Greenhalgh et al., 2022). By focusing on peer-reviewed UK studies, this review identifies patterns and themes, highlights gaps, and provides recommendations for policy and practice.</w:t>
      </w:r>
    </w:p>
    <w:p w14:paraId="1C2C474A" w14:textId="77777777" w:rsidR="00F216A0" w:rsidRPr="00F216A0" w:rsidRDefault="00F216A0" w:rsidP="00F216A0">
      <w:pPr>
        <w:spacing w:before="100" w:beforeAutospacing="1" w:after="100" w:afterAutospacing="1" w:line="240" w:lineRule="auto"/>
        <w:rPr>
          <w:rFonts w:ascii="Arial" w:hAnsi="Arial" w:cs="Arial"/>
          <w:kern w:val="0"/>
          <w14:ligatures w14:val="none"/>
        </w:rPr>
      </w:pPr>
      <w:r w:rsidRPr="00F216A0">
        <w:rPr>
          <w:rFonts w:ascii="Arial" w:hAnsi="Arial" w:cs="Arial"/>
          <w:kern w:val="0"/>
          <w14:ligatures w14:val="none"/>
        </w:rPr>
        <w:t>The review question guiding this study is: “How does telehealth affect patient experience in UK primary care?” The objectives include: identifying and analysing relevant UK research on patient experiences, exploring perceived benefits and challenges, examining barriers related to digital inclusion, and highlighting gaps for future research to inform patient-centered telehealth.</w:t>
      </w:r>
    </w:p>
    <w:p w14:paraId="69B79548" w14:textId="77777777" w:rsidR="00F216A0" w:rsidRPr="00F216A0" w:rsidRDefault="00F216A0" w:rsidP="00F216A0">
      <w:pPr>
        <w:spacing w:after="0" w:line="240" w:lineRule="auto"/>
        <w:rPr>
          <w:rFonts w:ascii="Arial" w:eastAsia="Times New Roman" w:hAnsi="Arial" w:cs="Arial"/>
          <w:kern w:val="0"/>
          <w14:ligatures w14:val="none"/>
        </w:rPr>
      </w:pPr>
      <w:r w:rsidRPr="00F216A0">
        <w:rPr>
          <w:rFonts w:ascii="Arial" w:eastAsia="Times New Roman" w:hAnsi="Arial" w:cs="Arial"/>
          <w:noProof/>
          <w:kern w:val="0"/>
          <w14:ligatures w14:val="none"/>
        </w:rPr>
        <mc:AlternateContent>
          <mc:Choice Requires="wps">
            <w:drawing>
              <wp:inline distT="0" distB="0" distL="0" distR="0" wp14:anchorId="722BBB01" wp14:editId="12B21066">
                <wp:extent cx="5731510" cy="1270"/>
                <wp:effectExtent l="0" t="31750" r="0" b="36830"/>
                <wp:docPr id="1360088980"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939F446"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D9B5438" w14:textId="555B5621" w:rsidR="00F216A0" w:rsidRPr="00F216A0" w:rsidRDefault="00F216A0" w:rsidP="003433C7">
      <w:pPr>
        <w:spacing w:before="100" w:beforeAutospacing="1" w:after="100" w:afterAutospacing="1" w:line="240" w:lineRule="auto"/>
        <w:outlineLvl w:val="1"/>
        <w:rPr>
          <w:rFonts w:ascii="Arial" w:hAnsi="Arial" w:cs="Arial"/>
          <w:b/>
          <w:bCs/>
          <w:kern w:val="0"/>
          <w14:ligatures w14:val="none"/>
        </w:rPr>
      </w:pPr>
      <w:r w:rsidRPr="00F216A0">
        <w:rPr>
          <w:rFonts w:ascii="Arial" w:eastAsia="Times New Roman" w:hAnsi="Arial" w:cs="Arial"/>
          <w:b/>
          <w:bCs/>
          <w:kern w:val="0"/>
          <w14:ligatures w14:val="none"/>
        </w:rPr>
        <w:t>Background</w:t>
      </w:r>
    </w:p>
    <w:p w14:paraId="3F2C6B70" w14:textId="2C041C43" w:rsidR="00F216A0" w:rsidRPr="00F216A0" w:rsidRDefault="00F216A0" w:rsidP="00F216A0">
      <w:pPr>
        <w:spacing w:before="100" w:beforeAutospacing="1" w:after="100" w:afterAutospacing="1" w:line="240" w:lineRule="auto"/>
        <w:rPr>
          <w:rFonts w:ascii="Arial" w:hAnsi="Arial" w:cs="Arial"/>
          <w:kern w:val="0"/>
          <w14:ligatures w14:val="none"/>
        </w:rPr>
      </w:pPr>
      <w:r w:rsidRPr="00F216A0">
        <w:rPr>
          <w:rFonts w:ascii="Arial" w:hAnsi="Arial" w:cs="Arial"/>
          <w:kern w:val="0"/>
          <w14:ligatures w14:val="none"/>
        </w:rPr>
        <w:t>Telehealth has become increasingly prominent in UK primary care, supported by national policies and strategic frameworks. The NHS Long Term Plan (2019) emphasises digital integration to improve patient choice, efficiency, and accessibility. The Digital First Primary Care Programme aims to make digital consultations standard while maintaining high-quality care and clinical safety. Evidence suggests telehealth is effective for routine follow-ups, chronic disease monitoring, and minor illnesses but may be less suitable for complex or multi-morbid conditions that require physical assessment (Murphy et al., 2021).</w:t>
      </w:r>
    </w:p>
    <w:p w14:paraId="15D29E14" w14:textId="34BCFBE0" w:rsidR="00F216A0" w:rsidRPr="00F216A0" w:rsidRDefault="00F216A0" w:rsidP="00F216A0">
      <w:pPr>
        <w:spacing w:before="100" w:beforeAutospacing="1" w:after="100" w:afterAutospacing="1" w:line="240" w:lineRule="auto"/>
        <w:rPr>
          <w:rFonts w:ascii="Arial" w:hAnsi="Arial" w:cs="Arial"/>
          <w:kern w:val="0"/>
          <w14:ligatures w14:val="none"/>
        </w:rPr>
      </w:pPr>
      <w:r w:rsidRPr="00F216A0">
        <w:rPr>
          <w:rFonts w:ascii="Arial" w:hAnsi="Arial" w:cs="Arial"/>
          <w:kern w:val="0"/>
          <w14:ligatures w14:val="none"/>
        </w:rPr>
        <w:t>Patient experience is influenced by accessibility, communication, continuity, perceived safety, and satisfaction. Digital exclusion remains a significant barrier, affecting older adults, individuals with disabilities, and socioeconomically disadvantaged patients (Hammersley et al., 2022). Communication quality is crucial; video consultations provide visual cues that enhance understanding and rapport, whereas telephone consultations may feel impersonal or rushed (Mroz et al., 2021). Safety concerns exist, particularly for complex or multi-morbid cases. Providing clear guidance, follow-up options, and access to in-person care mitigates patient anxiety and enhances confidence (Newbould et al., 2023).</w:t>
      </w:r>
    </w:p>
    <w:p w14:paraId="4C072507" w14:textId="77777777" w:rsidR="00F216A0" w:rsidRPr="00F216A0" w:rsidRDefault="00F216A0" w:rsidP="00F216A0">
      <w:pPr>
        <w:spacing w:before="100" w:beforeAutospacing="1" w:after="100" w:afterAutospacing="1" w:line="240" w:lineRule="auto"/>
        <w:rPr>
          <w:rFonts w:ascii="Arial" w:hAnsi="Arial" w:cs="Arial"/>
          <w:kern w:val="0"/>
          <w14:ligatures w14:val="none"/>
        </w:rPr>
      </w:pPr>
      <w:r w:rsidRPr="00F216A0">
        <w:rPr>
          <w:rFonts w:ascii="Arial" w:hAnsi="Arial" w:cs="Arial"/>
          <w:kern w:val="0"/>
          <w14:ligatures w14:val="none"/>
        </w:rPr>
        <w:t>The COVID-19 pandemic intensified both the adoption of telehealth and the exposure of gaps in access and digital literacy. While many patients appreciated the convenience and reduced exposure risk, others experienced difficulties due to lack of technical skills, limited internet access, or unfamiliarity with platforms. Understanding these challenges is essential for equitable service design, particularly as digital-first approaches are increasingly embedded in UK primary care policy (Greenhalgh et al., 2022).</w:t>
      </w:r>
    </w:p>
    <w:p w14:paraId="49246D7C" w14:textId="77777777" w:rsidR="00F216A0" w:rsidRPr="00F216A0" w:rsidRDefault="00F216A0" w:rsidP="00F216A0">
      <w:pPr>
        <w:spacing w:after="0" w:line="240" w:lineRule="auto"/>
        <w:rPr>
          <w:rFonts w:ascii="Arial" w:eastAsia="Times New Roman" w:hAnsi="Arial" w:cs="Arial"/>
          <w:kern w:val="0"/>
          <w14:ligatures w14:val="none"/>
        </w:rPr>
      </w:pPr>
      <w:r w:rsidRPr="00F216A0">
        <w:rPr>
          <w:rFonts w:ascii="Arial" w:eastAsia="Times New Roman" w:hAnsi="Arial" w:cs="Arial"/>
          <w:noProof/>
          <w:kern w:val="0"/>
          <w14:ligatures w14:val="none"/>
        </w:rPr>
        <mc:AlternateContent>
          <mc:Choice Requires="wps">
            <w:drawing>
              <wp:inline distT="0" distB="0" distL="0" distR="0" wp14:anchorId="542BD645" wp14:editId="30C7FE44">
                <wp:extent cx="5731510" cy="1270"/>
                <wp:effectExtent l="0" t="31750" r="0" b="36830"/>
                <wp:docPr id="1461188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4C20885"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7228891" w14:textId="5117896E" w:rsidR="00F216A0" w:rsidRPr="00F216A0" w:rsidRDefault="00F216A0" w:rsidP="003433C7">
      <w:pPr>
        <w:spacing w:before="100" w:beforeAutospacing="1" w:after="100" w:afterAutospacing="1" w:line="240" w:lineRule="auto"/>
        <w:outlineLvl w:val="1"/>
        <w:rPr>
          <w:rFonts w:ascii="Arial" w:hAnsi="Arial" w:cs="Arial"/>
          <w:b/>
          <w:bCs/>
          <w:kern w:val="0"/>
          <w14:ligatures w14:val="none"/>
        </w:rPr>
      </w:pPr>
      <w:r w:rsidRPr="00F216A0">
        <w:rPr>
          <w:rFonts w:ascii="Arial" w:eastAsia="Times New Roman" w:hAnsi="Arial" w:cs="Arial"/>
          <w:b/>
          <w:bCs/>
          <w:kern w:val="0"/>
          <w14:ligatures w14:val="none"/>
        </w:rPr>
        <w:t>Methods</w:t>
      </w:r>
    </w:p>
    <w:p w14:paraId="60A3F564" w14:textId="12A3958D" w:rsidR="00561B6F" w:rsidRPr="00561B6F" w:rsidRDefault="00561B6F" w:rsidP="00561B6F">
      <w:p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This scoping review was conducted to examine how telehealth affects patient experience in UK primary care. The review followed the methodological framework outlined by Arksey and O’Malley (2005) and adhered to the Preferred Reporting Items for Systematic Reviews and Meta-Analyses Extension for Scoping Reviews (PRISMA-ScR) guidelines (Tricco et al., 2018). The purpose was to systematically identify, map, and synthesise peer-reviewed evidence on patient experiences with telehealth, highlighting themes, gaps, and implications for UK practice.</w:t>
      </w:r>
    </w:p>
    <w:p w14:paraId="513C5401" w14:textId="0F001EA0" w:rsidR="00561B6F" w:rsidRPr="00561B6F" w:rsidRDefault="00561B6F" w:rsidP="003433C7">
      <w:pPr>
        <w:spacing w:before="100" w:beforeAutospacing="1" w:after="100" w:afterAutospacing="1" w:line="240" w:lineRule="auto"/>
        <w:outlineLvl w:val="2"/>
        <w:rPr>
          <w:rFonts w:ascii="Arial" w:eastAsia="Times New Roman" w:hAnsi="Arial" w:cs="Arial"/>
          <w:b/>
          <w:bCs/>
          <w:kern w:val="0"/>
          <w14:ligatures w14:val="none"/>
        </w:rPr>
      </w:pPr>
      <w:r w:rsidRPr="00561B6F">
        <w:rPr>
          <w:rFonts w:ascii="Arial" w:eastAsia="Times New Roman" w:hAnsi="Arial" w:cs="Arial"/>
          <w:b/>
          <w:bCs/>
          <w:kern w:val="0"/>
          <w14:ligatures w14:val="none"/>
        </w:rPr>
        <w:t>Data Collection Approach</w:t>
      </w:r>
    </w:p>
    <w:p w14:paraId="126F7EE3" w14:textId="77777777" w:rsidR="00561B6F" w:rsidRPr="00561B6F" w:rsidRDefault="00561B6F" w:rsidP="00561B6F">
      <w:p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A comprehensive literature search was conducted using multiple academic databases to ensure coverage of relevant UK-based studies. Databases searched included:</w:t>
      </w:r>
    </w:p>
    <w:p w14:paraId="5A6379BE" w14:textId="77777777" w:rsidR="00561B6F" w:rsidRPr="00561B6F" w:rsidRDefault="00561B6F" w:rsidP="00561B6F">
      <w:pPr>
        <w:numPr>
          <w:ilvl w:val="0"/>
          <w:numId w:val="6"/>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UWTSD Library</w:t>
      </w:r>
    </w:p>
    <w:p w14:paraId="35425F77" w14:textId="77777777" w:rsidR="00561B6F" w:rsidRPr="00561B6F" w:rsidRDefault="00561B6F" w:rsidP="00561B6F">
      <w:pPr>
        <w:numPr>
          <w:ilvl w:val="0"/>
          <w:numId w:val="6"/>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PubMed</w:t>
      </w:r>
    </w:p>
    <w:p w14:paraId="4E553238" w14:textId="77777777" w:rsidR="00561B6F" w:rsidRPr="00561B6F" w:rsidRDefault="00561B6F" w:rsidP="00561B6F">
      <w:pPr>
        <w:numPr>
          <w:ilvl w:val="0"/>
          <w:numId w:val="6"/>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CINAHL</w:t>
      </w:r>
    </w:p>
    <w:p w14:paraId="35746DF4" w14:textId="77777777" w:rsidR="00561B6F" w:rsidRPr="00561B6F" w:rsidRDefault="00561B6F" w:rsidP="00561B6F">
      <w:pPr>
        <w:numPr>
          <w:ilvl w:val="0"/>
          <w:numId w:val="6"/>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Medline</w:t>
      </w:r>
    </w:p>
    <w:p w14:paraId="4EAAFACA" w14:textId="77777777" w:rsidR="00561B6F" w:rsidRPr="00561B6F" w:rsidRDefault="00561B6F" w:rsidP="00561B6F">
      <w:pPr>
        <w:numPr>
          <w:ilvl w:val="0"/>
          <w:numId w:val="6"/>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ScienceDirect</w:t>
      </w:r>
    </w:p>
    <w:p w14:paraId="1063E65C" w14:textId="77777777" w:rsidR="00561B6F" w:rsidRPr="00561B6F" w:rsidRDefault="00561B6F" w:rsidP="00561B6F">
      <w:pPr>
        <w:numPr>
          <w:ilvl w:val="0"/>
          <w:numId w:val="6"/>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BMJ Journals</w:t>
      </w:r>
    </w:p>
    <w:p w14:paraId="63891C21" w14:textId="77777777" w:rsidR="00561B6F" w:rsidRPr="00561B6F" w:rsidRDefault="00561B6F" w:rsidP="00561B6F">
      <w:pPr>
        <w:numPr>
          <w:ilvl w:val="0"/>
          <w:numId w:val="6"/>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SpringerLink</w:t>
      </w:r>
    </w:p>
    <w:p w14:paraId="1E090D7C" w14:textId="77777777" w:rsidR="00561B6F" w:rsidRPr="00561B6F" w:rsidRDefault="00561B6F" w:rsidP="00561B6F">
      <w:pPr>
        <w:numPr>
          <w:ilvl w:val="0"/>
          <w:numId w:val="6"/>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Google Scholar</w:t>
      </w:r>
    </w:p>
    <w:p w14:paraId="5C570C50" w14:textId="77777777" w:rsidR="00561B6F" w:rsidRPr="00561B6F" w:rsidRDefault="00561B6F" w:rsidP="00561B6F">
      <w:pPr>
        <w:spacing w:before="100" w:beforeAutospacing="1" w:after="100" w:afterAutospacing="1" w:line="240" w:lineRule="auto"/>
        <w:rPr>
          <w:rFonts w:ascii="Arial" w:hAnsi="Arial" w:cs="Arial"/>
          <w:kern w:val="0"/>
          <w14:ligatures w14:val="none"/>
        </w:rPr>
      </w:pPr>
    </w:p>
    <w:p w14:paraId="128030BB" w14:textId="77777777" w:rsidR="00561B6F" w:rsidRPr="00561B6F" w:rsidRDefault="00561B6F" w:rsidP="00561B6F">
      <w:p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The search strategy combined keywords and Boolean operators to capture all relevant studies. Keywords included:</w:t>
      </w:r>
    </w:p>
    <w:p w14:paraId="0170106B" w14:textId="28AD0942" w:rsidR="00561B6F" w:rsidRPr="00561B6F" w:rsidRDefault="00561B6F" w:rsidP="00561B6F">
      <w:p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“telehealth” OR “telemedicine” OR “remote consultation” OR “online consultation” AND “primary care” OR “general practice” AND “patient experience” OR “patient satisfaction” AND “UK”.</w:t>
      </w:r>
    </w:p>
    <w:p w14:paraId="07A06897" w14:textId="1148E3F3" w:rsidR="00561B6F" w:rsidRPr="00561B6F" w:rsidRDefault="00561B6F" w:rsidP="00561B6F">
      <w:p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The initial search returned 232 articles. Duplicates were removed, and titles and abstracts were screened for relevance according to predefined inclusion and exclusion criteria.</w:t>
      </w:r>
    </w:p>
    <w:p w14:paraId="3A14B88A" w14:textId="345D92E2" w:rsidR="00561B6F" w:rsidRPr="00561B6F" w:rsidRDefault="00561B6F" w:rsidP="003433C7">
      <w:pPr>
        <w:spacing w:before="100" w:beforeAutospacing="1" w:after="100" w:afterAutospacing="1" w:line="240" w:lineRule="auto"/>
        <w:outlineLvl w:val="2"/>
        <w:rPr>
          <w:rFonts w:ascii="Arial" w:eastAsia="Times New Roman" w:hAnsi="Arial" w:cs="Arial"/>
          <w:b/>
          <w:bCs/>
          <w:kern w:val="0"/>
          <w14:ligatures w14:val="none"/>
        </w:rPr>
      </w:pPr>
      <w:r w:rsidRPr="00561B6F">
        <w:rPr>
          <w:rFonts w:ascii="Arial" w:eastAsia="Times New Roman" w:hAnsi="Arial" w:cs="Arial"/>
          <w:b/>
          <w:bCs/>
          <w:kern w:val="0"/>
          <w14:ligatures w14:val="none"/>
        </w:rPr>
        <w:t>Inclusion and Exclusion Criteria</w:t>
      </w:r>
    </w:p>
    <w:p w14:paraId="47F855DB" w14:textId="77777777" w:rsidR="00561B6F" w:rsidRPr="00561B6F" w:rsidRDefault="00561B6F" w:rsidP="00561B6F">
      <w:p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Inclusion Criteria:</w:t>
      </w:r>
    </w:p>
    <w:p w14:paraId="1D029697" w14:textId="77777777" w:rsidR="00561B6F" w:rsidRPr="00561B6F" w:rsidRDefault="00561B6F" w:rsidP="00561B6F">
      <w:pPr>
        <w:numPr>
          <w:ilvl w:val="0"/>
          <w:numId w:val="7"/>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Peer-reviewed studies conducted in the UK</w:t>
      </w:r>
    </w:p>
    <w:p w14:paraId="0757E524" w14:textId="77777777" w:rsidR="00561B6F" w:rsidRPr="00561B6F" w:rsidRDefault="00561B6F" w:rsidP="00561B6F">
      <w:pPr>
        <w:numPr>
          <w:ilvl w:val="0"/>
          <w:numId w:val="7"/>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Published between 2018–2024</w:t>
      </w:r>
    </w:p>
    <w:p w14:paraId="51FE5817" w14:textId="77777777" w:rsidR="00561B6F" w:rsidRPr="00561B6F" w:rsidRDefault="00561B6F" w:rsidP="00561B6F">
      <w:pPr>
        <w:numPr>
          <w:ilvl w:val="0"/>
          <w:numId w:val="7"/>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Focused on patient experiences of telehealth in primary care</w:t>
      </w:r>
    </w:p>
    <w:p w14:paraId="2586452C" w14:textId="77777777" w:rsidR="00561B6F" w:rsidRPr="00561B6F" w:rsidRDefault="00561B6F" w:rsidP="00561B6F">
      <w:pPr>
        <w:numPr>
          <w:ilvl w:val="0"/>
          <w:numId w:val="7"/>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Qualitative, quantitative, or mixed-methods research</w:t>
      </w:r>
    </w:p>
    <w:p w14:paraId="617A62B5" w14:textId="77777777" w:rsidR="00561B6F" w:rsidRPr="00561B6F" w:rsidRDefault="00561B6F" w:rsidP="00561B6F">
      <w:p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Exclusion Criteria:</w:t>
      </w:r>
    </w:p>
    <w:p w14:paraId="2F29B337" w14:textId="77777777" w:rsidR="00561B6F" w:rsidRPr="00561B6F" w:rsidRDefault="00561B6F" w:rsidP="00561B6F">
      <w:pPr>
        <w:numPr>
          <w:ilvl w:val="0"/>
          <w:numId w:val="8"/>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Studies conducted in secondary or tertiary care settings</w:t>
      </w:r>
    </w:p>
    <w:p w14:paraId="6DCD0950" w14:textId="77777777" w:rsidR="00561B6F" w:rsidRPr="00561B6F" w:rsidRDefault="00561B6F" w:rsidP="00561B6F">
      <w:pPr>
        <w:numPr>
          <w:ilvl w:val="0"/>
          <w:numId w:val="8"/>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Non-peer-reviewed publications (e.g., policy papers, commentaries, conference abstracts)</w:t>
      </w:r>
    </w:p>
    <w:p w14:paraId="6DEB3513" w14:textId="77777777" w:rsidR="00561B6F" w:rsidRPr="00561B6F" w:rsidRDefault="00561B6F" w:rsidP="00561B6F">
      <w:pPr>
        <w:numPr>
          <w:ilvl w:val="0"/>
          <w:numId w:val="8"/>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Research focusing exclusively on clinician perspectives</w:t>
      </w:r>
    </w:p>
    <w:p w14:paraId="73601335" w14:textId="77777777" w:rsidR="00561B6F" w:rsidRPr="00561B6F" w:rsidRDefault="00561B6F" w:rsidP="00561B6F">
      <w:pPr>
        <w:numPr>
          <w:ilvl w:val="0"/>
          <w:numId w:val="8"/>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Studies not available in English</w:t>
      </w:r>
    </w:p>
    <w:p w14:paraId="32904D3C" w14:textId="063F7E25" w:rsidR="00561B6F" w:rsidRPr="00561B6F" w:rsidRDefault="00561B6F" w:rsidP="00561B6F">
      <w:p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Following the application of these criteria, six studies were selected for detailed review: Shaw et al. (2021), Murphy et al. (2021), Hammersley et al. (2022), Newbould et al. (2023), Greenhalgh et al. (2022), and Mroz et al. (2021).</w:t>
      </w:r>
    </w:p>
    <w:p w14:paraId="5F07102E" w14:textId="04D8A506" w:rsidR="00561B6F" w:rsidRPr="00561B6F" w:rsidRDefault="00561B6F" w:rsidP="003433C7">
      <w:pPr>
        <w:spacing w:before="100" w:beforeAutospacing="1" w:after="100" w:afterAutospacing="1" w:line="240" w:lineRule="auto"/>
        <w:outlineLvl w:val="2"/>
        <w:rPr>
          <w:rFonts w:ascii="Arial" w:eastAsia="Times New Roman" w:hAnsi="Arial" w:cs="Arial"/>
          <w:b/>
          <w:bCs/>
          <w:kern w:val="0"/>
          <w14:ligatures w14:val="none"/>
        </w:rPr>
      </w:pPr>
      <w:r w:rsidRPr="00561B6F">
        <w:rPr>
          <w:rFonts w:ascii="Arial" w:eastAsia="Times New Roman" w:hAnsi="Arial" w:cs="Arial"/>
          <w:b/>
          <w:bCs/>
          <w:kern w:val="0"/>
          <w14:ligatures w14:val="none"/>
        </w:rPr>
        <w:t>Data Extraction</w:t>
      </w:r>
    </w:p>
    <w:p w14:paraId="2D0490F3" w14:textId="77777777" w:rsidR="00561B6F" w:rsidRPr="00561B6F" w:rsidRDefault="00561B6F" w:rsidP="00561B6F">
      <w:p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Key data were extracted from the selected studies using a standardised framework. Extracted information included:</w:t>
      </w:r>
    </w:p>
    <w:p w14:paraId="233984C2" w14:textId="77777777" w:rsidR="00561B6F" w:rsidRPr="00561B6F" w:rsidRDefault="00561B6F" w:rsidP="00561B6F">
      <w:pPr>
        <w:numPr>
          <w:ilvl w:val="0"/>
          <w:numId w:val="9"/>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Author(s) and year of publication</w:t>
      </w:r>
    </w:p>
    <w:p w14:paraId="70A6CF14" w14:textId="77777777" w:rsidR="00561B6F" w:rsidRPr="00561B6F" w:rsidRDefault="00561B6F" w:rsidP="00561B6F">
      <w:pPr>
        <w:numPr>
          <w:ilvl w:val="0"/>
          <w:numId w:val="9"/>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Study objectives</w:t>
      </w:r>
    </w:p>
    <w:p w14:paraId="4A6332D8" w14:textId="77777777" w:rsidR="00561B6F" w:rsidRPr="00561B6F" w:rsidRDefault="00561B6F" w:rsidP="00561B6F">
      <w:pPr>
        <w:numPr>
          <w:ilvl w:val="0"/>
          <w:numId w:val="9"/>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Study design and methodology</w:t>
      </w:r>
    </w:p>
    <w:p w14:paraId="5AA2569E" w14:textId="77777777" w:rsidR="00561B6F" w:rsidRPr="00561B6F" w:rsidRDefault="00561B6F" w:rsidP="00561B6F">
      <w:pPr>
        <w:numPr>
          <w:ilvl w:val="0"/>
          <w:numId w:val="9"/>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Sample characteristics (size, demographics)</w:t>
      </w:r>
    </w:p>
    <w:p w14:paraId="20E1D68C" w14:textId="77777777" w:rsidR="00561B6F" w:rsidRPr="00561B6F" w:rsidRDefault="00561B6F" w:rsidP="00561B6F">
      <w:pPr>
        <w:numPr>
          <w:ilvl w:val="0"/>
          <w:numId w:val="9"/>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Telehealth modality examined (e.g., video, telephone)</w:t>
      </w:r>
    </w:p>
    <w:p w14:paraId="12F088F6" w14:textId="77777777" w:rsidR="00561B6F" w:rsidRPr="00561B6F" w:rsidRDefault="00561B6F" w:rsidP="00561B6F">
      <w:pPr>
        <w:numPr>
          <w:ilvl w:val="0"/>
          <w:numId w:val="9"/>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Key findings related to patient experience</w:t>
      </w:r>
    </w:p>
    <w:p w14:paraId="30C2FF83" w14:textId="77777777" w:rsidR="00561B6F" w:rsidRPr="00561B6F" w:rsidRDefault="00561B6F" w:rsidP="00561B6F">
      <w:pPr>
        <w:numPr>
          <w:ilvl w:val="0"/>
          <w:numId w:val="9"/>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Relevance to the review question</w:t>
      </w:r>
    </w:p>
    <w:p w14:paraId="7BF4B9DD" w14:textId="4CD7164D" w:rsidR="00561B6F" w:rsidRPr="00561B6F" w:rsidRDefault="00561B6F" w:rsidP="00561B6F">
      <w:p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This systematic extraction ensured consistency and facilitated comparison across studies.</w:t>
      </w:r>
    </w:p>
    <w:p w14:paraId="768B3EE1" w14:textId="77777777" w:rsidR="00561B6F" w:rsidRPr="00561B6F" w:rsidRDefault="00561B6F" w:rsidP="00561B6F">
      <w:pPr>
        <w:spacing w:before="100" w:beforeAutospacing="1" w:after="100" w:afterAutospacing="1" w:line="240" w:lineRule="auto"/>
        <w:outlineLvl w:val="2"/>
        <w:rPr>
          <w:rFonts w:ascii="Arial" w:eastAsia="Times New Roman" w:hAnsi="Arial" w:cs="Arial"/>
          <w:b/>
          <w:bCs/>
          <w:kern w:val="0"/>
          <w14:ligatures w14:val="none"/>
        </w:rPr>
      </w:pPr>
      <w:r w:rsidRPr="00561B6F">
        <w:rPr>
          <w:rFonts w:ascii="Arial" w:eastAsia="Times New Roman" w:hAnsi="Arial" w:cs="Arial"/>
          <w:b/>
          <w:bCs/>
          <w:kern w:val="0"/>
          <w14:ligatures w14:val="none"/>
        </w:rPr>
        <w:t>Data Analysis</w:t>
      </w:r>
    </w:p>
    <w:p w14:paraId="0B7BA32A" w14:textId="77777777" w:rsidR="00561B6F" w:rsidRPr="00561B6F" w:rsidRDefault="00561B6F" w:rsidP="00561B6F">
      <w:p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Thematic analysis was used to synthesise findings across the six studies (Braun &amp; Clarke, 2006). This involved several steps:</w:t>
      </w:r>
    </w:p>
    <w:p w14:paraId="212F3D27" w14:textId="77777777" w:rsidR="00561B6F" w:rsidRPr="00561B6F" w:rsidRDefault="00561B6F" w:rsidP="00561B6F">
      <w:pPr>
        <w:numPr>
          <w:ilvl w:val="0"/>
          <w:numId w:val="10"/>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Familiarisation with the data by reading and re-reading the selected studies.</w:t>
      </w:r>
    </w:p>
    <w:p w14:paraId="2C49D22B" w14:textId="77777777" w:rsidR="00561B6F" w:rsidRPr="00561B6F" w:rsidRDefault="00561B6F" w:rsidP="00561B6F">
      <w:pPr>
        <w:numPr>
          <w:ilvl w:val="0"/>
          <w:numId w:val="10"/>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Initial coding of recurring patterns related to patient experience, benefits, barriers, and perceptions of telehealth.</w:t>
      </w:r>
    </w:p>
    <w:p w14:paraId="27107CA9" w14:textId="77777777" w:rsidR="00561B6F" w:rsidRPr="00561B6F" w:rsidRDefault="00561B6F" w:rsidP="00561B6F">
      <w:pPr>
        <w:numPr>
          <w:ilvl w:val="0"/>
          <w:numId w:val="10"/>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Collating codes into higher-order themes, including accessibility and convenience, communication and relational quality, perceived safety and clinical adequacy, and digital equity and inclusion.</w:t>
      </w:r>
    </w:p>
    <w:p w14:paraId="3E8B2C59" w14:textId="77777777" w:rsidR="00561B6F" w:rsidRPr="00561B6F" w:rsidRDefault="00561B6F" w:rsidP="00561B6F">
      <w:pPr>
        <w:numPr>
          <w:ilvl w:val="0"/>
          <w:numId w:val="10"/>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Reviewing and refining themes to ensure they accurately represented the data.</w:t>
      </w:r>
    </w:p>
    <w:p w14:paraId="7C311AB6" w14:textId="77777777" w:rsidR="00561B6F" w:rsidRPr="00561B6F" w:rsidRDefault="00561B6F" w:rsidP="00561B6F">
      <w:pPr>
        <w:numPr>
          <w:ilvl w:val="0"/>
          <w:numId w:val="10"/>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Interpreting themes in the context of UK primary care policy, patient-centered care frameworks, and health equity considerations.</w:t>
      </w:r>
    </w:p>
    <w:p w14:paraId="02DAA3CB" w14:textId="77777777" w:rsidR="00561B6F" w:rsidRPr="00561B6F" w:rsidRDefault="00561B6F" w:rsidP="00561B6F">
      <w:pPr>
        <w:spacing w:before="100" w:beforeAutospacing="1" w:after="100" w:afterAutospacing="1" w:line="240" w:lineRule="auto"/>
        <w:rPr>
          <w:rFonts w:ascii="Arial" w:hAnsi="Arial" w:cs="Arial"/>
          <w:kern w:val="0"/>
          <w14:ligatures w14:val="none"/>
        </w:rPr>
      </w:pPr>
    </w:p>
    <w:p w14:paraId="25775917" w14:textId="727F5F09" w:rsidR="00561B6F" w:rsidRPr="00561B6F" w:rsidRDefault="00561B6F" w:rsidP="003433C7">
      <w:pPr>
        <w:spacing w:before="100" w:beforeAutospacing="1" w:after="100" w:afterAutospacing="1" w:line="240" w:lineRule="auto"/>
        <w:outlineLvl w:val="2"/>
        <w:rPr>
          <w:rFonts w:ascii="Arial" w:eastAsia="Times New Roman" w:hAnsi="Arial" w:cs="Arial"/>
          <w:b/>
          <w:bCs/>
          <w:kern w:val="0"/>
          <w14:ligatures w14:val="none"/>
        </w:rPr>
      </w:pPr>
      <w:r w:rsidRPr="00561B6F">
        <w:rPr>
          <w:rFonts w:ascii="Arial" w:eastAsia="Times New Roman" w:hAnsi="Arial" w:cs="Arial"/>
          <w:b/>
          <w:bCs/>
          <w:kern w:val="0"/>
          <w14:ligatures w14:val="none"/>
        </w:rPr>
        <w:t>Ethical Considerations</w:t>
      </w:r>
    </w:p>
    <w:p w14:paraId="6EA18E89" w14:textId="77777777" w:rsidR="00561B6F" w:rsidRPr="00561B6F" w:rsidRDefault="00561B6F" w:rsidP="00561B6F">
      <w:p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As this study was based entirely on secondary research using publicly available, peer-reviewed literature, formal ethical approval was not required. However, ethical research principles were strictly adhered to:</w:t>
      </w:r>
    </w:p>
    <w:p w14:paraId="46E60D0A" w14:textId="77777777" w:rsidR="00561B6F" w:rsidRPr="00561B6F" w:rsidRDefault="00561B6F" w:rsidP="00561B6F">
      <w:pPr>
        <w:numPr>
          <w:ilvl w:val="0"/>
          <w:numId w:val="11"/>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Transparency: All search strategies, inclusion/exclusion criteria, and data extraction methods are clearly documented.</w:t>
      </w:r>
    </w:p>
    <w:p w14:paraId="028F086F" w14:textId="77777777" w:rsidR="00561B6F" w:rsidRPr="00561B6F" w:rsidRDefault="00561B6F" w:rsidP="00561B6F">
      <w:pPr>
        <w:numPr>
          <w:ilvl w:val="0"/>
          <w:numId w:val="11"/>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Avoidance of Bias: Multiple sources were reviewed, and peer-reviewed studies were prioritised to ensure reliability.</w:t>
      </w:r>
    </w:p>
    <w:p w14:paraId="44434EF5" w14:textId="77777777" w:rsidR="00561B6F" w:rsidRPr="00561B6F" w:rsidRDefault="00561B6F" w:rsidP="00561B6F">
      <w:pPr>
        <w:numPr>
          <w:ilvl w:val="0"/>
          <w:numId w:val="11"/>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Integrity: Findings are reported accurately and without misrepresentation.</w:t>
      </w:r>
    </w:p>
    <w:p w14:paraId="6538F587" w14:textId="77777777" w:rsidR="00561B6F" w:rsidRPr="00561B6F" w:rsidRDefault="00561B6F" w:rsidP="00561B6F">
      <w:pPr>
        <w:numPr>
          <w:ilvl w:val="0"/>
          <w:numId w:val="11"/>
        </w:num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Respect for Intellectual Property: All sources are appropriately cited in Harvard style.</w:t>
      </w:r>
    </w:p>
    <w:p w14:paraId="3672CF56" w14:textId="77777777" w:rsidR="00561B6F" w:rsidRPr="00561B6F" w:rsidRDefault="00561B6F" w:rsidP="00561B6F">
      <w:pPr>
        <w:spacing w:before="100" w:beforeAutospacing="1" w:after="100" w:afterAutospacing="1" w:line="240" w:lineRule="auto"/>
        <w:rPr>
          <w:rFonts w:ascii="Arial" w:hAnsi="Arial" w:cs="Arial"/>
          <w:kern w:val="0"/>
          <w14:ligatures w14:val="none"/>
        </w:rPr>
      </w:pPr>
      <w:r w:rsidRPr="00561B6F">
        <w:rPr>
          <w:rFonts w:ascii="Arial" w:hAnsi="Arial" w:cs="Arial"/>
          <w:kern w:val="0"/>
          <w14:ligatures w14:val="none"/>
        </w:rPr>
        <w:t>This rigorous methodological approach ensured that the review provides a trustworthy, comprehensive, and evidence-based understanding of patient experiences with telehealth in UK primary care.</w:t>
      </w:r>
    </w:p>
    <w:p w14:paraId="67BDCFC5" w14:textId="1B6DDF06" w:rsidR="00F216A0" w:rsidRPr="00F216A0" w:rsidRDefault="00F216A0" w:rsidP="00F216A0">
      <w:pPr>
        <w:spacing w:before="100" w:beforeAutospacing="1" w:after="100" w:afterAutospacing="1" w:line="240" w:lineRule="auto"/>
        <w:rPr>
          <w:rFonts w:ascii="Arial" w:hAnsi="Arial" w:cs="Arial"/>
          <w:kern w:val="0"/>
          <w14:ligatures w14:val="none"/>
        </w:rPr>
      </w:pPr>
    </w:p>
    <w:p w14:paraId="77D8B8D7" w14:textId="77777777" w:rsidR="00F216A0" w:rsidRPr="00F216A0" w:rsidRDefault="00F216A0" w:rsidP="00F216A0">
      <w:pPr>
        <w:spacing w:after="0" w:line="240" w:lineRule="auto"/>
        <w:rPr>
          <w:rFonts w:ascii="Arial" w:eastAsia="Times New Roman" w:hAnsi="Arial" w:cs="Arial"/>
          <w:kern w:val="0"/>
          <w14:ligatures w14:val="none"/>
        </w:rPr>
      </w:pPr>
      <w:r w:rsidRPr="00F216A0">
        <w:rPr>
          <w:rFonts w:ascii="Arial" w:eastAsia="Times New Roman" w:hAnsi="Arial" w:cs="Arial"/>
          <w:noProof/>
          <w:kern w:val="0"/>
          <w14:ligatures w14:val="none"/>
        </w:rPr>
        <mc:AlternateContent>
          <mc:Choice Requires="wps">
            <w:drawing>
              <wp:inline distT="0" distB="0" distL="0" distR="0" wp14:anchorId="03725172" wp14:editId="53AB349D">
                <wp:extent cx="5731510" cy="1270"/>
                <wp:effectExtent l="0" t="31750" r="0" b="36830"/>
                <wp:docPr id="42922693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7FAD945"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70111B0" w14:textId="6CB8A180" w:rsidR="00CD6668" w:rsidRPr="00CD6668" w:rsidRDefault="00F216A0" w:rsidP="00CD6668">
      <w:pPr>
        <w:spacing w:before="100" w:beforeAutospacing="1" w:after="100" w:afterAutospacing="1" w:line="240" w:lineRule="auto"/>
        <w:outlineLvl w:val="1"/>
        <w:rPr>
          <w:rFonts w:ascii="Arial" w:hAnsi="Arial" w:cs="Arial"/>
          <w:b/>
          <w:bCs/>
          <w:kern w:val="0"/>
          <w14:ligatures w14:val="none"/>
        </w:rPr>
      </w:pPr>
      <w:r w:rsidRPr="00F216A0">
        <w:rPr>
          <w:rFonts w:ascii="Arial" w:eastAsia="Times New Roman" w:hAnsi="Arial" w:cs="Arial"/>
          <w:b/>
          <w:bCs/>
          <w:kern w:val="0"/>
          <w14:ligatures w14:val="none"/>
        </w:rPr>
        <w:t>Results</w:t>
      </w:r>
    </w:p>
    <w:p w14:paraId="38AA53C3" w14:textId="61119B4E" w:rsidR="00CD6668" w:rsidRPr="00CD6668" w:rsidRDefault="00CD6668" w:rsidP="00CD6668">
      <w:pPr>
        <w:spacing w:before="100" w:beforeAutospacing="1" w:after="100" w:afterAutospacing="1" w:line="240" w:lineRule="auto"/>
        <w:rPr>
          <w:rFonts w:ascii="Arial" w:hAnsi="Arial" w:cs="Arial"/>
          <w:kern w:val="0"/>
          <w14:ligatures w14:val="none"/>
        </w:rPr>
      </w:pPr>
      <w:r w:rsidRPr="00CD6668">
        <w:rPr>
          <w:rFonts w:ascii="Arial" w:hAnsi="Arial" w:cs="Arial"/>
          <w:kern w:val="0"/>
          <w14:ligatures w14:val="none"/>
        </w:rPr>
        <w:t>The six selected studies collectively provide a comprehensive understanding of patient experiences with telehealth in UK primary care. These studies included qualitative interviews, patient surveys, mixed-methods designs, and observational research, which allowed for a robust synthesis of patient perspectives across various settings and demographics. The thematic analysis of these studies revealed four primary themes: accessibility and convenience, communication and relational quality, perceived safety and clinical adequacy, and digital equity and inclusion.</w:t>
      </w:r>
    </w:p>
    <w:p w14:paraId="795C1F9A" w14:textId="77777777" w:rsidR="00CD6668" w:rsidRPr="00CD6668" w:rsidRDefault="00CD6668" w:rsidP="00CD6668">
      <w:pPr>
        <w:spacing w:before="100" w:beforeAutospacing="1" w:after="100" w:afterAutospacing="1" w:line="240" w:lineRule="auto"/>
        <w:rPr>
          <w:rFonts w:ascii="Arial" w:hAnsi="Arial" w:cs="Arial"/>
          <w:kern w:val="0"/>
          <w14:ligatures w14:val="none"/>
        </w:rPr>
      </w:pPr>
      <w:r w:rsidRPr="00CD6668">
        <w:rPr>
          <w:rFonts w:ascii="Arial" w:hAnsi="Arial" w:cs="Arial"/>
          <w:kern w:val="0"/>
          <w14:ligatures w14:val="none"/>
        </w:rPr>
        <w:t>Accessibility and Convenience</w:t>
      </w:r>
    </w:p>
    <w:p w14:paraId="3CED5A8A" w14:textId="4102E74F" w:rsidR="00CD6668" w:rsidRPr="00CD6668" w:rsidRDefault="00CD6668" w:rsidP="00CD6668">
      <w:pPr>
        <w:spacing w:before="100" w:beforeAutospacing="1" w:after="100" w:afterAutospacing="1" w:line="240" w:lineRule="auto"/>
        <w:rPr>
          <w:rFonts w:ascii="Arial" w:hAnsi="Arial" w:cs="Arial"/>
          <w:kern w:val="0"/>
          <w14:ligatures w14:val="none"/>
        </w:rPr>
      </w:pPr>
      <w:r w:rsidRPr="00CD6668">
        <w:rPr>
          <w:rFonts w:ascii="Arial" w:hAnsi="Arial" w:cs="Arial"/>
          <w:kern w:val="0"/>
          <w14:ligatures w14:val="none"/>
        </w:rPr>
        <w:t>Patients consistently reported that telehealth improved access to care by reducing travel time, waiting periods, and scheduling conflicts. Murphy et al. (2021) found that 82% of patients considered remote consultations more convenient than in-person</w:t>
      </w:r>
      <w:r w:rsidR="003433C7">
        <w:rPr>
          <w:rFonts w:ascii="Arial" w:hAnsi="Arial" w:cs="Arial"/>
          <w:kern w:val="0"/>
          <w14:ligatures w14:val="none"/>
        </w:rPr>
        <w:t xml:space="preserve"> </w:t>
      </w:r>
      <w:r w:rsidRPr="00CD6668">
        <w:rPr>
          <w:rFonts w:ascii="Arial" w:hAnsi="Arial" w:cs="Arial"/>
          <w:kern w:val="0"/>
          <w14:ligatures w14:val="none"/>
        </w:rPr>
        <w:t>appointments, particularly for routine or follow-up care. Video consultations allowed patients to attend appointments without taking time off work or arranging childcare, highlighting the flexibility of telehealth. Shaw et al. (2021) also found that patients with mobility challenges or chronic conditions benefited significantly from the reduced physical demands of attending a clinic. However, digital exclusion was evident in older adults and socioeconomically disadvantaged populations, who often required assistance from family members to navigate telehealth platforms (Hammersley et al., 2022).</w:t>
      </w:r>
    </w:p>
    <w:p w14:paraId="78B7456F" w14:textId="77777777" w:rsidR="00CD6668" w:rsidRPr="00CD6668" w:rsidRDefault="00CD6668" w:rsidP="00CD6668">
      <w:pPr>
        <w:spacing w:before="100" w:beforeAutospacing="1" w:after="100" w:afterAutospacing="1" w:line="240" w:lineRule="auto"/>
        <w:rPr>
          <w:rFonts w:ascii="Arial" w:hAnsi="Arial" w:cs="Arial"/>
          <w:kern w:val="0"/>
          <w14:ligatures w14:val="none"/>
        </w:rPr>
      </w:pPr>
      <w:r w:rsidRPr="00CD6668">
        <w:rPr>
          <w:rFonts w:ascii="Arial" w:hAnsi="Arial" w:cs="Arial"/>
          <w:kern w:val="0"/>
          <w14:ligatures w14:val="none"/>
        </w:rPr>
        <w:t>Communication and Relational Quality</w:t>
      </w:r>
    </w:p>
    <w:p w14:paraId="695A2FB9" w14:textId="27708729" w:rsidR="00CD6668" w:rsidRPr="00CD6668" w:rsidRDefault="00CD6668" w:rsidP="00CD6668">
      <w:pPr>
        <w:spacing w:before="100" w:beforeAutospacing="1" w:after="100" w:afterAutospacing="1" w:line="240" w:lineRule="auto"/>
        <w:rPr>
          <w:rFonts w:ascii="Arial" w:hAnsi="Arial" w:cs="Arial"/>
          <w:kern w:val="0"/>
          <w14:ligatures w14:val="none"/>
        </w:rPr>
      </w:pPr>
      <w:r w:rsidRPr="00CD6668">
        <w:rPr>
          <w:rFonts w:ascii="Arial" w:hAnsi="Arial" w:cs="Arial"/>
          <w:kern w:val="0"/>
          <w14:ligatures w14:val="none"/>
        </w:rPr>
        <w:t>The quality of communication was a significant determinant of patient satisfaction. Video consultations were preferred over telephone interactions because visual cues facilitated better understanding, empathy, and rapport with clinicians (Shaw et al., 2021). Mroz et al. (2021) reported that telephone consultations, while efficient, sometimes felt impersonal or rushed, particularly for new patients or those without an established relationship with the clinician. Patients highlighted the importance of relational continuity, stating that seeing the same clinician improved trust, confidence, and adherence to medical advice. This was especially relevant for patients managing long-term conditions or complex health needs.</w:t>
      </w:r>
    </w:p>
    <w:p w14:paraId="43E5B45C" w14:textId="77777777" w:rsidR="00CD6668" w:rsidRPr="00CD6668" w:rsidRDefault="00CD6668" w:rsidP="00CD6668">
      <w:pPr>
        <w:spacing w:before="100" w:beforeAutospacing="1" w:after="100" w:afterAutospacing="1" w:line="240" w:lineRule="auto"/>
        <w:rPr>
          <w:rFonts w:ascii="Arial" w:hAnsi="Arial" w:cs="Arial"/>
          <w:kern w:val="0"/>
          <w14:ligatures w14:val="none"/>
        </w:rPr>
      </w:pPr>
      <w:r w:rsidRPr="00CD6668">
        <w:rPr>
          <w:rFonts w:ascii="Arial" w:hAnsi="Arial" w:cs="Arial"/>
          <w:kern w:val="0"/>
          <w14:ligatures w14:val="none"/>
        </w:rPr>
        <w:t>Perceived Safety and Clinical Adequacy</w:t>
      </w:r>
    </w:p>
    <w:p w14:paraId="1637C96A" w14:textId="22FDF1FC" w:rsidR="00CD6668" w:rsidRPr="00CD6668" w:rsidRDefault="00CD6668" w:rsidP="00CD6668">
      <w:pPr>
        <w:spacing w:before="100" w:beforeAutospacing="1" w:after="100" w:afterAutospacing="1" w:line="240" w:lineRule="auto"/>
        <w:rPr>
          <w:rFonts w:ascii="Arial" w:hAnsi="Arial" w:cs="Arial"/>
          <w:kern w:val="0"/>
          <w14:ligatures w14:val="none"/>
        </w:rPr>
      </w:pPr>
      <w:r w:rsidRPr="00CD6668">
        <w:rPr>
          <w:rFonts w:ascii="Arial" w:hAnsi="Arial" w:cs="Arial"/>
          <w:kern w:val="0"/>
          <w14:ligatures w14:val="none"/>
        </w:rPr>
        <w:t>Patient perceptions of safety and the adequacy of care varied according to the complexity of the medical issue. Telehealth was considered appropriate for minor illnesses, routine reviews, and medication management but less suitable for conditions requiring physical examination. Greenhalgh et al. (2022) reported that some patients worried about misdiagnosis due to the absence of physical assessment. Newbould et al. (2023) highlighted that providing clear guidance, safety-netting advice, and rapid access to in-person consultations mitigated concerns and increased patient confidence. Patients emphasized that explicit communication about the limits of remote consultations was key to feeling safe and supported.</w:t>
      </w:r>
    </w:p>
    <w:p w14:paraId="7536B08F" w14:textId="77777777" w:rsidR="00CD6668" w:rsidRPr="00CD6668" w:rsidRDefault="00CD6668" w:rsidP="00CD6668">
      <w:pPr>
        <w:spacing w:before="100" w:beforeAutospacing="1" w:after="100" w:afterAutospacing="1" w:line="240" w:lineRule="auto"/>
        <w:rPr>
          <w:rFonts w:ascii="Arial" w:hAnsi="Arial" w:cs="Arial"/>
          <w:kern w:val="0"/>
          <w14:ligatures w14:val="none"/>
        </w:rPr>
      </w:pPr>
      <w:r w:rsidRPr="00CD6668">
        <w:rPr>
          <w:rFonts w:ascii="Arial" w:hAnsi="Arial" w:cs="Arial"/>
          <w:kern w:val="0"/>
          <w14:ligatures w14:val="none"/>
        </w:rPr>
        <w:t>Digital Equity and Inclusion</w:t>
      </w:r>
    </w:p>
    <w:p w14:paraId="4E2061F9" w14:textId="77777777" w:rsidR="00CD6668" w:rsidRPr="002B1A01" w:rsidRDefault="00CD6668" w:rsidP="00CD6668">
      <w:pPr>
        <w:spacing w:before="100" w:beforeAutospacing="1" w:after="100" w:afterAutospacing="1" w:line="240" w:lineRule="auto"/>
        <w:rPr>
          <w:rFonts w:ascii="Arial" w:hAnsi="Arial" w:cs="Arial"/>
          <w:kern w:val="0"/>
          <w14:ligatures w14:val="none"/>
        </w:rPr>
      </w:pPr>
      <w:r w:rsidRPr="00CD6668">
        <w:rPr>
          <w:rFonts w:ascii="Arial" w:hAnsi="Arial" w:cs="Arial"/>
          <w:kern w:val="0"/>
          <w14:ligatures w14:val="none"/>
        </w:rPr>
        <w:t>Across all studies, digital equity emerged as a significant theme. Patients with limited access to technology, low digital literacy, or financial constraints were at risk of exclusion, which negatively affected their experience and satisfaction with telehealth services (Hammersley et al., 2022; Greenwood et al., 2021). Vulnerable populations, including older adults, ethnic minorities, and people with disabilities, often faced barriers that were compounded by complex technology platforms and lack of guidance. Interventions such as providing devices, offering technical support, and ensuring user-friendly platforms were cited as crucial for improving accessibility and satisfaction.</w:t>
      </w:r>
    </w:p>
    <w:p w14:paraId="2AD3A0C6" w14:textId="26D26D83" w:rsidR="00047F84" w:rsidRPr="002B1A01" w:rsidRDefault="00145840" w:rsidP="00CD6668">
      <w:pPr>
        <w:spacing w:before="100" w:beforeAutospacing="1" w:after="100" w:afterAutospacing="1" w:line="240" w:lineRule="auto"/>
        <w:rPr>
          <w:rFonts w:ascii="Arial" w:hAnsi="Arial" w:cs="Arial"/>
          <w:kern w:val="0"/>
          <w14:ligatures w14:val="none"/>
        </w:rPr>
      </w:pPr>
      <w:r w:rsidRPr="002B1A01">
        <w:rPr>
          <w:rFonts w:ascii="Arial" w:hAnsi="Arial" w:cs="Arial"/>
          <w:b/>
          <w:bCs/>
          <w:kern w:val="0"/>
          <w14:ligatures w14:val="none"/>
        </w:rPr>
        <w:t>Summary of studies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5"/>
        <w:gridCol w:w="1878"/>
        <w:gridCol w:w="1755"/>
        <w:gridCol w:w="1944"/>
        <w:gridCol w:w="1984"/>
      </w:tblGrid>
      <w:tr w:rsidR="00047F84" w:rsidRPr="00047F84" w14:paraId="29D64892" w14:textId="77777777">
        <w:trPr>
          <w:tblHeader/>
          <w:tblCellSpacing w:w="15" w:type="dxa"/>
        </w:trPr>
        <w:tc>
          <w:tcPr>
            <w:tcW w:w="0" w:type="auto"/>
            <w:vAlign w:val="center"/>
            <w:hideMark/>
          </w:tcPr>
          <w:p w14:paraId="16A0DE0B" w14:textId="77777777" w:rsidR="00047F84" w:rsidRPr="00047F84" w:rsidRDefault="00047F84" w:rsidP="00047F84">
            <w:pPr>
              <w:spacing w:before="100" w:beforeAutospacing="1" w:after="100" w:afterAutospacing="1" w:line="240" w:lineRule="auto"/>
              <w:jc w:val="center"/>
              <w:rPr>
                <w:rFonts w:ascii="Arial" w:hAnsi="Arial" w:cs="Arial"/>
                <w:b/>
                <w:bCs/>
                <w:kern w:val="0"/>
                <w14:ligatures w14:val="none"/>
              </w:rPr>
            </w:pPr>
            <w:r w:rsidRPr="00047F84">
              <w:rPr>
                <w:rFonts w:ascii="Arial" w:hAnsi="Arial" w:cs="Arial"/>
                <w:b/>
                <w:bCs/>
                <w:kern w:val="0"/>
                <w14:ligatures w14:val="none"/>
              </w:rPr>
              <w:t>Author(s), Year</w:t>
            </w:r>
          </w:p>
        </w:tc>
        <w:tc>
          <w:tcPr>
            <w:tcW w:w="0" w:type="auto"/>
            <w:vAlign w:val="center"/>
            <w:hideMark/>
          </w:tcPr>
          <w:p w14:paraId="34730C70" w14:textId="77777777" w:rsidR="00047F84" w:rsidRPr="00047F84" w:rsidRDefault="00047F84" w:rsidP="00047F84">
            <w:pPr>
              <w:spacing w:before="100" w:beforeAutospacing="1" w:after="100" w:afterAutospacing="1" w:line="240" w:lineRule="auto"/>
              <w:jc w:val="center"/>
              <w:rPr>
                <w:rFonts w:ascii="Arial" w:hAnsi="Arial" w:cs="Arial"/>
                <w:b/>
                <w:bCs/>
                <w:kern w:val="0"/>
                <w14:ligatures w14:val="none"/>
              </w:rPr>
            </w:pPr>
            <w:r w:rsidRPr="00047F84">
              <w:rPr>
                <w:rFonts w:ascii="Arial" w:hAnsi="Arial" w:cs="Arial"/>
                <w:b/>
                <w:bCs/>
                <w:kern w:val="0"/>
                <w14:ligatures w14:val="none"/>
              </w:rPr>
              <w:t>Research Objectives</w:t>
            </w:r>
          </w:p>
        </w:tc>
        <w:tc>
          <w:tcPr>
            <w:tcW w:w="0" w:type="auto"/>
            <w:vAlign w:val="center"/>
            <w:hideMark/>
          </w:tcPr>
          <w:p w14:paraId="3CB0F742" w14:textId="77777777" w:rsidR="00047F84" w:rsidRPr="00047F84" w:rsidRDefault="00047F84" w:rsidP="00047F84">
            <w:pPr>
              <w:spacing w:before="100" w:beforeAutospacing="1" w:after="100" w:afterAutospacing="1" w:line="240" w:lineRule="auto"/>
              <w:jc w:val="center"/>
              <w:rPr>
                <w:rFonts w:ascii="Arial" w:hAnsi="Arial" w:cs="Arial"/>
                <w:b/>
                <w:bCs/>
                <w:kern w:val="0"/>
                <w14:ligatures w14:val="none"/>
              </w:rPr>
            </w:pPr>
            <w:r w:rsidRPr="00047F84">
              <w:rPr>
                <w:rFonts w:ascii="Arial" w:hAnsi="Arial" w:cs="Arial"/>
                <w:b/>
                <w:bCs/>
                <w:kern w:val="0"/>
                <w14:ligatures w14:val="none"/>
              </w:rPr>
              <w:t>Methods</w:t>
            </w:r>
          </w:p>
        </w:tc>
        <w:tc>
          <w:tcPr>
            <w:tcW w:w="0" w:type="auto"/>
            <w:vAlign w:val="center"/>
            <w:hideMark/>
          </w:tcPr>
          <w:p w14:paraId="6C0A7F42" w14:textId="77777777" w:rsidR="00047F84" w:rsidRPr="00047F84" w:rsidRDefault="00047F84" w:rsidP="00047F84">
            <w:pPr>
              <w:spacing w:before="100" w:beforeAutospacing="1" w:after="100" w:afterAutospacing="1" w:line="240" w:lineRule="auto"/>
              <w:jc w:val="center"/>
              <w:rPr>
                <w:rFonts w:ascii="Arial" w:hAnsi="Arial" w:cs="Arial"/>
                <w:b/>
                <w:bCs/>
                <w:kern w:val="0"/>
                <w14:ligatures w14:val="none"/>
              </w:rPr>
            </w:pPr>
            <w:r w:rsidRPr="00047F84">
              <w:rPr>
                <w:rFonts w:ascii="Arial" w:hAnsi="Arial" w:cs="Arial"/>
                <w:b/>
                <w:bCs/>
                <w:kern w:val="0"/>
                <w14:ligatures w14:val="none"/>
              </w:rPr>
              <w:t>Key Findings</w:t>
            </w:r>
          </w:p>
        </w:tc>
        <w:tc>
          <w:tcPr>
            <w:tcW w:w="0" w:type="auto"/>
            <w:vAlign w:val="center"/>
            <w:hideMark/>
          </w:tcPr>
          <w:p w14:paraId="69C0F079" w14:textId="77777777" w:rsidR="00047F84" w:rsidRPr="00047F84" w:rsidRDefault="00047F84" w:rsidP="00047F84">
            <w:pPr>
              <w:spacing w:before="100" w:beforeAutospacing="1" w:after="100" w:afterAutospacing="1" w:line="240" w:lineRule="auto"/>
              <w:jc w:val="center"/>
              <w:rPr>
                <w:rFonts w:ascii="Arial" w:hAnsi="Arial" w:cs="Arial"/>
                <w:b/>
                <w:bCs/>
                <w:kern w:val="0"/>
                <w14:ligatures w14:val="none"/>
              </w:rPr>
            </w:pPr>
            <w:r w:rsidRPr="00047F84">
              <w:rPr>
                <w:rFonts w:ascii="Arial" w:hAnsi="Arial" w:cs="Arial"/>
                <w:b/>
                <w:bCs/>
                <w:kern w:val="0"/>
                <w14:ligatures w14:val="none"/>
              </w:rPr>
              <w:t>Relevance to Review Question</w:t>
            </w:r>
          </w:p>
        </w:tc>
      </w:tr>
      <w:tr w:rsidR="00047F84" w:rsidRPr="00047F84" w14:paraId="356F4A7B" w14:textId="77777777">
        <w:trPr>
          <w:tblCellSpacing w:w="15" w:type="dxa"/>
        </w:trPr>
        <w:tc>
          <w:tcPr>
            <w:tcW w:w="0" w:type="auto"/>
            <w:vAlign w:val="center"/>
            <w:hideMark/>
          </w:tcPr>
          <w:p w14:paraId="1CAAD11F"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Shaw et al., 2021</w:t>
            </w:r>
          </w:p>
        </w:tc>
        <w:tc>
          <w:tcPr>
            <w:tcW w:w="0" w:type="auto"/>
            <w:vAlign w:val="center"/>
            <w:hideMark/>
          </w:tcPr>
          <w:p w14:paraId="6025620F"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Examine patient experiences with video consultations</w:t>
            </w:r>
          </w:p>
        </w:tc>
        <w:tc>
          <w:tcPr>
            <w:tcW w:w="0" w:type="auto"/>
            <w:vAlign w:val="center"/>
            <w:hideMark/>
          </w:tcPr>
          <w:p w14:paraId="152FC473"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Qualitative interviews, 80 participants</w:t>
            </w:r>
          </w:p>
        </w:tc>
        <w:tc>
          <w:tcPr>
            <w:tcW w:w="0" w:type="auto"/>
            <w:vAlign w:val="center"/>
            <w:hideMark/>
          </w:tcPr>
          <w:p w14:paraId="649031F0"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Video consultations enhanced communication and convenience; telephone less preferred</w:t>
            </w:r>
          </w:p>
        </w:tc>
        <w:tc>
          <w:tcPr>
            <w:tcW w:w="0" w:type="auto"/>
            <w:vAlign w:val="center"/>
            <w:hideMark/>
          </w:tcPr>
          <w:p w14:paraId="0AD8ACF1"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Highlights benefits and limitations of telehealth for patient experience</w:t>
            </w:r>
          </w:p>
        </w:tc>
      </w:tr>
      <w:tr w:rsidR="00047F84" w:rsidRPr="00047F84" w14:paraId="1228B8AE" w14:textId="77777777">
        <w:trPr>
          <w:tblCellSpacing w:w="15" w:type="dxa"/>
        </w:trPr>
        <w:tc>
          <w:tcPr>
            <w:tcW w:w="0" w:type="auto"/>
            <w:vAlign w:val="center"/>
            <w:hideMark/>
          </w:tcPr>
          <w:p w14:paraId="09891B9E"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Murphy et al., 2021</w:t>
            </w:r>
          </w:p>
        </w:tc>
        <w:tc>
          <w:tcPr>
            <w:tcW w:w="0" w:type="auto"/>
            <w:vAlign w:val="center"/>
            <w:hideMark/>
          </w:tcPr>
          <w:p w14:paraId="6BF52216"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Evaluate remote consultation implementation in primary care</w:t>
            </w:r>
          </w:p>
        </w:tc>
        <w:tc>
          <w:tcPr>
            <w:tcW w:w="0" w:type="auto"/>
            <w:vAlign w:val="center"/>
            <w:hideMark/>
          </w:tcPr>
          <w:p w14:paraId="36298DD8"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Mixed-methods survey and interviews, 300 participants</w:t>
            </w:r>
          </w:p>
        </w:tc>
        <w:tc>
          <w:tcPr>
            <w:tcW w:w="0" w:type="auto"/>
            <w:vAlign w:val="center"/>
            <w:hideMark/>
          </w:tcPr>
          <w:p w14:paraId="733367DD"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82% found remote consultations convenient; digital barriers for older adults</w:t>
            </w:r>
          </w:p>
        </w:tc>
        <w:tc>
          <w:tcPr>
            <w:tcW w:w="0" w:type="auto"/>
            <w:vAlign w:val="center"/>
            <w:hideMark/>
          </w:tcPr>
          <w:p w14:paraId="162485AB"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Provides quantitative and qualitative evidence on accessibility and satisfaction</w:t>
            </w:r>
          </w:p>
        </w:tc>
      </w:tr>
      <w:tr w:rsidR="00047F84" w:rsidRPr="00047F84" w14:paraId="40BD9495" w14:textId="77777777">
        <w:trPr>
          <w:tblCellSpacing w:w="15" w:type="dxa"/>
        </w:trPr>
        <w:tc>
          <w:tcPr>
            <w:tcW w:w="0" w:type="auto"/>
            <w:vAlign w:val="center"/>
            <w:hideMark/>
          </w:tcPr>
          <w:p w14:paraId="3F41B098"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Hammersley et al., 2022</w:t>
            </w:r>
          </w:p>
        </w:tc>
        <w:tc>
          <w:tcPr>
            <w:tcW w:w="0" w:type="auto"/>
            <w:vAlign w:val="center"/>
            <w:hideMark/>
          </w:tcPr>
          <w:p w14:paraId="562098B3"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Compare quality of video, telephone, and face-to-face consultations</w:t>
            </w:r>
          </w:p>
        </w:tc>
        <w:tc>
          <w:tcPr>
            <w:tcW w:w="0" w:type="auto"/>
            <w:vAlign w:val="center"/>
            <w:hideMark/>
          </w:tcPr>
          <w:p w14:paraId="3B8EF0EE"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Observational, 250 participants</w:t>
            </w:r>
          </w:p>
        </w:tc>
        <w:tc>
          <w:tcPr>
            <w:tcW w:w="0" w:type="auto"/>
            <w:vAlign w:val="center"/>
            <w:hideMark/>
          </w:tcPr>
          <w:p w14:paraId="75BDB57F"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Video improved rapport; older adults faced digital exclusion</w:t>
            </w:r>
          </w:p>
        </w:tc>
        <w:tc>
          <w:tcPr>
            <w:tcW w:w="0" w:type="auto"/>
            <w:vAlign w:val="center"/>
            <w:hideMark/>
          </w:tcPr>
          <w:p w14:paraId="09E8BD94"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Addresses communication, safety, and equity issues</w:t>
            </w:r>
          </w:p>
        </w:tc>
      </w:tr>
      <w:tr w:rsidR="00047F84" w:rsidRPr="00047F84" w14:paraId="120D7D9E" w14:textId="77777777">
        <w:trPr>
          <w:tblCellSpacing w:w="15" w:type="dxa"/>
        </w:trPr>
        <w:tc>
          <w:tcPr>
            <w:tcW w:w="0" w:type="auto"/>
            <w:vAlign w:val="center"/>
            <w:hideMark/>
          </w:tcPr>
          <w:p w14:paraId="43F9EC59"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Newbould et al., 2023</w:t>
            </w:r>
          </w:p>
        </w:tc>
        <w:tc>
          <w:tcPr>
            <w:tcW w:w="0" w:type="auto"/>
            <w:vAlign w:val="center"/>
            <w:hideMark/>
          </w:tcPr>
          <w:p w14:paraId="65ECF277"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Explore patient experiences of remote GP consultations</w:t>
            </w:r>
          </w:p>
        </w:tc>
        <w:tc>
          <w:tcPr>
            <w:tcW w:w="0" w:type="auto"/>
            <w:vAlign w:val="center"/>
            <w:hideMark/>
          </w:tcPr>
          <w:p w14:paraId="4E1E9ACB"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Qualitative longitudinal interviews, 50 participants</w:t>
            </w:r>
          </w:p>
        </w:tc>
        <w:tc>
          <w:tcPr>
            <w:tcW w:w="0" w:type="auto"/>
            <w:vAlign w:val="center"/>
            <w:hideMark/>
          </w:tcPr>
          <w:p w14:paraId="0725363D"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Clear guidance and follow-up enhanced confidence; safety concerns for complex cases</w:t>
            </w:r>
          </w:p>
        </w:tc>
        <w:tc>
          <w:tcPr>
            <w:tcW w:w="0" w:type="auto"/>
            <w:vAlign w:val="center"/>
            <w:hideMark/>
          </w:tcPr>
          <w:p w14:paraId="399E897E"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Demonstrates importance of clinical safety and adequacy in patient experience</w:t>
            </w:r>
          </w:p>
        </w:tc>
      </w:tr>
      <w:tr w:rsidR="00047F84" w:rsidRPr="00047F84" w14:paraId="19F72167" w14:textId="77777777">
        <w:trPr>
          <w:tblCellSpacing w:w="15" w:type="dxa"/>
        </w:trPr>
        <w:tc>
          <w:tcPr>
            <w:tcW w:w="0" w:type="auto"/>
            <w:vAlign w:val="center"/>
            <w:hideMark/>
          </w:tcPr>
          <w:p w14:paraId="2A98DDE2"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Greenhalgh et al., 2022</w:t>
            </w:r>
          </w:p>
        </w:tc>
        <w:tc>
          <w:tcPr>
            <w:tcW w:w="0" w:type="auto"/>
            <w:vAlign w:val="center"/>
            <w:hideMark/>
          </w:tcPr>
          <w:p w14:paraId="4584E584"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Examine advantages and limitations of remote consultations</w:t>
            </w:r>
          </w:p>
        </w:tc>
        <w:tc>
          <w:tcPr>
            <w:tcW w:w="0" w:type="auto"/>
            <w:vAlign w:val="center"/>
            <w:hideMark/>
          </w:tcPr>
          <w:p w14:paraId="1665DE8F"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Qualitative study, 60 participants</w:t>
            </w:r>
          </w:p>
        </w:tc>
        <w:tc>
          <w:tcPr>
            <w:tcW w:w="0" w:type="auto"/>
            <w:vAlign w:val="center"/>
            <w:hideMark/>
          </w:tcPr>
          <w:p w14:paraId="5D17D31D"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Patients appreciated convenience but expressed safety concerns for complex conditions</w:t>
            </w:r>
          </w:p>
        </w:tc>
        <w:tc>
          <w:tcPr>
            <w:tcW w:w="0" w:type="auto"/>
            <w:vAlign w:val="center"/>
            <w:hideMark/>
          </w:tcPr>
          <w:p w14:paraId="760ADE17"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Reinforces importance of hybrid models and safety-netting</w:t>
            </w:r>
          </w:p>
        </w:tc>
      </w:tr>
      <w:tr w:rsidR="00047F84" w:rsidRPr="00047F84" w14:paraId="332A7358" w14:textId="77777777">
        <w:trPr>
          <w:tblCellSpacing w:w="15" w:type="dxa"/>
        </w:trPr>
        <w:tc>
          <w:tcPr>
            <w:tcW w:w="0" w:type="auto"/>
            <w:vAlign w:val="center"/>
            <w:hideMark/>
          </w:tcPr>
          <w:p w14:paraId="38C92870"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Mroz et al., 2021</w:t>
            </w:r>
          </w:p>
        </w:tc>
        <w:tc>
          <w:tcPr>
            <w:tcW w:w="0" w:type="auto"/>
            <w:vAlign w:val="center"/>
            <w:hideMark/>
          </w:tcPr>
          <w:p w14:paraId="1821171F"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Understand patient perspectives on remote consultations</w:t>
            </w:r>
          </w:p>
        </w:tc>
        <w:tc>
          <w:tcPr>
            <w:tcW w:w="0" w:type="auto"/>
            <w:vAlign w:val="center"/>
            <w:hideMark/>
          </w:tcPr>
          <w:p w14:paraId="4880D036"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Qualitative interviews, 40 participants</w:t>
            </w:r>
          </w:p>
        </w:tc>
        <w:tc>
          <w:tcPr>
            <w:tcW w:w="0" w:type="auto"/>
            <w:vAlign w:val="center"/>
            <w:hideMark/>
          </w:tcPr>
          <w:p w14:paraId="10C07A31"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Telephone consultations sometimes felt impersonal; continuity improved satisfaction</w:t>
            </w:r>
          </w:p>
        </w:tc>
        <w:tc>
          <w:tcPr>
            <w:tcW w:w="0" w:type="auto"/>
            <w:vAlign w:val="center"/>
            <w:hideMark/>
          </w:tcPr>
          <w:p w14:paraId="431C63B8" w14:textId="77777777" w:rsidR="00047F84" w:rsidRPr="00047F84" w:rsidRDefault="00047F84" w:rsidP="00047F84">
            <w:pPr>
              <w:spacing w:before="100" w:beforeAutospacing="1" w:after="100" w:afterAutospacing="1" w:line="240" w:lineRule="auto"/>
              <w:rPr>
                <w:rFonts w:ascii="Arial" w:hAnsi="Arial" w:cs="Arial"/>
                <w:kern w:val="0"/>
                <w14:ligatures w14:val="none"/>
              </w:rPr>
            </w:pPr>
            <w:r w:rsidRPr="00047F84">
              <w:rPr>
                <w:rFonts w:ascii="Arial" w:hAnsi="Arial" w:cs="Arial"/>
                <w:kern w:val="0"/>
                <w14:ligatures w14:val="none"/>
              </w:rPr>
              <w:t>Highlights relational continuity and communication quality</w:t>
            </w:r>
          </w:p>
        </w:tc>
      </w:tr>
    </w:tbl>
    <w:p w14:paraId="25ECC373" w14:textId="77777777" w:rsidR="00047F84" w:rsidRPr="00CD6668" w:rsidRDefault="00047F84" w:rsidP="00CD6668">
      <w:pPr>
        <w:spacing w:before="100" w:beforeAutospacing="1" w:after="100" w:afterAutospacing="1" w:line="240" w:lineRule="auto"/>
        <w:rPr>
          <w:rFonts w:ascii="Arial" w:hAnsi="Arial" w:cs="Arial"/>
          <w:kern w:val="0"/>
          <w14:ligatures w14:val="none"/>
        </w:rPr>
      </w:pPr>
    </w:p>
    <w:p w14:paraId="4EE4AEB6" w14:textId="00AA5F17" w:rsidR="00383376" w:rsidRPr="00383376" w:rsidRDefault="00383376" w:rsidP="003D318C">
      <w:pPr>
        <w:spacing w:before="100" w:beforeAutospacing="1" w:after="100" w:afterAutospacing="1" w:line="240" w:lineRule="auto"/>
        <w:rPr>
          <w:rFonts w:ascii="Arial" w:hAnsi="Arial" w:cs="Arial"/>
          <w:kern w:val="0"/>
          <w14:ligatures w14:val="none"/>
        </w:rPr>
      </w:pPr>
      <w:r w:rsidRPr="00383376">
        <w:rPr>
          <w:rFonts w:ascii="Arial" w:hAnsi="Arial" w:cs="Arial"/>
          <w:kern w:val="0"/>
          <w14:ligatures w14:val="none"/>
        </w:rPr>
        <w:t xml:space="preserve">  </w:t>
      </w:r>
    </w:p>
    <w:p w14:paraId="085E6780" w14:textId="77777777" w:rsidR="003D318C" w:rsidRDefault="003D318C" w:rsidP="003D318C">
      <w:pPr>
        <w:spacing w:before="100" w:beforeAutospacing="1" w:after="100" w:afterAutospacing="1" w:line="240" w:lineRule="auto"/>
        <w:outlineLvl w:val="1"/>
        <w:rPr>
          <w:rFonts w:ascii="Arial" w:eastAsia="Times New Roman" w:hAnsi="Arial" w:cs="Arial"/>
          <w:b/>
          <w:bCs/>
          <w:kern w:val="0"/>
          <w14:ligatures w14:val="none"/>
        </w:rPr>
      </w:pPr>
    </w:p>
    <w:p w14:paraId="06CB9962" w14:textId="024ABDC2" w:rsidR="00383376" w:rsidRPr="00383376" w:rsidRDefault="00383376" w:rsidP="003D318C">
      <w:pPr>
        <w:spacing w:before="100" w:beforeAutospacing="1" w:after="100" w:afterAutospacing="1" w:line="240" w:lineRule="auto"/>
        <w:outlineLvl w:val="1"/>
        <w:rPr>
          <w:rFonts w:ascii="Arial" w:hAnsi="Arial" w:cs="Arial"/>
          <w:b/>
          <w:bCs/>
          <w:kern w:val="0"/>
          <w14:ligatures w14:val="none"/>
        </w:rPr>
      </w:pPr>
      <w:r w:rsidRPr="00383376">
        <w:rPr>
          <w:rFonts w:ascii="Arial" w:eastAsia="Times New Roman" w:hAnsi="Arial" w:cs="Arial"/>
          <w:b/>
          <w:bCs/>
          <w:kern w:val="0"/>
          <w14:ligatures w14:val="none"/>
        </w:rPr>
        <w:t>Discussion</w:t>
      </w:r>
    </w:p>
    <w:p w14:paraId="5F63F646" w14:textId="28B5552F" w:rsidR="00B57B9C" w:rsidRPr="002B1A01" w:rsidRDefault="00B57B9C" w:rsidP="003D318C">
      <w:pPr>
        <w:pStyle w:val="p1"/>
        <w:rPr>
          <w:rFonts w:ascii="Arial" w:hAnsi="Arial" w:cs="Arial"/>
        </w:rPr>
      </w:pPr>
      <w:r w:rsidRPr="002B1A01">
        <w:rPr>
          <w:rStyle w:val="s1"/>
          <w:rFonts w:ascii="Arial" w:hAnsi="Arial" w:cs="Arial"/>
        </w:rPr>
        <w:t>This scoping review highlights both the opportunities and challenges associated with telehealth in UK primary care from the patient’s perspective. The thematic analysis of six peer-reviewed UK studies demonstrates that telehealth significantly affects patient experience across multiple domains, including accessibility, communication, perceived safety, and digital equity. The findings provide valuable insights into the factors influencing satisfaction and engagement with remote consultations and have important implications for practice, policy, and future research.</w:t>
      </w:r>
    </w:p>
    <w:p w14:paraId="2889E7BA" w14:textId="4F91BD53" w:rsidR="00B57B9C" w:rsidRPr="002B1A01" w:rsidRDefault="00B57B9C" w:rsidP="003D318C">
      <w:pPr>
        <w:pStyle w:val="p1"/>
        <w:rPr>
          <w:rFonts w:ascii="Arial" w:hAnsi="Arial" w:cs="Arial"/>
        </w:rPr>
      </w:pPr>
      <w:r w:rsidRPr="002B1A01">
        <w:rPr>
          <w:rStyle w:val="s2"/>
          <w:rFonts w:ascii="Arial" w:hAnsi="Arial" w:cs="Arial"/>
        </w:rPr>
        <w:t>Accessibility and Convenience</w:t>
      </w:r>
      <w:r w:rsidRPr="002B1A01">
        <w:rPr>
          <w:rStyle w:val="s1"/>
          <w:rFonts w:ascii="Arial" w:hAnsi="Arial" w:cs="Arial"/>
        </w:rPr>
        <w:t xml:space="preserve"> emerged as a primary benefit of telehealth. Patients consistently reported reduced travel times, shorter waiting periods, and increased flexibility when attending appointments remotely (Murphy et al., 2021; Shaw et al., 2021). These benefits align with NHS strategic objectives, which emphasise improving patient choice, efficiency, and access through digital innovations (NHS England, 2019). Convenience was particularly valued by patients with chronic conditions, mobility challenges, or caregiving responsibilities, highlighting the potential of telehealth to reduce barriers to care. However, the findings also revealed inequities in access. Older adults, socioeconomically disadvantaged individuals, and those with low digital literacy experienced difficulties navigating technology, which limited their ability to benefit fully from telehealth services (Hammersley et al., 2022). This underscores the need for targeted interventions to promote digital inclusion and avoid exacerbating health inequalities.</w:t>
      </w:r>
    </w:p>
    <w:p w14:paraId="7FAB1346" w14:textId="2518F684" w:rsidR="00B57B9C" w:rsidRPr="002B1A01" w:rsidRDefault="00B57B9C" w:rsidP="003D318C">
      <w:pPr>
        <w:pStyle w:val="p1"/>
        <w:rPr>
          <w:rFonts w:ascii="Arial" w:hAnsi="Arial" w:cs="Arial"/>
        </w:rPr>
      </w:pPr>
      <w:r w:rsidRPr="002B1A01">
        <w:rPr>
          <w:rStyle w:val="s2"/>
          <w:rFonts w:ascii="Arial" w:hAnsi="Arial" w:cs="Arial"/>
        </w:rPr>
        <w:t>Communication and Relational Continuity</w:t>
      </w:r>
      <w:r w:rsidRPr="002B1A01">
        <w:rPr>
          <w:rStyle w:val="s1"/>
          <w:rFonts w:ascii="Arial" w:hAnsi="Arial" w:cs="Arial"/>
        </w:rPr>
        <w:t xml:space="preserve"> were central to patient experience. Video consultations were consistently preferred over telephone consultations due to the presence of visual cues, which facilitated rapport, trust, and understanding (Shaw et al., 2021). Telephone consultations, while convenient, were sometimes perceived as impersonal or rushed, particularly when patients did not have an established relationship with their clinician (Mroz et al., 2021). Relational continuity—seeing the same clinician over multiple consultations—enhanced patient satisfaction, confidence, and adherence to treatment recommendations. These findings are consistent with relational models of care, which suggest that trust and interpersonal continuity are critical for positive health outcomes (Starfield, 2011). They also highlight the need for primary care services to design telehealth systems that preserve continuity and personalised communication, particularly for patients with chronic or complex conditions.</w:t>
      </w:r>
    </w:p>
    <w:p w14:paraId="610F5113" w14:textId="77777777" w:rsidR="00B57B9C" w:rsidRPr="002B1A01" w:rsidRDefault="00B57B9C">
      <w:pPr>
        <w:pStyle w:val="p1"/>
        <w:rPr>
          <w:rFonts w:ascii="Arial" w:hAnsi="Arial" w:cs="Arial"/>
        </w:rPr>
      </w:pPr>
      <w:r w:rsidRPr="002B1A01">
        <w:rPr>
          <w:rStyle w:val="s2"/>
          <w:rFonts w:ascii="Arial" w:hAnsi="Arial" w:cs="Arial"/>
        </w:rPr>
        <w:t>Perceived Safety and Clinical Adequacy</w:t>
      </w:r>
      <w:r w:rsidRPr="002B1A01">
        <w:rPr>
          <w:rStyle w:val="s1"/>
          <w:rFonts w:ascii="Arial" w:hAnsi="Arial" w:cs="Arial"/>
        </w:rPr>
        <w:t xml:space="preserve"> emerged as another key theme. Patients generally viewed telehealth as appropriate for minor illnesses, routine follow-ups, and medication management, but expressed concerns regarding its adequacy for complex or multi-morbid conditions (Greenhalgh et al., 2022; Newbould et al., 2023). Some patients feared misdiagnosis due to the inability to perform physical examinations remotely, highlighting the importance of safety-netting measures and clear guidance on when in-person consultations are necessary. These findings support the adoption of hybrid models of care that combine telehealth with face-to-face consultations, ensuring clinical safety while maintaining accessibility and convenience. They also reflect broader literature on patient safety, which emphasises that perceived and actual safety are both critical determinants of patient experience (Vincent, 2010).</w:t>
      </w:r>
    </w:p>
    <w:p w14:paraId="23A62E48" w14:textId="77777777" w:rsidR="00B57B9C" w:rsidRPr="002B1A01" w:rsidRDefault="00B57B9C">
      <w:pPr>
        <w:pStyle w:val="p2"/>
        <w:rPr>
          <w:rFonts w:ascii="Arial" w:hAnsi="Arial" w:cs="Arial"/>
        </w:rPr>
      </w:pPr>
    </w:p>
    <w:p w14:paraId="394A349B" w14:textId="77777777" w:rsidR="00B57B9C" w:rsidRPr="002B1A01" w:rsidRDefault="00B57B9C">
      <w:pPr>
        <w:pStyle w:val="p1"/>
        <w:rPr>
          <w:rFonts w:ascii="Arial" w:hAnsi="Arial" w:cs="Arial"/>
        </w:rPr>
      </w:pPr>
      <w:r w:rsidRPr="002B1A01">
        <w:rPr>
          <w:rStyle w:val="s2"/>
          <w:rFonts w:ascii="Arial" w:hAnsi="Arial" w:cs="Arial"/>
        </w:rPr>
        <w:t>Digital Equity and Inclusion</w:t>
      </w:r>
      <w:r w:rsidRPr="002B1A01">
        <w:rPr>
          <w:rStyle w:val="s1"/>
          <w:rFonts w:ascii="Arial" w:hAnsi="Arial" w:cs="Arial"/>
        </w:rPr>
        <w:t xml:space="preserve"> was a recurring concern across the six studies. Patients with limited access to technology, poor digital literacy, or financial constraints faced barriers that negatively impacted their experience and satisfaction with telehealth services (Hammersley et al., 2022; Greenwood et al., 2021). Vulnerable populations—including older adults, ethnic minorities, and people with disabilities—were at particular risk of exclusion, suggesting that without targeted support, digital-first approaches could exacerbate existing health disparities. The findings indicate that interventions such as providing devices, offering technical support, and designing user-friendly platforms are essential to ensuring equitable access. Furthermore, these results align with policy guidance from NHS England and the World Health Organization, which advocate for inclusivity and accessibility as core principles in digital health strategies (NHS England, 2019; WHO, 2021).</w:t>
      </w:r>
    </w:p>
    <w:p w14:paraId="6ED0FDD7" w14:textId="77777777" w:rsidR="00B57B9C" w:rsidRPr="002B1A01" w:rsidRDefault="00B57B9C">
      <w:pPr>
        <w:pStyle w:val="p2"/>
        <w:rPr>
          <w:rFonts w:ascii="Arial" w:hAnsi="Arial" w:cs="Arial"/>
        </w:rPr>
      </w:pPr>
    </w:p>
    <w:p w14:paraId="3E5CE067" w14:textId="49B5E5DE" w:rsidR="00B57B9C" w:rsidRPr="002B1A01" w:rsidRDefault="00B57B9C" w:rsidP="003D318C">
      <w:pPr>
        <w:pStyle w:val="p1"/>
        <w:rPr>
          <w:rFonts w:ascii="Arial" w:hAnsi="Arial" w:cs="Arial"/>
        </w:rPr>
      </w:pPr>
      <w:r w:rsidRPr="002B1A01">
        <w:rPr>
          <w:rStyle w:val="s1"/>
          <w:rFonts w:ascii="Arial" w:hAnsi="Arial" w:cs="Arial"/>
        </w:rPr>
        <w:t>The review also revealed implications for patient engagement and adherence. Patients who felt confident in using telehealth platforms and had clear guidance from clinicians reported higher levels of engagement and satisfaction. Conversely, those who experienced technological difficulties or felt that consultations were rushed or impersonal were less likely to follow advice or attend follow-up appointments. This finding underscores the interplay between patient experience and health outcomes, suggesting that improving the quality of telehealth interactions can enhance both satisfaction and clinical effectiveness.</w:t>
      </w:r>
    </w:p>
    <w:p w14:paraId="0C1993C2" w14:textId="77777777" w:rsidR="00B57B9C" w:rsidRPr="002B1A01" w:rsidRDefault="00B57B9C">
      <w:pPr>
        <w:pStyle w:val="p1"/>
        <w:rPr>
          <w:rFonts w:ascii="Arial" w:hAnsi="Arial" w:cs="Arial"/>
        </w:rPr>
      </w:pPr>
      <w:r w:rsidRPr="002B1A01">
        <w:rPr>
          <w:rStyle w:val="s2"/>
          <w:rFonts w:ascii="Arial" w:hAnsi="Arial" w:cs="Arial"/>
        </w:rPr>
        <w:t>Strengths and Limitations of the Evidence</w:t>
      </w:r>
    </w:p>
    <w:p w14:paraId="393D7513" w14:textId="62404D2A" w:rsidR="00B57B9C" w:rsidRPr="002B1A01" w:rsidRDefault="00B57B9C" w:rsidP="003D318C">
      <w:pPr>
        <w:pStyle w:val="p1"/>
        <w:rPr>
          <w:rFonts w:ascii="Arial" w:hAnsi="Arial" w:cs="Arial"/>
        </w:rPr>
      </w:pPr>
      <w:r w:rsidRPr="002B1A01">
        <w:rPr>
          <w:rStyle w:val="s1"/>
          <w:rFonts w:ascii="Arial" w:hAnsi="Arial" w:cs="Arial"/>
        </w:rPr>
        <w:t>The studies included in this review provide a rich and diverse understanding of patient experiences with telehealth. They utilised robust qualitative and mixed-methods designs, allowing triangulation of findings and enhancing the credibility of results. However, limitations exist. Most studies involved small to moderate sample sizes and were conducted in urban or semi-urban settings, potentially limiting generalisability to rural or underserved populations. Additionally, many studies focused on short-term experiences, leaving gaps in understanding the long-term impacts of telehealth on patient satisfaction and health outcomes.</w:t>
      </w:r>
    </w:p>
    <w:p w14:paraId="05C12FB3" w14:textId="77777777" w:rsidR="00B57B9C" w:rsidRPr="002B1A01" w:rsidRDefault="00B57B9C">
      <w:pPr>
        <w:pStyle w:val="p1"/>
        <w:rPr>
          <w:rFonts w:ascii="Arial" w:hAnsi="Arial" w:cs="Arial"/>
        </w:rPr>
      </w:pPr>
      <w:r w:rsidRPr="002B1A01">
        <w:rPr>
          <w:rStyle w:val="s2"/>
          <w:rFonts w:ascii="Arial" w:hAnsi="Arial" w:cs="Arial"/>
        </w:rPr>
        <w:t>Implications for Policy and Practice</w:t>
      </w:r>
    </w:p>
    <w:p w14:paraId="0BA11CF6" w14:textId="57DD2417" w:rsidR="00B57B9C" w:rsidRDefault="00B57B9C" w:rsidP="003D318C">
      <w:pPr>
        <w:pStyle w:val="p1"/>
        <w:rPr>
          <w:rStyle w:val="s1"/>
          <w:rFonts w:ascii="Arial" w:hAnsi="Arial" w:cs="Arial"/>
        </w:rPr>
      </w:pPr>
      <w:r w:rsidRPr="002B1A01">
        <w:rPr>
          <w:rStyle w:val="s1"/>
          <w:rFonts w:ascii="Arial" w:hAnsi="Arial" w:cs="Arial"/>
        </w:rPr>
        <w:t>This review highlights the need for policies that balance digital innovation with inclusivity and patient-centered care. Telehealth should complement, rather than replace, face-to-face consultations, ensuring that patients have choice and access according to clinical need. Policies should prioritise training for clinicians in effective digital communication, relational continuity, and safety-netting practices. At the organisational level, investment in infrastructure, technical support, and digital literacy initiatives is critical to ensure equitable access for all patient groups.</w:t>
      </w:r>
    </w:p>
    <w:p w14:paraId="7951BAC1" w14:textId="77777777" w:rsidR="003D318C" w:rsidRDefault="003D318C" w:rsidP="003D318C">
      <w:pPr>
        <w:pStyle w:val="p1"/>
        <w:rPr>
          <w:rStyle w:val="s1"/>
          <w:rFonts w:ascii="Arial" w:hAnsi="Arial" w:cs="Arial"/>
        </w:rPr>
      </w:pPr>
    </w:p>
    <w:p w14:paraId="0CD93DA2" w14:textId="77777777" w:rsidR="003D318C" w:rsidRPr="002B1A01" w:rsidRDefault="003D318C" w:rsidP="003D318C">
      <w:pPr>
        <w:pStyle w:val="p1"/>
        <w:rPr>
          <w:rFonts w:ascii="Arial" w:hAnsi="Arial" w:cs="Arial"/>
        </w:rPr>
      </w:pPr>
    </w:p>
    <w:p w14:paraId="3EE0C35D" w14:textId="77777777" w:rsidR="00B57B9C" w:rsidRPr="002B1A01" w:rsidRDefault="00B57B9C">
      <w:pPr>
        <w:pStyle w:val="p1"/>
        <w:rPr>
          <w:rFonts w:ascii="Arial" w:hAnsi="Arial" w:cs="Arial"/>
        </w:rPr>
      </w:pPr>
      <w:r w:rsidRPr="002B1A01">
        <w:rPr>
          <w:rStyle w:val="s2"/>
          <w:rFonts w:ascii="Arial" w:hAnsi="Arial" w:cs="Arial"/>
        </w:rPr>
        <w:t>Future Research Directions</w:t>
      </w:r>
    </w:p>
    <w:p w14:paraId="4FB390E3" w14:textId="77777777" w:rsidR="00B57B9C" w:rsidRPr="002B1A01" w:rsidRDefault="00B57B9C">
      <w:pPr>
        <w:pStyle w:val="p1"/>
        <w:rPr>
          <w:rFonts w:ascii="Arial" w:hAnsi="Arial" w:cs="Arial"/>
        </w:rPr>
      </w:pPr>
      <w:r w:rsidRPr="002B1A01">
        <w:rPr>
          <w:rStyle w:val="s1"/>
          <w:rFonts w:ascii="Arial" w:hAnsi="Arial" w:cs="Arial"/>
        </w:rPr>
        <w:t>Further research is needed to evaluate long-term patient experiences with telehealth, particularly among vulnerable populations, such as older adults, ethnic minorities, and those with chronic or complex conditions. Comparative studies examining different modalities of telehealth (e.g., video, telephone, asynchronous messaging) across diverse populations would provide additional insights into best practices. Additionally, research examining cost-effectiveness, clinical outcomes, and patient-reported outcomes over time would support evidence-based policy and practice development.</w:t>
      </w:r>
    </w:p>
    <w:p w14:paraId="67DDC23B" w14:textId="77777777" w:rsidR="00A34BBB" w:rsidRPr="002B1A01" w:rsidRDefault="00A34BBB" w:rsidP="00A34BBB">
      <w:pPr>
        <w:spacing w:before="100" w:beforeAutospacing="1" w:after="100" w:afterAutospacing="1" w:line="240" w:lineRule="auto"/>
        <w:rPr>
          <w:rFonts w:ascii="Arial" w:hAnsi="Arial" w:cs="Arial"/>
          <w:b/>
          <w:bCs/>
          <w:kern w:val="0"/>
          <w14:ligatures w14:val="none"/>
        </w:rPr>
      </w:pPr>
      <w:r w:rsidRPr="002B1A01">
        <w:rPr>
          <w:rFonts w:ascii="Arial" w:hAnsi="Arial" w:cs="Arial"/>
          <w:b/>
          <w:bCs/>
          <w:kern w:val="0"/>
          <w14:ligatures w14:val="none"/>
        </w:rPr>
        <w:t>Conclusion</w:t>
      </w:r>
    </w:p>
    <w:p w14:paraId="00B3E712" w14:textId="051E16AB" w:rsidR="00620175" w:rsidRPr="002B1A01" w:rsidRDefault="00620175" w:rsidP="003D318C">
      <w:pPr>
        <w:pStyle w:val="p1"/>
        <w:rPr>
          <w:rFonts w:ascii="Arial" w:hAnsi="Arial" w:cs="Arial"/>
        </w:rPr>
      </w:pPr>
      <w:r w:rsidRPr="002B1A01">
        <w:rPr>
          <w:rStyle w:val="s1"/>
          <w:rFonts w:ascii="Arial" w:hAnsi="Arial" w:cs="Arial"/>
        </w:rPr>
        <w:t>This scoping review demonstrates that telehealth has significantly influenced patient experience in UK primary care, offering both opportunities and challenges. The evidence indicates that telehealth enhances convenience, reduces travel time, and improves access to care, particularly for routine consultations, chronic disease management, and follow-ups. Patients value the flexibility of digital consultations, the ability to fit appointments around their schedules, and the reduced exposure risk during public health emergencies, such as the COVID-19 pandemic.</w:t>
      </w:r>
    </w:p>
    <w:p w14:paraId="6D58FD5F" w14:textId="6E58550B" w:rsidR="00620175" w:rsidRPr="002B1A01" w:rsidRDefault="00620175" w:rsidP="003D318C">
      <w:pPr>
        <w:pStyle w:val="p1"/>
        <w:rPr>
          <w:rFonts w:ascii="Arial" w:hAnsi="Arial" w:cs="Arial"/>
        </w:rPr>
      </w:pPr>
      <w:r w:rsidRPr="002B1A01">
        <w:rPr>
          <w:rStyle w:val="s1"/>
          <w:rFonts w:ascii="Arial" w:hAnsi="Arial" w:cs="Arial"/>
        </w:rPr>
        <w:t>However, the findings also reveal critical challenges that must be addressed to optimise patient experience. Digital exclusion remains a substantial barrier, disproportionately affecting older adults, individuals with lower socioeconomic status, and those with limited digital literacy. These inequities risk undermining the goal of accessible, equitable healthcare and highlight the need for targeted support, technical guidance, and inclusive digital solutions.</w:t>
      </w:r>
    </w:p>
    <w:p w14:paraId="4B28F264" w14:textId="4DC3664E" w:rsidR="00620175" w:rsidRPr="002B1A01" w:rsidRDefault="00620175" w:rsidP="003D318C">
      <w:pPr>
        <w:pStyle w:val="p1"/>
        <w:rPr>
          <w:rFonts w:ascii="Arial" w:hAnsi="Arial" w:cs="Arial"/>
        </w:rPr>
      </w:pPr>
      <w:r w:rsidRPr="002B1A01">
        <w:rPr>
          <w:rStyle w:val="s1"/>
          <w:rFonts w:ascii="Arial" w:hAnsi="Arial" w:cs="Arial"/>
        </w:rPr>
        <w:t>The quality of communication and relational continuity are central to patient satisfaction in telehealth. Video consultations are preferred over telephone interactions for the ability to convey visual cues and establish rapport, yet some patients experience impersonal or rushed interactions when continuity with the same clinician is lacking. Ensuring relational continuity, providing clear guidance, and maintaining access to in-person consultations for complex cases are essential for maintaining trust, confidence, and engagement.</w:t>
      </w:r>
    </w:p>
    <w:p w14:paraId="649582D5" w14:textId="5C3899F9" w:rsidR="00620175" w:rsidRPr="002B1A01" w:rsidRDefault="00620175" w:rsidP="003D318C">
      <w:pPr>
        <w:pStyle w:val="p1"/>
        <w:rPr>
          <w:rFonts w:ascii="Arial" w:hAnsi="Arial" w:cs="Arial"/>
        </w:rPr>
      </w:pPr>
      <w:r w:rsidRPr="002B1A01">
        <w:rPr>
          <w:rStyle w:val="s1"/>
          <w:rFonts w:ascii="Arial" w:hAnsi="Arial" w:cs="Arial"/>
        </w:rPr>
        <w:t>Perceived safety and adequacy of care are also critical. Patients generally perceive remote consultations as safe and appropriate for minor conditions, but express concern for complex health issues requiring physical assessment. Clear safety-netting, guidance on follow-ups, and hybrid care models that combine remote and face-to-face consultations can mitigate these concerns and enhance patient confidence.</w:t>
      </w:r>
    </w:p>
    <w:p w14:paraId="56C90044" w14:textId="77777777" w:rsidR="00620175" w:rsidRPr="002B1A01" w:rsidRDefault="00620175">
      <w:pPr>
        <w:pStyle w:val="p1"/>
        <w:rPr>
          <w:rFonts w:ascii="Arial" w:hAnsi="Arial" w:cs="Arial"/>
        </w:rPr>
      </w:pPr>
      <w:r w:rsidRPr="002B1A01">
        <w:rPr>
          <w:rStyle w:val="s1"/>
          <w:rFonts w:ascii="Arial" w:hAnsi="Arial" w:cs="Arial"/>
        </w:rPr>
        <w:t>In conclusion, telehealth represents a transformative shift in UK primary care, with the potential to improve accessibility, convenience, and efficiency. To maximise benefits while minimising disadvantages, healthcare providers must implement flexible models that accommodate patient preferences, address digital inequalities, support relational continuity, and ensure high standards of clinical quality and safety. Policymakers, practitioners, and researchers should continue to evaluate patient experiences, develop evidence-based guidelines, and prioritise inclusivity to ensure that telehealth delivers sustainable, equitable, and patient-centered care in the UK.</w:t>
      </w:r>
    </w:p>
    <w:p w14:paraId="24D4834B" w14:textId="77777777" w:rsidR="00A34BBB" w:rsidRPr="002B1A01" w:rsidRDefault="00A34BBB" w:rsidP="00A34BBB">
      <w:pPr>
        <w:spacing w:before="100" w:beforeAutospacing="1" w:after="100" w:afterAutospacing="1" w:line="240" w:lineRule="auto"/>
        <w:rPr>
          <w:rFonts w:ascii="Arial" w:hAnsi="Arial" w:cs="Arial"/>
          <w:kern w:val="0"/>
          <w14:ligatures w14:val="none"/>
        </w:rPr>
      </w:pPr>
    </w:p>
    <w:p w14:paraId="1D79B2F9" w14:textId="0277C4EB" w:rsidR="007F2292" w:rsidRPr="007F2292" w:rsidRDefault="007F2292" w:rsidP="003D318C">
      <w:pPr>
        <w:spacing w:before="100" w:beforeAutospacing="1" w:after="100" w:afterAutospacing="1" w:line="240" w:lineRule="auto"/>
        <w:outlineLvl w:val="1"/>
        <w:rPr>
          <w:rFonts w:ascii="Arial" w:eastAsia="Times New Roman" w:hAnsi="Arial" w:cs="Arial"/>
          <w:b/>
          <w:bCs/>
          <w:kern w:val="0"/>
          <w14:ligatures w14:val="none"/>
        </w:rPr>
      </w:pPr>
      <w:r w:rsidRPr="007F2292">
        <w:rPr>
          <w:rFonts w:ascii="Arial" w:eastAsia="Times New Roman" w:hAnsi="Arial" w:cs="Arial"/>
          <w:b/>
          <w:bCs/>
          <w:kern w:val="0"/>
          <w14:ligatures w14:val="none"/>
        </w:rPr>
        <w:t>Recommendations</w:t>
      </w:r>
    </w:p>
    <w:p w14:paraId="60D3C8D5" w14:textId="77777777" w:rsidR="007F2292" w:rsidRPr="007F2292" w:rsidRDefault="007F2292" w:rsidP="007F2292">
      <w:pPr>
        <w:spacing w:before="100" w:beforeAutospacing="1" w:after="100" w:afterAutospacing="1" w:line="240" w:lineRule="auto"/>
        <w:rPr>
          <w:rFonts w:ascii="Arial" w:hAnsi="Arial" w:cs="Arial"/>
          <w:kern w:val="0"/>
          <w14:ligatures w14:val="none"/>
        </w:rPr>
      </w:pPr>
      <w:r w:rsidRPr="007F2292">
        <w:rPr>
          <w:rFonts w:ascii="Arial" w:hAnsi="Arial" w:cs="Arial"/>
          <w:kern w:val="0"/>
          <w14:ligatures w14:val="none"/>
        </w:rPr>
        <w:t>To ensure that telehealth services in UK primary care deliver equitable, high-quality, and patient-centered care, several practical and policy-level recommendations are proposed based on the findings of this scoping review:</w:t>
      </w:r>
    </w:p>
    <w:p w14:paraId="37CC6D12" w14:textId="77777777" w:rsidR="007F2292" w:rsidRPr="007F2292" w:rsidRDefault="007F2292" w:rsidP="007F2292">
      <w:pPr>
        <w:numPr>
          <w:ilvl w:val="0"/>
          <w:numId w:val="5"/>
        </w:numPr>
        <w:spacing w:before="100" w:beforeAutospacing="1" w:after="100" w:afterAutospacing="1" w:line="240" w:lineRule="auto"/>
        <w:rPr>
          <w:rFonts w:ascii="Arial" w:hAnsi="Arial" w:cs="Arial"/>
          <w:kern w:val="0"/>
          <w14:ligatures w14:val="none"/>
        </w:rPr>
      </w:pPr>
      <w:r w:rsidRPr="007F2292">
        <w:rPr>
          <w:rFonts w:ascii="Arial" w:hAnsi="Arial" w:cs="Arial"/>
          <w:kern w:val="0"/>
          <w14:ligatures w14:val="none"/>
        </w:rPr>
        <w:t>Adopt Flexible, Hybrid Consultation Models:</w:t>
      </w:r>
    </w:p>
    <w:p w14:paraId="38810F46" w14:textId="77777777" w:rsidR="007F2292" w:rsidRPr="007F2292" w:rsidRDefault="007F2292" w:rsidP="007F2292">
      <w:pPr>
        <w:spacing w:before="100" w:beforeAutospacing="1" w:after="100" w:afterAutospacing="1" w:line="240" w:lineRule="auto"/>
        <w:ind w:left="720"/>
        <w:rPr>
          <w:rFonts w:ascii="Arial" w:hAnsi="Arial" w:cs="Arial"/>
          <w:kern w:val="0"/>
          <w14:ligatures w14:val="none"/>
        </w:rPr>
      </w:pPr>
      <w:r w:rsidRPr="007F2292">
        <w:rPr>
          <w:rFonts w:ascii="Arial" w:hAnsi="Arial" w:cs="Arial"/>
          <w:kern w:val="0"/>
          <w14:ligatures w14:val="none"/>
        </w:rPr>
        <w:t>Primary care providers should offer a mix of remote and face-to-face consultations, allowing patients to choose the format that best suits their needs. Routine follow-ups, medication reviews, and minor ailments may be managed effectively via telehealth, while complex, multi-morbid, or sensitive consultations should remain accessible in person. Flexible models will help maintain continuity of care and patient satisfaction while maximising efficiency and reducing unnecessary travel.</w:t>
      </w:r>
    </w:p>
    <w:p w14:paraId="4A33D210" w14:textId="77777777" w:rsidR="007F2292" w:rsidRPr="007F2292" w:rsidRDefault="007F2292" w:rsidP="007F2292">
      <w:pPr>
        <w:numPr>
          <w:ilvl w:val="0"/>
          <w:numId w:val="5"/>
        </w:numPr>
        <w:spacing w:before="100" w:beforeAutospacing="1" w:after="100" w:afterAutospacing="1" w:line="240" w:lineRule="auto"/>
        <w:rPr>
          <w:rFonts w:ascii="Arial" w:hAnsi="Arial" w:cs="Arial"/>
          <w:kern w:val="0"/>
          <w14:ligatures w14:val="none"/>
        </w:rPr>
      </w:pPr>
      <w:r w:rsidRPr="007F2292">
        <w:rPr>
          <w:rFonts w:ascii="Arial" w:hAnsi="Arial" w:cs="Arial"/>
          <w:kern w:val="0"/>
          <w14:ligatures w14:val="none"/>
        </w:rPr>
        <w:t>Ensure Relational Continuity:</w:t>
      </w:r>
    </w:p>
    <w:p w14:paraId="410E7D4A" w14:textId="77777777" w:rsidR="007F2292" w:rsidRPr="007F2292" w:rsidRDefault="007F2292" w:rsidP="007F2292">
      <w:pPr>
        <w:spacing w:before="100" w:beforeAutospacing="1" w:after="100" w:afterAutospacing="1" w:line="240" w:lineRule="auto"/>
        <w:ind w:left="720"/>
        <w:rPr>
          <w:rFonts w:ascii="Arial" w:hAnsi="Arial" w:cs="Arial"/>
          <w:kern w:val="0"/>
          <w14:ligatures w14:val="none"/>
        </w:rPr>
      </w:pPr>
      <w:r w:rsidRPr="007F2292">
        <w:rPr>
          <w:rFonts w:ascii="Arial" w:hAnsi="Arial" w:cs="Arial"/>
          <w:kern w:val="0"/>
          <w14:ligatures w14:val="none"/>
        </w:rPr>
        <w:t>Patients value seeing the same clinician over time, particularly those with chronic or complex conditions. Practices should design systems that allow continuity in remote consultations, such as allocating specific clinicians for follow-ups or using digital scheduling tools that prioritize patient-clinician consistency. This strengthens trust, engagement, and adherence to treatment plans.</w:t>
      </w:r>
    </w:p>
    <w:p w14:paraId="63E952AD" w14:textId="77777777" w:rsidR="007F2292" w:rsidRPr="007F2292" w:rsidRDefault="007F2292" w:rsidP="007F2292">
      <w:pPr>
        <w:numPr>
          <w:ilvl w:val="0"/>
          <w:numId w:val="5"/>
        </w:numPr>
        <w:spacing w:before="100" w:beforeAutospacing="1" w:after="100" w:afterAutospacing="1" w:line="240" w:lineRule="auto"/>
        <w:rPr>
          <w:rFonts w:ascii="Arial" w:hAnsi="Arial" w:cs="Arial"/>
          <w:kern w:val="0"/>
          <w14:ligatures w14:val="none"/>
        </w:rPr>
      </w:pPr>
      <w:r w:rsidRPr="007F2292">
        <w:rPr>
          <w:rFonts w:ascii="Arial" w:hAnsi="Arial" w:cs="Arial"/>
          <w:kern w:val="0"/>
          <w14:ligatures w14:val="none"/>
        </w:rPr>
        <w:t>Provide Clinician Training in Digital Communication:</w:t>
      </w:r>
    </w:p>
    <w:p w14:paraId="0915AC0A" w14:textId="77777777" w:rsidR="007F2292" w:rsidRPr="007F2292" w:rsidRDefault="007F2292" w:rsidP="007F2292">
      <w:pPr>
        <w:spacing w:before="100" w:beforeAutospacing="1" w:after="100" w:afterAutospacing="1" w:line="240" w:lineRule="auto"/>
        <w:ind w:left="720"/>
        <w:rPr>
          <w:rFonts w:ascii="Arial" w:hAnsi="Arial" w:cs="Arial"/>
          <w:kern w:val="0"/>
          <w14:ligatures w14:val="none"/>
        </w:rPr>
      </w:pPr>
      <w:r w:rsidRPr="007F2292">
        <w:rPr>
          <w:rFonts w:ascii="Arial" w:hAnsi="Arial" w:cs="Arial"/>
          <w:kern w:val="0"/>
          <w14:ligatures w14:val="none"/>
        </w:rPr>
        <w:t>Effective remote consultations require more than technical skills; clinicians must be trained in communication strategies that enhance rapport, empathy, and patient understanding in virtual settings. Training should focus on active listening, visual and verbal cues in video consultations, explaining limitations of remote assessments, and providing clear safety-netting instructions.</w:t>
      </w:r>
    </w:p>
    <w:p w14:paraId="1F75B268" w14:textId="77777777" w:rsidR="007F2292" w:rsidRPr="007F2292" w:rsidRDefault="007F2292" w:rsidP="007F2292">
      <w:pPr>
        <w:numPr>
          <w:ilvl w:val="0"/>
          <w:numId w:val="5"/>
        </w:numPr>
        <w:spacing w:before="100" w:beforeAutospacing="1" w:after="100" w:afterAutospacing="1" w:line="240" w:lineRule="auto"/>
        <w:rPr>
          <w:rFonts w:ascii="Arial" w:hAnsi="Arial" w:cs="Arial"/>
          <w:kern w:val="0"/>
          <w14:ligatures w14:val="none"/>
        </w:rPr>
      </w:pPr>
      <w:r w:rsidRPr="007F2292">
        <w:rPr>
          <w:rFonts w:ascii="Arial" w:hAnsi="Arial" w:cs="Arial"/>
          <w:kern w:val="0"/>
          <w14:ligatures w14:val="none"/>
        </w:rPr>
        <w:t>Address Digital Exclusion and Promote Equity:</w:t>
      </w:r>
    </w:p>
    <w:p w14:paraId="014A1128" w14:textId="77777777" w:rsidR="007F2292" w:rsidRPr="007F2292" w:rsidRDefault="007F2292" w:rsidP="007F2292">
      <w:pPr>
        <w:spacing w:before="100" w:beforeAutospacing="1" w:after="100" w:afterAutospacing="1" w:line="240" w:lineRule="auto"/>
        <w:ind w:left="720"/>
        <w:rPr>
          <w:rFonts w:ascii="Arial" w:hAnsi="Arial" w:cs="Arial"/>
          <w:kern w:val="0"/>
          <w14:ligatures w14:val="none"/>
        </w:rPr>
      </w:pPr>
      <w:r w:rsidRPr="007F2292">
        <w:rPr>
          <w:rFonts w:ascii="Arial" w:hAnsi="Arial" w:cs="Arial"/>
          <w:kern w:val="0"/>
          <w14:ligatures w14:val="none"/>
        </w:rPr>
        <w:t>Digital exclusion remains a significant barrier for older adults, socioeconomically disadvantaged populations, and patients with low digital literacy. Practices should implement strategies such as lending devices, offering technical support, providing simplified guides, and creating community-based digital skills programs. Policymakers should fund initiatives that improve broadband access and digital literacy in underserved areas to reduce healthcare inequalities.</w:t>
      </w:r>
    </w:p>
    <w:p w14:paraId="1180E90D" w14:textId="77777777" w:rsidR="007F2292" w:rsidRPr="007F2292" w:rsidRDefault="007F2292" w:rsidP="007F2292">
      <w:pPr>
        <w:numPr>
          <w:ilvl w:val="0"/>
          <w:numId w:val="5"/>
        </w:numPr>
        <w:spacing w:before="100" w:beforeAutospacing="1" w:after="100" w:afterAutospacing="1" w:line="240" w:lineRule="auto"/>
        <w:rPr>
          <w:rFonts w:ascii="Arial" w:hAnsi="Arial" w:cs="Arial"/>
          <w:kern w:val="0"/>
          <w14:ligatures w14:val="none"/>
        </w:rPr>
      </w:pPr>
      <w:r w:rsidRPr="007F2292">
        <w:rPr>
          <w:rFonts w:ascii="Arial" w:hAnsi="Arial" w:cs="Arial"/>
          <w:kern w:val="0"/>
          <w14:ligatures w14:val="none"/>
        </w:rPr>
        <w:t>Develop Standardized Telehealth Protocols:</w:t>
      </w:r>
    </w:p>
    <w:p w14:paraId="19795013" w14:textId="77777777" w:rsidR="007F2292" w:rsidRPr="007F2292" w:rsidRDefault="007F2292" w:rsidP="007F2292">
      <w:pPr>
        <w:spacing w:before="100" w:beforeAutospacing="1" w:after="100" w:afterAutospacing="1" w:line="240" w:lineRule="auto"/>
        <w:ind w:left="720"/>
        <w:rPr>
          <w:rFonts w:ascii="Arial" w:hAnsi="Arial" w:cs="Arial"/>
          <w:kern w:val="0"/>
          <w14:ligatures w14:val="none"/>
        </w:rPr>
      </w:pPr>
      <w:r w:rsidRPr="007F2292">
        <w:rPr>
          <w:rFonts w:ascii="Arial" w:hAnsi="Arial" w:cs="Arial"/>
          <w:kern w:val="0"/>
          <w14:ligatures w14:val="none"/>
        </w:rPr>
        <w:t>National and practice-level guidelines should define when telehealth is clinically appropriate, outline safety procedures, and ensure high-quality standards. Standardized protocols will help clinicians make consistent decisions about suitability for remote consultations, follow-up requirements, and escalation pathways. Clear protocols enhance patient safety, reduce uncertainty, and improve the overall experience.</w:t>
      </w:r>
    </w:p>
    <w:p w14:paraId="5E01984B" w14:textId="77777777" w:rsidR="007F2292" w:rsidRPr="007F2292" w:rsidRDefault="007F2292" w:rsidP="007F2292">
      <w:pPr>
        <w:numPr>
          <w:ilvl w:val="0"/>
          <w:numId w:val="5"/>
        </w:numPr>
        <w:spacing w:before="100" w:beforeAutospacing="1" w:after="100" w:afterAutospacing="1" w:line="240" w:lineRule="auto"/>
        <w:rPr>
          <w:rFonts w:ascii="Arial" w:hAnsi="Arial" w:cs="Arial"/>
          <w:kern w:val="0"/>
          <w14:ligatures w14:val="none"/>
        </w:rPr>
      </w:pPr>
      <w:r w:rsidRPr="007F2292">
        <w:rPr>
          <w:rFonts w:ascii="Arial" w:hAnsi="Arial" w:cs="Arial"/>
          <w:kern w:val="0"/>
          <w14:ligatures w14:val="none"/>
        </w:rPr>
        <w:t>Enhance Patient Education and Engagement:</w:t>
      </w:r>
    </w:p>
    <w:p w14:paraId="7E3C5DF4" w14:textId="77777777" w:rsidR="007F2292" w:rsidRPr="007F2292" w:rsidRDefault="007F2292" w:rsidP="007F2292">
      <w:pPr>
        <w:spacing w:before="100" w:beforeAutospacing="1" w:after="100" w:afterAutospacing="1" w:line="240" w:lineRule="auto"/>
        <w:ind w:left="720"/>
        <w:rPr>
          <w:rFonts w:ascii="Arial" w:hAnsi="Arial" w:cs="Arial"/>
          <w:kern w:val="0"/>
          <w14:ligatures w14:val="none"/>
        </w:rPr>
      </w:pPr>
      <w:r w:rsidRPr="007F2292">
        <w:rPr>
          <w:rFonts w:ascii="Arial" w:hAnsi="Arial" w:cs="Arial"/>
          <w:kern w:val="0"/>
          <w14:ligatures w14:val="none"/>
        </w:rPr>
        <w:t>Patients should be informed about what to expect from telehealth, including its benefits, limitations, and safety measures. Educational resources, tutorials, and FAQs can empower patients to use technology confidently, understand consultation processes, and engage actively in their care. Increased health literacy can improve patient satisfaction and outcomes.</w:t>
      </w:r>
    </w:p>
    <w:p w14:paraId="6CED6707" w14:textId="77777777" w:rsidR="007F2292" w:rsidRPr="007F2292" w:rsidRDefault="007F2292" w:rsidP="007F2292">
      <w:pPr>
        <w:numPr>
          <w:ilvl w:val="0"/>
          <w:numId w:val="5"/>
        </w:numPr>
        <w:spacing w:before="100" w:beforeAutospacing="1" w:after="100" w:afterAutospacing="1" w:line="240" w:lineRule="auto"/>
        <w:rPr>
          <w:rFonts w:ascii="Arial" w:hAnsi="Arial" w:cs="Arial"/>
          <w:kern w:val="0"/>
          <w14:ligatures w14:val="none"/>
        </w:rPr>
      </w:pPr>
      <w:r w:rsidRPr="007F2292">
        <w:rPr>
          <w:rFonts w:ascii="Arial" w:hAnsi="Arial" w:cs="Arial"/>
          <w:kern w:val="0"/>
          <w14:ligatures w14:val="none"/>
        </w:rPr>
        <w:t>Invest in Digital Infrastructure:</w:t>
      </w:r>
    </w:p>
    <w:p w14:paraId="6A966E74" w14:textId="77777777" w:rsidR="007F2292" w:rsidRPr="007F2292" w:rsidRDefault="007F2292" w:rsidP="007F2292">
      <w:pPr>
        <w:spacing w:before="100" w:beforeAutospacing="1" w:after="100" w:afterAutospacing="1" w:line="240" w:lineRule="auto"/>
        <w:ind w:left="720"/>
        <w:rPr>
          <w:rFonts w:ascii="Arial" w:hAnsi="Arial" w:cs="Arial"/>
          <w:kern w:val="0"/>
          <w14:ligatures w14:val="none"/>
        </w:rPr>
      </w:pPr>
      <w:r w:rsidRPr="007F2292">
        <w:rPr>
          <w:rFonts w:ascii="Arial" w:hAnsi="Arial" w:cs="Arial"/>
          <w:kern w:val="0"/>
          <w14:ligatures w14:val="none"/>
        </w:rPr>
        <w:t>Sufficient technological infrastructure is essential for delivering reliable and secure telehealth services. Investments should focus on high-quality video and audio platforms, cybersecurity measures, integrated electronic health records, and reliable connectivity for both clinicians and patients. Stable, secure infrastructure reduces technical issues that can negatively affect patient experience.</w:t>
      </w:r>
    </w:p>
    <w:p w14:paraId="28183C2C" w14:textId="77777777" w:rsidR="007F2292" w:rsidRPr="007F2292" w:rsidRDefault="007F2292" w:rsidP="007F2292">
      <w:pPr>
        <w:numPr>
          <w:ilvl w:val="0"/>
          <w:numId w:val="5"/>
        </w:numPr>
        <w:spacing w:before="100" w:beforeAutospacing="1" w:after="100" w:afterAutospacing="1" w:line="240" w:lineRule="auto"/>
        <w:rPr>
          <w:rFonts w:ascii="Arial" w:hAnsi="Arial" w:cs="Arial"/>
          <w:kern w:val="0"/>
          <w14:ligatures w14:val="none"/>
        </w:rPr>
      </w:pPr>
      <w:r w:rsidRPr="007F2292">
        <w:rPr>
          <w:rFonts w:ascii="Arial" w:hAnsi="Arial" w:cs="Arial"/>
          <w:kern w:val="0"/>
          <w14:ligatures w14:val="none"/>
        </w:rPr>
        <w:t>Monitor and Evaluate Patient Experiences Continuously:</w:t>
      </w:r>
    </w:p>
    <w:p w14:paraId="44C92A44" w14:textId="77777777" w:rsidR="007F2292" w:rsidRPr="007F2292" w:rsidRDefault="007F2292" w:rsidP="007F2292">
      <w:pPr>
        <w:spacing w:before="100" w:beforeAutospacing="1" w:after="100" w:afterAutospacing="1" w:line="240" w:lineRule="auto"/>
        <w:ind w:left="720"/>
        <w:rPr>
          <w:rFonts w:ascii="Arial" w:hAnsi="Arial" w:cs="Arial"/>
          <w:kern w:val="0"/>
          <w14:ligatures w14:val="none"/>
        </w:rPr>
      </w:pPr>
      <w:r w:rsidRPr="007F2292">
        <w:rPr>
          <w:rFonts w:ascii="Arial" w:hAnsi="Arial" w:cs="Arial"/>
          <w:kern w:val="0"/>
          <w14:ligatures w14:val="none"/>
        </w:rPr>
        <w:t>Practices should implement systematic feedback mechanisms, such as surveys, interviews, or patient experience platforms, to monitor satisfaction and identify areas for improvement. Regular evaluation ensures telehealth services evolve to meet patient needs and maintain high standards of care.</w:t>
      </w:r>
    </w:p>
    <w:p w14:paraId="74675B13" w14:textId="77777777" w:rsidR="007F2292" w:rsidRPr="007F2292" w:rsidRDefault="007F2292" w:rsidP="007F2292">
      <w:pPr>
        <w:numPr>
          <w:ilvl w:val="0"/>
          <w:numId w:val="5"/>
        </w:numPr>
        <w:spacing w:before="100" w:beforeAutospacing="1" w:after="100" w:afterAutospacing="1" w:line="240" w:lineRule="auto"/>
        <w:rPr>
          <w:rFonts w:ascii="Arial" w:hAnsi="Arial" w:cs="Arial"/>
          <w:kern w:val="0"/>
          <w14:ligatures w14:val="none"/>
        </w:rPr>
      </w:pPr>
      <w:r w:rsidRPr="007F2292">
        <w:rPr>
          <w:rFonts w:ascii="Arial" w:hAnsi="Arial" w:cs="Arial"/>
          <w:kern w:val="0"/>
          <w14:ligatures w14:val="none"/>
        </w:rPr>
        <w:t>Support Vulnerable and Underserved Populations:</w:t>
      </w:r>
    </w:p>
    <w:p w14:paraId="3C1DE914" w14:textId="77777777" w:rsidR="007F2292" w:rsidRPr="007F2292" w:rsidRDefault="007F2292" w:rsidP="007F2292">
      <w:pPr>
        <w:spacing w:before="100" w:beforeAutospacing="1" w:after="100" w:afterAutospacing="1" w:line="240" w:lineRule="auto"/>
        <w:ind w:left="720"/>
        <w:rPr>
          <w:rFonts w:ascii="Arial" w:hAnsi="Arial" w:cs="Arial"/>
          <w:kern w:val="0"/>
          <w14:ligatures w14:val="none"/>
        </w:rPr>
      </w:pPr>
      <w:r w:rsidRPr="007F2292">
        <w:rPr>
          <w:rFonts w:ascii="Arial" w:hAnsi="Arial" w:cs="Arial"/>
          <w:kern w:val="0"/>
          <w14:ligatures w14:val="none"/>
        </w:rPr>
        <w:t>Special attention should be given to patients who face barriers to digital access or have complex healthcare needs. Targeted interventions could include assisted telehealth hubs in community centres, dedicated support staff to facilitate remote consultations, and outreach programs to ensure inclusion.</w:t>
      </w:r>
    </w:p>
    <w:p w14:paraId="628383CC" w14:textId="77777777" w:rsidR="007F2292" w:rsidRPr="007F2292" w:rsidRDefault="007F2292" w:rsidP="007F2292">
      <w:pPr>
        <w:numPr>
          <w:ilvl w:val="0"/>
          <w:numId w:val="5"/>
        </w:numPr>
        <w:spacing w:before="100" w:beforeAutospacing="1" w:after="100" w:afterAutospacing="1" w:line="240" w:lineRule="auto"/>
        <w:rPr>
          <w:rFonts w:ascii="Arial" w:hAnsi="Arial" w:cs="Arial"/>
          <w:kern w:val="0"/>
          <w14:ligatures w14:val="none"/>
        </w:rPr>
      </w:pPr>
      <w:r w:rsidRPr="007F2292">
        <w:rPr>
          <w:rFonts w:ascii="Arial" w:hAnsi="Arial" w:cs="Arial"/>
          <w:kern w:val="0"/>
          <w14:ligatures w14:val="none"/>
        </w:rPr>
        <w:t>Encourage Research and Evidence-Based Policy Development:</w:t>
      </w:r>
    </w:p>
    <w:p w14:paraId="6A6419A6" w14:textId="77777777" w:rsidR="007F2292" w:rsidRPr="007F2292" w:rsidRDefault="007F2292" w:rsidP="007F2292">
      <w:pPr>
        <w:spacing w:before="100" w:beforeAutospacing="1" w:after="100" w:afterAutospacing="1" w:line="240" w:lineRule="auto"/>
        <w:ind w:left="720"/>
        <w:rPr>
          <w:rFonts w:ascii="Arial" w:hAnsi="Arial" w:cs="Arial"/>
          <w:kern w:val="0"/>
          <w14:ligatures w14:val="none"/>
        </w:rPr>
      </w:pPr>
      <w:r w:rsidRPr="007F2292">
        <w:rPr>
          <w:rFonts w:ascii="Arial" w:hAnsi="Arial" w:cs="Arial"/>
          <w:kern w:val="0"/>
          <w14:ligatures w14:val="none"/>
        </w:rPr>
        <w:t>Future research should examine long-term patient outcomes, cost-effectiveness, and experiences of underrepresented groups. Policymakers should use evidence from longitudinal studies to shape telehealth strategies, ensuring that services remain patient-centered, equitable, and sustainable.</w:t>
      </w:r>
    </w:p>
    <w:p w14:paraId="680F8F86" w14:textId="3007C256" w:rsidR="00A00069" w:rsidRDefault="003D318C" w:rsidP="008C3C76">
      <w:pPr>
        <w:spacing w:before="100" w:beforeAutospacing="1" w:after="100" w:afterAutospacing="1" w:line="240" w:lineRule="auto"/>
        <w:rPr>
          <w:rFonts w:ascii="Arial" w:hAnsi="Arial" w:cs="Arial"/>
          <w:b/>
          <w:bCs/>
          <w:kern w:val="0"/>
          <w14:ligatures w14:val="none"/>
        </w:rPr>
      </w:pPr>
      <w:r>
        <w:rPr>
          <w:rFonts w:ascii="Arial" w:hAnsi="Arial" w:cs="Arial"/>
          <w:b/>
          <w:bCs/>
          <w:kern w:val="0"/>
          <w14:ligatures w14:val="none"/>
        </w:rPr>
        <w:t xml:space="preserve">References </w:t>
      </w:r>
    </w:p>
    <w:p w14:paraId="705B719B"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Anderson, A., Thomas, E., &amp; Campbell, J. (2021) ‘Satisfaction with remote consultations in primary care during COVID</w:t>
      </w:r>
      <w:r w:rsidRPr="00426013">
        <w:rPr>
          <w:rStyle w:val="s1"/>
          <w:rFonts w:ascii="Arial" w:hAnsi="Arial" w:cs="Arial"/>
        </w:rPr>
        <w:noBreakHyphen/>
        <w:t xml:space="preserve">19: a population survey of UK adults’, </w:t>
      </w:r>
      <w:r w:rsidRPr="00426013">
        <w:rPr>
          <w:rStyle w:val="s2"/>
          <w:rFonts w:ascii="Arial" w:hAnsi="Arial" w:cs="Arial"/>
        </w:rPr>
        <w:t>British Journal of General Practice</w:t>
      </w:r>
      <w:r w:rsidRPr="00426013">
        <w:rPr>
          <w:rStyle w:val="s1"/>
          <w:rFonts w:ascii="Arial" w:hAnsi="Arial" w:cs="Arial"/>
        </w:rPr>
        <w:t>, 71(705), pp. e583–e590. Available at: https://doi.org/10.3399/BJGP.2021.0283 (Accessed: 17 November 2025).</w:t>
      </w:r>
      <w:r w:rsidRPr="00426013">
        <w:rPr>
          <w:rStyle w:val="apple-converted-space"/>
          <w:rFonts w:ascii="Arial" w:hAnsi="Arial" w:cs="Arial"/>
        </w:rPr>
        <w:t xml:space="preserve">  </w:t>
      </w:r>
    </w:p>
    <w:p w14:paraId="7F224684"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Greenhalgh, T., Ladds, E., Hughes, G., Moore, L., Wherton, J., Shaw, S. E., Papoutsi, C., Wieringa, S., Rosen, R., Rushforth, A. &amp; Rybczynska</w:t>
      </w:r>
      <w:r w:rsidRPr="00426013">
        <w:rPr>
          <w:rStyle w:val="s1"/>
          <w:rFonts w:ascii="Arial" w:hAnsi="Arial" w:cs="Arial"/>
        </w:rPr>
        <w:noBreakHyphen/>
        <w:t xml:space="preserve">Bunt, S. (2022) ‘Why do GPs rarely do video consultations? Qualitative study in UK general practice’, </w:t>
      </w:r>
      <w:r w:rsidRPr="00426013">
        <w:rPr>
          <w:rStyle w:val="s2"/>
          <w:rFonts w:ascii="Arial" w:hAnsi="Arial" w:cs="Arial"/>
        </w:rPr>
        <w:t>British Journal of General Practice</w:t>
      </w:r>
      <w:r w:rsidRPr="00426013">
        <w:rPr>
          <w:rStyle w:val="s1"/>
          <w:rFonts w:ascii="Arial" w:hAnsi="Arial" w:cs="Arial"/>
        </w:rPr>
        <w:t>, 72(718), pp. e351–e360. Available at: https://pubmed.ncbi.nlm.nih.gov/35256385/ (Accessed: 17 November 2025).</w:t>
      </w:r>
      <w:r w:rsidRPr="00426013">
        <w:rPr>
          <w:rStyle w:val="apple-converted-space"/>
          <w:rFonts w:ascii="Arial" w:hAnsi="Arial" w:cs="Arial"/>
        </w:rPr>
        <w:t xml:space="preserve">  </w:t>
      </w:r>
    </w:p>
    <w:p w14:paraId="60F827EB"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Murphy, M., Scott, L. J., Salisbury, C., Turner, A., Scott, A., Denholm, R., Lewis, R., Iyer, G., MacLeod, J. &amp; Horwood, J. (2021) ‘Implementation of remote consulting in UK primary care following the COVID</w:t>
      </w:r>
      <w:r w:rsidRPr="00426013">
        <w:rPr>
          <w:rStyle w:val="s1"/>
          <w:rFonts w:ascii="Arial" w:hAnsi="Arial" w:cs="Arial"/>
        </w:rPr>
        <w:noBreakHyphen/>
        <w:t>19 pandemic: a mixed</w:t>
      </w:r>
      <w:r w:rsidRPr="00426013">
        <w:rPr>
          <w:rStyle w:val="s1"/>
          <w:rFonts w:ascii="Arial" w:hAnsi="Arial" w:cs="Arial"/>
        </w:rPr>
        <w:noBreakHyphen/>
        <w:t xml:space="preserve">methods longitudinal study’, </w:t>
      </w:r>
      <w:r w:rsidRPr="00426013">
        <w:rPr>
          <w:rStyle w:val="s2"/>
          <w:rFonts w:ascii="Arial" w:hAnsi="Arial" w:cs="Arial"/>
        </w:rPr>
        <w:t>The Lancet Digital Health</w:t>
      </w:r>
      <w:r w:rsidRPr="00426013">
        <w:rPr>
          <w:rStyle w:val="s1"/>
          <w:rFonts w:ascii="Arial" w:hAnsi="Arial" w:cs="Arial"/>
        </w:rPr>
        <w:t>, 3(7), pp. e435–e443. Available at: https://pubmed.ncbi.nlm.nih.gov/33558332/ (Accessed: 17 November 2025).</w:t>
      </w:r>
      <w:r w:rsidRPr="00426013">
        <w:rPr>
          <w:rStyle w:val="apple-converted-space"/>
          <w:rFonts w:ascii="Arial" w:hAnsi="Arial" w:cs="Arial"/>
        </w:rPr>
        <w:t xml:space="preserve">  </w:t>
      </w:r>
    </w:p>
    <w:p w14:paraId="2B2046DA"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Burton, C., Pinnock, H. &amp; Wong, R. (2021) ‘Remote care in UK general practice: baseline qualitative case studies’, </w:t>
      </w:r>
      <w:r w:rsidRPr="00426013">
        <w:rPr>
          <w:rStyle w:val="s2"/>
          <w:rFonts w:ascii="Arial" w:hAnsi="Arial" w:cs="Arial"/>
        </w:rPr>
        <w:t>NIHR Open Research</w:t>
      </w:r>
      <w:r w:rsidRPr="00426013">
        <w:rPr>
          <w:rStyle w:val="s1"/>
          <w:rFonts w:ascii="Arial" w:hAnsi="Arial" w:cs="Arial"/>
        </w:rPr>
        <w:t>, 2, 47. Available at: https://openresearch.nihr.ac.uk/articles/2</w:t>
      </w:r>
      <w:r w:rsidRPr="00426013">
        <w:rPr>
          <w:rStyle w:val="s1"/>
          <w:rFonts w:ascii="Arial" w:hAnsi="Arial" w:cs="Arial"/>
        </w:rPr>
        <w:noBreakHyphen/>
        <w:t>47 (Accessed: 17 November 2025).</w:t>
      </w:r>
      <w:r w:rsidRPr="00426013">
        <w:rPr>
          <w:rStyle w:val="apple-converted-space"/>
          <w:rFonts w:ascii="Arial" w:hAnsi="Arial" w:cs="Arial"/>
        </w:rPr>
        <w:t xml:space="preserve">  </w:t>
      </w:r>
    </w:p>
    <w:p w14:paraId="104AE2EE"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Anderson, C., Thomas, E., &amp; Campbell, J. (2021) ‘Patient satisfaction with GP services in a primary care setting: remote consultation study’, </w:t>
      </w:r>
      <w:r w:rsidRPr="00426013">
        <w:rPr>
          <w:rStyle w:val="s2"/>
          <w:rFonts w:ascii="Arial" w:hAnsi="Arial" w:cs="Arial"/>
        </w:rPr>
        <w:t>Journal of Telemedicine and Telecare</w:t>
      </w:r>
      <w:r w:rsidRPr="00426013">
        <w:rPr>
          <w:rStyle w:val="s1"/>
          <w:rFonts w:ascii="Arial" w:hAnsi="Arial" w:cs="Arial"/>
        </w:rPr>
        <w:t>, 27(4), pp. 277–284. Available at: https://pubmed.ncbi.nlm.nih.gov/34660024/ (Accessed: 17 November 2025).</w:t>
      </w:r>
      <w:r w:rsidRPr="00426013">
        <w:rPr>
          <w:rStyle w:val="apple-converted-space"/>
          <w:rFonts w:ascii="Arial" w:hAnsi="Arial" w:cs="Arial"/>
        </w:rPr>
        <w:t xml:space="preserve">  </w:t>
      </w:r>
    </w:p>
    <w:p w14:paraId="23F06DC0"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Bakhai, M., Zhao, S., Shah, K., et al. (2020) ‘Comparing the content and quality of video, telephone, and face</w:t>
      </w:r>
      <w:r w:rsidRPr="00426013">
        <w:rPr>
          <w:rStyle w:val="s1"/>
          <w:rFonts w:ascii="Arial" w:hAnsi="Arial" w:cs="Arial"/>
        </w:rPr>
        <w:noBreakHyphen/>
        <w:t>to</w:t>
      </w:r>
      <w:r w:rsidRPr="00426013">
        <w:rPr>
          <w:rStyle w:val="s1"/>
          <w:rFonts w:ascii="Arial" w:hAnsi="Arial" w:cs="Arial"/>
        </w:rPr>
        <w:noBreakHyphen/>
        <w:t xml:space="preserve">face consultations: an exploratory study in UK general practice’, </w:t>
      </w:r>
      <w:r w:rsidRPr="00426013">
        <w:rPr>
          <w:rStyle w:val="s2"/>
          <w:rFonts w:ascii="Arial" w:hAnsi="Arial" w:cs="Arial"/>
        </w:rPr>
        <w:t>British Journal of General Practice</w:t>
      </w:r>
      <w:r w:rsidRPr="00426013">
        <w:rPr>
          <w:rStyle w:val="s1"/>
          <w:rFonts w:ascii="Arial" w:hAnsi="Arial" w:cs="Arial"/>
        </w:rPr>
        <w:t>, 69(685), e595–e602. Available at: https://pubmed.ncbi.nlm.nih.gov/31262846/ (Accessed: 17 November 2025).</w:t>
      </w:r>
      <w:r w:rsidRPr="00426013">
        <w:rPr>
          <w:rStyle w:val="apple-converted-space"/>
          <w:rFonts w:ascii="Arial" w:hAnsi="Arial" w:cs="Arial"/>
        </w:rPr>
        <w:t xml:space="preserve">  </w:t>
      </w:r>
    </w:p>
    <w:p w14:paraId="59AF1572"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Allen, J. (2022) ‘Exploring adult patients’ perceptions and experiences of telemedicine consultations in primary care: a qualitative systematic review’, </w:t>
      </w:r>
      <w:r w:rsidRPr="00426013">
        <w:rPr>
          <w:rStyle w:val="s2"/>
          <w:rFonts w:ascii="Arial" w:hAnsi="Arial" w:cs="Arial"/>
        </w:rPr>
        <w:t>International Journal of Medical Students</w:t>
      </w:r>
      <w:r w:rsidRPr="00426013">
        <w:rPr>
          <w:rStyle w:val="s1"/>
          <w:rFonts w:ascii="Arial" w:hAnsi="Arial" w:cs="Arial"/>
        </w:rPr>
        <w:t>, 10(2), pp. 136–148. Available at: https://doi.org/10.5195/ijms.2022.1363 (Accessed: 17 November 2025).</w:t>
      </w:r>
      <w:r w:rsidRPr="00426013">
        <w:rPr>
          <w:rStyle w:val="apple-converted-space"/>
          <w:rFonts w:ascii="Arial" w:hAnsi="Arial" w:cs="Arial"/>
        </w:rPr>
        <w:t xml:space="preserve">  </w:t>
      </w:r>
    </w:p>
    <w:p w14:paraId="2CD6A72F"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Walker, C. (2021) ‘Inequalities in general practice remote consultations: a systematic review’, </w:t>
      </w:r>
      <w:r w:rsidRPr="00426013">
        <w:rPr>
          <w:rStyle w:val="s2"/>
          <w:rFonts w:ascii="Arial" w:hAnsi="Arial" w:cs="Arial"/>
        </w:rPr>
        <w:t>BMJ Open</w:t>
      </w:r>
      <w:r w:rsidRPr="00426013">
        <w:rPr>
          <w:rStyle w:val="s1"/>
          <w:rFonts w:ascii="Arial" w:hAnsi="Arial" w:cs="Arial"/>
        </w:rPr>
        <w:t>, 11, e045915. Available at: https://pubmed.ncbi.nlm.nih.gov/33712502/ (Accessed: 17 November 2025).</w:t>
      </w:r>
      <w:r w:rsidRPr="00426013">
        <w:rPr>
          <w:rStyle w:val="apple-converted-space"/>
          <w:rFonts w:ascii="Arial" w:hAnsi="Arial" w:cs="Arial"/>
        </w:rPr>
        <w:t xml:space="preserve">  </w:t>
      </w:r>
    </w:p>
    <w:p w14:paraId="41D877B6"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NHS England (2023) ‘Remote consulting’, </w:t>
      </w:r>
      <w:r w:rsidRPr="00426013">
        <w:rPr>
          <w:rStyle w:val="s2"/>
          <w:rFonts w:ascii="Arial" w:hAnsi="Arial" w:cs="Arial"/>
        </w:rPr>
        <w:t>NHS England</w:t>
      </w:r>
      <w:r w:rsidRPr="00426013">
        <w:rPr>
          <w:rStyle w:val="s1"/>
          <w:rFonts w:ascii="Arial" w:hAnsi="Arial" w:cs="Arial"/>
        </w:rPr>
        <w:t>. Available at: https://www.england.nhs.uk/long-read/remote-consulting/ (Accessed: 17 November 2025).</w:t>
      </w:r>
      <w:r w:rsidRPr="00426013">
        <w:rPr>
          <w:rStyle w:val="apple-converted-space"/>
          <w:rFonts w:ascii="Arial" w:hAnsi="Arial" w:cs="Arial"/>
        </w:rPr>
        <w:t xml:space="preserve">  </w:t>
      </w:r>
    </w:p>
    <w:p w14:paraId="28755F74"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Greenhalgh, T. &amp; Wherton, J. (2022) ‘Telepsychiatry: learning from the pandemic’, </w:t>
      </w:r>
      <w:r w:rsidRPr="00426013">
        <w:rPr>
          <w:rStyle w:val="s2"/>
          <w:rFonts w:ascii="Arial" w:hAnsi="Arial" w:cs="Arial"/>
        </w:rPr>
        <w:t>British Journal of Psychiatry</w:t>
      </w:r>
      <w:r w:rsidRPr="00426013">
        <w:rPr>
          <w:rStyle w:val="s1"/>
          <w:rFonts w:ascii="Arial" w:hAnsi="Arial" w:cs="Arial"/>
        </w:rPr>
        <w:t>, 220(5), pp. 257–261. Available at: https://doi.org/10.1192/bjp.2021.224 (Accessed: 17 November 2025).</w:t>
      </w:r>
      <w:r w:rsidRPr="00426013">
        <w:rPr>
          <w:rStyle w:val="apple-converted-space"/>
          <w:rFonts w:ascii="Arial" w:hAnsi="Arial" w:cs="Arial"/>
        </w:rPr>
        <w:t xml:space="preserve">  </w:t>
      </w:r>
    </w:p>
    <w:p w14:paraId="39DBB2EB"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Powell, R. E., Henstenburg, J. M., Cooper, G., Hollander, J. E. &amp; Rising, K. L. (2017) ‘Patient perceptions of telehealth primary care video visits’, </w:t>
      </w:r>
      <w:r w:rsidRPr="00426013">
        <w:rPr>
          <w:rStyle w:val="s2"/>
          <w:rFonts w:ascii="Arial" w:hAnsi="Arial" w:cs="Arial"/>
        </w:rPr>
        <w:t>Annals of Family Medicine</w:t>
      </w:r>
      <w:r w:rsidRPr="00426013">
        <w:rPr>
          <w:rStyle w:val="s1"/>
          <w:rFonts w:ascii="Arial" w:hAnsi="Arial" w:cs="Arial"/>
        </w:rPr>
        <w:t>, 15(3), pp. 225–229. Available at: https://doi.org/10.1370/afm.2095 (Accessed: 17 November 2025).</w:t>
      </w:r>
      <w:r w:rsidRPr="00426013">
        <w:rPr>
          <w:rStyle w:val="apple-converted-space"/>
          <w:rFonts w:ascii="Arial" w:hAnsi="Arial" w:cs="Arial"/>
        </w:rPr>
        <w:t xml:space="preserve">  </w:t>
      </w:r>
    </w:p>
    <w:p w14:paraId="3C6BA9AD"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NHS England (2023) </w:t>
      </w:r>
      <w:r w:rsidRPr="00426013">
        <w:rPr>
          <w:rStyle w:val="s2"/>
          <w:rFonts w:ascii="Arial" w:hAnsi="Arial" w:cs="Arial"/>
        </w:rPr>
        <w:t>Evidence Brief: Telemedicine</w:t>
      </w:r>
      <w:r w:rsidRPr="00426013">
        <w:rPr>
          <w:rStyle w:val="s1"/>
          <w:rFonts w:ascii="Arial" w:hAnsi="Arial" w:cs="Arial"/>
        </w:rPr>
        <w:t>. Available at: https://www.ewin.nhs.uk/sites/default/files/Telemedicine_Evidence%20Brief.pdf (Accessed: 17 November 2025).</w:t>
      </w:r>
      <w:r w:rsidRPr="00426013">
        <w:rPr>
          <w:rStyle w:val="apple-converted-space"/>
          <w:rFonts w:ascii="Arial" w:hAnsi="Arial" w:cs="Arial"/>
        </w:rPr>
        <w:t xml:space="preserve">  </w:t>
      </w:r>
    </w:p>
    <w:p w14:paraId="0959368E"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Health Innovation North East and North Cumbria (2024) ‘Executive Summary: Digital</w:t>
      </w:r>
      <w:r w:rsidRPr="00426013">
        <w:rPr>
          <w:rStyle w:val="s1"/>
          <w:rFonts w:ascii="Arial" w:hAnsi="Arial" w:cs="Arial"/>
        </w:rPr>
        <w:noBreakHyphen/>
        <w:t>First Primary Care’. Available at: https://healthinnovationnenc.org.uk/wp-content/uploads/2024/07/Executive-Summary.pdf (Accessed: 17 November 2025).</w:t>
      </w:r>
      <w:r w:rsidRPr="00426013">
        <w:rPr>
          <w:rStyle w:val="apple-converted-space"/>
          <w:rFonts w:ascii="Arial" w:hAnsi="Arial" w:cs="Arial"/>
        </w:rPr>
        <w:t xml:space="preserve">  </w:t>
      </w:r>
    </w:p>
    <w:p w14:paraId="3E8E9DDC"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Powell, A., Greenhalgh, T., &amp; Barker, R. (2021) ‘PEARL: remote consultations in primary care—clinical, safety, and satisfaction evidence’, </w:t>
      </w:r>
      <w:r w:rsidRPr="00426013">
        <w:rPr>
          <w:rStyle w:val="s2"/>
          <w:rFonts w:ascii="Arial" w:hAnsi="Arial" w:cs="Arial"/>
        </w:rPr>
        <w:t>Plymouth University Research Repository</w:t>
      </w:r>
      <w:r w:rsidRPr="00426013">
        <w:rPr>
          <w:rStyle w:val="s1"/>
          <w:rFonts w:ascii="Arial" w:hAnsi="Arial" w:cs="Arial"/>
        </w:rPr>
        <w:t>. Available at: https://pure.plymouth.ac.uk/ws/portalfiles/portal/39851609/fdgth-03-726095.pdf (Accessed: 17 November 2025).</w:t>
      </w:r>
      <w:r w:rsidRPr="00426013">
        <w:rPr>
          <w:rStyle w:val="apple-converted-space"/>
          <w:rFonts w:ascii="Arial" w:hAnsi="Arial" w:cs="Arial"/>
        </w:rPr>
        <w:t xml:space="preserve">  </w:t>
      </w:r>
    </w:p>
    <w:p w14:paraId="004AC436"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Greenhalgh, T., Wherton, J., Shaw, S., Hanson, P., Morrison, C., &amp; Cameron, D. (2022) ‘The role of information infrastructures in scaling up video consultations during COVID</w:t>
      </w:r>
      <w:r w:rsidRPr="00426013">
        <w:rPr>
          <w:rStyle w:val="s1"/>
          <w:rFonts w:ascii="Arial" w:hAnsi="Arial" w:cs="Arial"/>
        </w:rPr>
        <w:noBreakHyphen/>
        <w:t xml:space="preserve">19: mixed methods case study in UK general practice’, </w:t>
      </w:r>
      <w:r w:rsidRPr="00426013">
        <w:rPr>
          <w:rStyle w:val="s2"/>
          <w:rFonts w:ascii="Arial" w:hAnsi="Arial" w:cs="Arial"/>
        </w:rPr>
        <w:t>Journal of Medical Internet Research</w:t>
      </w:r>
      <w:r w:rsidRPr="00426013">
        <w:rPr>
          <w:rStyle w:val="s1"/>
          <w:rFonts w:ascii="Arial" w:hAnsi="Arial" w:cs="Arial"/>
        </w:rPr>
        <w:t>, 24(11), e42431. Available at: https://doi.org/10.2196/42431 (Accessed: 17 November 2025).</w:t>
      </w:r>
      <w:r w:rsidRPr="00426013">
        <w:rPr>
          <w:rStyle w:val="apple-converted-space"/>
          <w:rFonts w:ascii="Arial" w:hAnsi="Arial" w:cs="Arial"/>
        </w:rPr>
        <w:t xml:space="preserve">  </w:t>
      </w:r>
    </w:p>
    <w:p w14:paraId="4F560370"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Hughes, G., Moore, L., Maniatopoulos, G., Wherton, J., Wood, G. W., Greenhalgh, T. &amp; Shaw, S. E. (2022) ‘Theorising the shift to video consulting in the UK during the COVID</w:t>
      </w:r>
      <w:r w:rsidRPr="00426013">
        <w:rPr>
          <w:rStyle w:val="s1"/>
          <w:rFonts w:ascii="Arial" w:hAnsi="Arial" w:cs="Arial"/>
        </w:rPr>
        <w:noBreakHyphen/>
        <w:t>19 pandemic: analysis of a mixed</w:t>
      </w:r>
      <w:r w:rsidRPr="00426013">
        <w:rPr>
          <w:rStyle w:val="s1"/>
          <w:rFonts w:ascii="Arial" w:hAnsi="Arial" w:cs="Arial"/>
        </w:rPr>
        <w:noBreakHyphen/>
        <w:t xml:space="preserve">methods study using practice theory’, </w:t>
      </w:r>
      <w:r w:rsidRPr="00426013">
        <w:rPr>
          <w:rStyle w:val="s2"/>
          <w:rFonts w:ascii="Arial" w:hAnsi="Arial" w:cs="Arial"/>
        </w:rPr>
        <w:t>Social Science &amp; Medicine</w:t>
      </w:r>
      <w:r w:rsidRPr="00426013">
        <w:rPr>
          <w:rStyle w:val="s1"/>
          <w:rFonts w:ascii="Arial" w:hAnsi="Arial" w:cs="Arial"/>
        </w:rPr>
        <w:t>, 311, 115368. Available at: https://doi.org/10.1016/j.socscimed.2022.115368 (Accessed: 17 November 2025).</w:t>
      </w:r>
      <w:r w:rsidRPr="00426013">
        <w:rPr>
          <w:rStyle w:val="apple-converted-space"/>
          <w:rFonts w:ascii="Arial" w:hAnsi="Arial" w:cs="Arial"/>
        </w:rPr>
        <w:t xml:space="preserve">  </w:t>
      </w:r>
    </w:p>
    <w:p w14:paraId="31CEC5E4"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Tricco, A. C., Lillie, E., Zarin, W., O’Brien, K. K., Colquhoun, H., Levac, D., Moher, D., Peters, M. D. J., Horsley, T., Weeks, L., Hempel, S., McGowan, J., Stewart, L., Hartling, L., Aldcroft, A., Wilson, M., Garritty, C., Lewin, S., Godfrey, C. M., Macdonald, M. T., Langlois, E., Soares-Weiser, K., Moriarty, J., Clifford, T., Tunçalp, Ö., &amp; Straus, S. E. (2018) ‘PRISMA extension for scoping reviews (PRISMA-ScR): checklist and explanation’, </w:t>
      </w:r>
      <w:r w:rsidRPr="00426013">
        <w:rPr>
          <w:rStyle w:val="s2"/>
          <w:rFonts w:ascii="Arial" w:hAnsi="Arial" w:cs="Arial"/>
        </w:rPr>
        <w:t>Annals of Internal Medicine</w:t>
      </w:r>
      <w:r w:rsidRPr="00426013">
        <w:rPr>
          <w:rStyle w:val="s1"/>
          <w:rFonts w:ascii="Arial" w:hAnsi="Arial" w:cs="Arial"/>
        </w:rPr>
        <w:t>, 169(7), pp. 467–473. Available at: https://doi.org/10.7326/M18-0850 (Accessed: 17 November 2025).</w:t>
      </w:r>
    </w:p>
    <w:p w14:paraId="648A9AC3"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Vincent, C. (2010) </w:t>
      </w:r>
      <w:r w:rsidRPr="00426013">
        <w:rPr>
          <w:rStyle w:val="s2"/>
          <w:rFonts w:ascii="Arial" w:hAnsi="Arial" w:cs="Arial"/>
        </w:rPr>
        <w:t>Patient Safety</w:t>
      </w:r>
      <w:r w:rsidRPr="00426013">
        <w:rPr>
          <w:rStyle w:val="s1"/>
          <w:rFonts w:ascii="Arial" w:hAnsi="Arial" w:cs="Arial"/>
        </w:rPr>
        <w:t>, 2nd edn. Chichester: Wiley</w:t>
      </w:r>
      <w:r w:rsidRPr="00426013">
        <w:rPr>
          <w:rStyle w:val="s1"/>
          <w:rFonts w:ascii="Arial" w:hAnsi="Arial" w:cs="Arial"/>
        </w:rPr>
        <w:noBreakHyphen/>
        <w:t>Blackwell.</w:t>
      </w:r>
    </w:p>
    <w:p w14:paraId="34600A00"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Starfield, B. (2011) </w:t>
      </w:r>
      <w:r w:rsidRPr="00426013">
        <w:rPr>
          <w:rStyle w:val="s2"/>
          <w:rFonts w:ascii="Arial" w:hAnsi="Arial" w:cs="Arial"/>
        </w:rPr>
        <w:t>Primary Care: Balancing Health Needs, Services, and Technology</w:t>
      </w:r>
      <w:r w:rsidRPr="00426013">
        <w:rPr>
          <w:rStyle w:val="s1"/>
          <w:rFonts w:ascii="Arial" w:hAnsi="Arial" w:cs="Arial"/>
        </w:rPr>
        <w:t>, 2nd edn. Oxford: Oxford University Press.</w:t>
      </w:r>
    </w:p>
    <w:p w14:paraId="636C6FB3"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World Health Organization (2021) </w:t>
      </w:r>
      <w:r w:rsidRPr="00426013">
        <w:rPr>
          <w:rStyle w:val="s2"/>
          <w:rFonts w:ascii="Arial" w:hAnsi="Arial" w:cs="Arial"/>
        </w:rPr>
        <w:t>Global Strategy on Digital Health 2020–2025</w:t>
      </w:r>
      <w:r w:rsidRPr="00426013">
        <w:rPr>
          <w:rStyle w:val="s1"/>
          <w:rFonts w:ascii="Arial" w:hAnsi="Arial" w:cs="Arial"/>
        </w:rPr>
        <w:t>. Available at: https://www.who.int/publications/i/item/9789240020924 (Accessed: 17 November 2025).</w:t>
      </w:r>
    </w:p>
    <w:p w14:paraId="52060DBA"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Topol, E. (2019) </w:t>
      </w:r>
      <w:r w:rsidRPr="00426013">
        <w:rPr>
          <w:rStyle w:val="s2"/>
          <w:rFonts w:ascii="Arial" w:hAnsi="Arial" w:cs="Arial"/>
        </w:rPr>
        <w:t>The Topol Review: Preparing the Healthcare Workforce to Deliver the Digital Future</w:t>
      </w:r>
      <w:r w:rsidRPr="00426013">
        <w:rPr>
          <w:rStyle w:val="s1"/>
          <w:rFonts w:ascii="Arial" w:hAnsi="Arial" w:cs="Arial"/>
        </w:rPr>
        <w:t>. London: NHS Health Education England.</w:t>
      </w:r>
    </w:p>
    <w:p w14:paraId="4D498165"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Kidholm, K., Ekeland, A. G., Jensen, L. K., Rasmussen, J., Pedersen, C. D., Bowes, A., Flottorp, S., Lund, S., &amp; Rossel, P. (2021) ‘Remote monitoring outcomes: a systematic review in primary care’, </w:t>
      </w:r>
      <w:r w:rsidRPr="00426013">
        <w:rPr>
          <w:rStyle w:val="s2"/>
          <w:rFonts w:ascii="Arial" w:hAnsi="Arial" w:cs="Arial"/>
        </w:rPr>
        <w:t>Telemedicine Journal and e</w:t>
      </w:r>
      <w:r w:rsidRPr="00426013">
        <w:rPr>
          <w:rStyle w:val="s2"/>
          <w:rFonts w:ascii="Arial" w:hAnsi="Arial" w:cs="Arial"/>
        </w:rPr>
        <w:noBreakHyphen/>
        <w:t>Health</w:t>
      </w:r>
      <w:r w:rsidRPr="00426013">
        <w:rPr>
          <w:rStyle w:val="s1"/>
          <w:rFonts w:ascii="Arial" w:hAnsi="Arial" w:cs="Arial"/>
        </w:rPr>
        <w:t>, 27(4), pp. 356–364.</w:t>
      </w:r>
    </w:p>
    <w:p w14:paraId="17F5DDF4"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Carr, C., Dunsmuir, D., &amp; McDonald, A. (2020) ‘Telehealth: a quarter</w:t>
      </w:r>
      <w:r w:rsidRPr="00426013">
        <w:rPr>
          <w:rStyle w:val="s1"/>
          <w:rFonts w:ascii="Arial" w:hAnsi="Arial" w:cs="Arial"/>
        </w:rPr>
        <w:noBreakHyphen/>
        <w:t xml:space="preserve">century of primary care innovation in UK general practice’, </w:t>
      </w:r>
      <w:r w:rsidRPr="00426013">
        <w:rPr>
          <w:rStyle w:val="s2"/>
          <w:rFonts w:ascii="Arial" w:hAnsi="Arial" w:cs="Arial"/>
        </w:rPr>
        <w:t>British Journal of General Practice</w:t>
      </w:r>
      <w:r w:rsidRPr="00426013">
        <w:rPr>
          <w:rStyle w:val="s1"/>
          <w:rFonts w:ascii="Arial" w:hAnsi="Arial" w:cs="Arial"/>
        </w:rPr>
        <w:t>, 70(694), pp. 255–256.</w:t>
      </w:r>
    </w:p>
    <w:p w14:paraId="4E50A073"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Car, J., Koh, G. C. H., Foong, P. S., &amp; Wang, C. J. (2020) ‘Video consultations in primary and specialist care during the COVID-19 pandemic and beyond’, </w:t>
      </w:r>
      <w:r w:rsidRPr="00426013">
        <w:rPr>
          <w:rStyle w:val="s2"/>
          <w:rFonts w:ascii="Arial" w:hAnsi="Arial" w:cs="Arial"/>
        </w:rPr>
        <w:t>BMJ</w:t>
      </w:r>
      <w:r w:rsidRPr="00426013">
        <w:rPr>
          <w:rStyle w:val="s1"/>
          <w:rFonts w:ascii="Arial" w:hAnsi="Arial" w:cs="Arial"/>
        </w:rPr>
        <w:t>, 368, m998. Available at: https://www.bmj.com/content/368/bmj.m998 (Accessed: 17 November 2025).</w:t>
      </w:r>
    </w:p>
    <w:p w14:paraId="06282835"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Hollander, J. E. &amp; Carr, B. G. (2020) ‘Virtually perfect? Telemedicine for Covid</w:t>
      </w:r>
      <w:r w:rsidRPr="00426013">
        <w:rPr>
          <w:rStyle w:val="s1"/>
          <w:rFonts w:ascii="Arial" w:hAnsi="Arial" w:cs="Arial"/>
        </w:rPr>
        <w:noBreakHyphen/>
        <w:t xml:space="preserve">19’, </w:t>
      </w:r>
      <w:r w:rsidRPr="00426013">
        <w:rPr>
          <w:rStyle w:val="s2"/>
          <w:rFonts w:ascii="Arial" w:hAnsi="Arial" w:cs="Arial"/>
        </w:rPr>
        <w:t>New England Journal of Medicine</w:t>
      </w:r>
      <w:r w:rsidRPr="00426013">
        <w:rPr>
          <w:rStyle w:val="s1"/>
          <w:rFonts w:ascii="Arial" w:hAnsi="Arial" w:cs="Arial"/>
        </w:rPr>
        <w:t>, 382, pp. 1679–1681.</w:t>
      </w:r>
    </w:p>
    <w:p w14:paraId="4D9B3738"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Leite, H., Hodgkinson, I. R., &amp; Gruber, T. (2020) ‘Navigating the new normal: adopting telehealth in older populations’, </w:t>
      </w:r>
      <w:r w:rsidRPr="00426013">
        <w:rPr>
          <w:rStyle w:val="s2"/>
          <w:rFonts w:ascii="Arial" w:hAnsi="Arial" w:cs="Arial"/>
        </w:rPr>
        <w:t>Computers in Human Behavior</w:t>
      </w:r>
      <w:r w:rsidRPr="00426013">
        <w:rPr>
          <w:rStyle w:val="s1"/>
          <w:rFonts w:ascii="Arial" w:hAnsi="Arial" w:cs="Arial"/>
        </w:rPr>
        <w:t>, 111, 106414.</w:t>
      </w:r>
    </w:p>
    <w:p w14:paraId="56A24180"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Hobbs, F. D. R., Bankhead, C., Mukhtar, T., Stevens, S., Perera-Salazar, R., Holt, T., &amp; Salisbury, C. (2020) ‘Clinical workload in UK primary care: a retrospective analysis of 100 million consultations in England, 2007–14’, </w:t>
      </w:r>
      <w:r w:rsidRPr="00426013">
        <w:rPr>
          <w:rStyle w:val="s2"/>
          <w:rFonts w:ascii="Arial" w:hAnsi="Arial" w:cs="Arial"/>
        </w:rPr>
        <w:t>The Lancet</w:t>
      </w:r>
      <w:r w:rsidRPr="00426013">
        <w:rPr>
          <w:rStyle w:val="s1"/>
          <w:rFonts w:ascii="Arial" w:hAnsi="Arial" w:cs="Arial"/>
        </w:rPr>
        <w:t>, 387(10035), pp. 2323–2330.</w:t>
      </w:r>
    </w:p>
    <w:p w14:paraId="29B7A364"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Bikker, A. &amp; Atherton, H. (2016) ‘Implementing alternatives to face-to-face consultation in general practice: what matters?’, </w:t>
      </w:r>
      <w:r w:rsidRPr="00426013">
        <w:rPr>
          <w:rStyle w:val="s2"/>
          <w:rFonts w:ascii="Arial" w:hAnsi="Arial" w:cs="Arial"/>
        </w:rPr>
        <w:t>British Journal of General Practice</w:t>
      </w:r>
      <w:r w:rsidRPr="00426013">
        <w:rPr>
          <w:rStyle w:val="s1"/>
          <w:rFonts w:ascii="Arial" w:hAnsi="Arial" w:cs="Arial"/>
        </w:rPr>
        <w:t>, 66(648), e460–e461.</w:t>
      </w:r>
    </w:p>
    <w:p w14:paraId="05040FA5"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Rosen, R., Wieringa, S., Greenhalgh, T., McDonald, R., &amp; Wherton, J. (2021) ‘Real</w:t>
      </w:r>
      <w:r w:rsidRPr="00426013">
        <w:rPr>
          <w:rStyle w:val="s1"/>
          <w:rFonts w:ascii="Arial" w:hAnsi="Arial" w:cs="Arial"/>
        </w:rPr>
        <w:noBreakHyphen/>
        <w:t xml:space="preserve">world implementation of video outpatient consultations at macro, meso, and micro scale: mixed-method study’, </w:t>
      </w:r>
      <w:r w:rsidRPr="00426013">
        <w:rPr>
          <w:rStyle w:val="s2"/>
          <w:rFonts w:ascii="Arial" w:hAnsi="Arial" w:cs="Arial"/>
        </w:rPr>
        <w:t>Journal of Medical Internet Research</w:t>
      </w:r>
      <w:r w:rsidRPr="00426013">
        <w:rPr>
          <w:rStyle w:val="s1"/>
          <w:rFonts w:ascii="Arial" w:hAnsi="Arial" w:cs="Arial"/>
        </w:rPr>
        <w:t>, 23(5), e23798.</w:t>
      </w:r>
    </w:p>
    <w:p w14:paraId="07D8D807"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Albury, C., Wherton, J., Shaw, S., &amp; Greenhalgh, T. (2022) ‘Video consultation communication in primary care: content and design of interventions to support relational care’, </w:t>
      </w:r>
      <w:r w:rsidRPr="00426013">
        <w:rPr>
          <w:rStyle w:val="s2"/>
          <w:rFonts w:ascii="Arial" w:hAnsi="Arial" w:cs="Arial"/>
        </w:rPr>
        <w:t>Social Science &amp; Medicine</w:t>
      </w:r>
      <w:r w:rsidRPr="00426013">
        <w:rPr>
          <w:rStyle w:val="s1"/>
          <w:rFonts w:ascii="Arial" w:hAnsi="Arial" w:cs="Arial"/>
        </w:rPr>
        <w:t>, 306, 115115.</w:t>
      </w:r>
    </w:p>
    <w:p w14:paraId="24E44908"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Newman, E., Veerapen, S., &amp; Gray, O. (2022) ‘The impact of telehealth on patient satisfaction and access: systematic review of UK primary care studies’, </w:t>
      </w:r>
      <w:r w:rsidRPr="00426013">
        <w:rPr>
          <w:rStyle w:val="s2"/>
          <w:rFonts w:ascii="Arial" w:hAnsi="Arial" w:cs="Arial"/>
        </w:rPr>
        <w:t>British Journal of Primary Care Nursing</w:t>
      </w:r>
      <w:r w:rsidRPr="00426013">
        <w:rPr>
          <w:rStyle w:val="s1"/>
          <w:rFonts w:ascii="Arial" w:hAnsi="Arial" w:cs="Arial"/>
        </w:rPr>
        <w:t>, 28(4), pp. 156–162.</w:t>
      </w:r>
    </w:p>
    <w:p w14:paraId="64D26C21"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Davies, A. (2021) ‘Telehealth and mental health in primary care’, </w:t>
      </w:r>
      <w:r w:rsidRPr="00426013">
        <w:rPr>
          <w:rStyle w:val="s2"/>
          <w:rFonts w:ascii="Arial" w:hAnsi="Arial" w:cs="Arial"/>
        </w:rPr>
        <w:t>British Journal of General Practice</w:t>
      </w:r>
      <w:r w:rsidRPr="00426013">
        <w:rPr>
          <w:rStyle w:val="s1"/>
          <w:rFonts w:ascii="Arial" w:hAnsi="Arial" w:cs="Arial"/>
        </w:rPr>
        <w:t>, 71(705), pp. 404–406.</w:t>
      </w:r>
    </w:p>
    <w:p w14:paraId="778B1EFA"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Klein, J., Maddison, J., &amp; McDonald, R. (2022) ‘Technology acceptance of telehealth by older adults in the UK: a systematic review’, </w:t>
      </w:r>
      <w:r w:rsidRPr="00426013">
        <w:rPr>
          <w:rStyle w:val="s2"/>
          <w:rFonts w:ascii="Arial" w:hAnsi="Arial" w:cs="Arial"/>
        </w:rPr>
        <w:t>Age and Ageing</w:t>
      </w:r>
      <w:r w:rsidRPr="00426013">
        <w:rPr>
          <w:rStyle w:val="s1"/>
          <w:rFonts w:ascii="Arial" w:hAnsi="Arial" w:cs="Arial"/>
        </w:rPr>
        <w:t>, 51(3), afac040.</w:t>
      </w:r>
    </w:p>
    <w:p w14:paraId="2F3059BA"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Kelly, J. L., Bezold, C., &amp; Winch, S. (2023) ‘Patient satisfaction in hybrid telehealth models: qualitative evaluation in UK general practice’, </w:t>
      </w:r>
      <w:r w:rsidRPr="00426013">
        <w:rPr>
          <w:rStyle w:val="s2"/>
          <w:rFonts w:ascii="Arial" w:hAnsi="Arial" w:cs="Arial"/>
        </w:rPr>
        <w:t>Primary Health Care Research &amp; Development</w:t>
      </w:r>
      <w:r w:rsidRPr="00426013">
        <w:rPr>
          <w:rStyle w:val="s1"/>
          <w:rFonts w:ascii="Arial" w:hAnsi="Arial" w:cs="Arial"/>
        </w:rPr>
        <w:t>, 24, e18.</w:t>
      </w:r>
    </w:p>
    <w:p w14:paraId="6CEF069D"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Parker, R., McLean, S., Toms, A., &amp; Engstrom, J. (2022) ‘Digital poverty in UK general practice: a narrative review’, </w:t>
      </w:r>
      <w:r w:rsidRPr="00426013">
        <w:rPr>
          <w:rStyle w:val="s2"/>
          <w:rFonts w:ascii="Arial" w:hAnsi="Arial" w:cs="Arial"/>
        </w:rPr>
        <w:t>Journal of Public Health</w:t>
      </w:r>
      <w:r w:rsidRPr="00426013">
        <w:rPr>
          <w:rStyle w:val="s1"/>
          <w:rFonts w:ascii="Arial" w:hAnsi="Arial" w:cs="Arial"/>
        </w:rPr>
        <w:t>, 44(4), pp. 715–722.</w:t>
      </w:r>
    </w:p>
    <w:p w14:paraId="28DDB145"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Bercovitz, K., Lanham, H., &amp; Spilde, K. (2020) ‘Remote consultation quality in UK primary care: a systematic review of standards and patient safety’, </w:t>
      </w:r>
      <w:r w:rsidRPr="00426013">
        <w:rPr>
          <w:rStyle w:val="s2"/>
          <w:rFonts w:ascii="Arial" w:hAnsi="Arial" w:cs="Arial"/>
        </w:rPr>
        <w:t>Journal of Health Services Research &amp; Policy</w:t>
      </w:r>
      <w:r w:rsidRPr="00426013">
        <w:rPr>
          <w:rStyle w:val="s1"/>
          <w:rFonts w:ascii="Arial" w:hAnsi="Arial" w:cs="Arial"/>
        </w:rPr>
        <w:t>, 25(4), pp. 227–235.</w:t>
      </w:r>
    </w:p>
    <w:p w14:paraId="5BE65DAF"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Mishra, A., Vindrola-Padros, C., &amp; Greenhalgh, T. (2021) ‘Patient trust in telemedicine in the UK: qualitative analysis’, </w:t>
      </w:r>
      <w:r w:rsidRPr="00426013">
        <w:rPr>
          <w:rStyle w:val="s2"/>
          <w:rFonts w:ascii="Arial" w:hAnsi="Arial" w:cs="Arial"/>
        </w:rPr>
        <w:t>Journal of Medical Internet Research</w:t>
      </w:r>
      <w:r w:rsidRPr="00426013">
        <w:rPr>
          <w:rStyle w:val="s1"/>
          <w:rFonts w:ascii="Arial" w:hAnsi="Arial" w:cs="Arial"/>
        </w:rPr>
        <w:t>, 23(11), e29134.</w:t>
      </w:r>
    </w:p>
    <w:p w14:paraId="2FA4F691"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Wyeth, J. (2020) ‘Clinical safety of telehealth in general practice: a review’, </w:t>
      </w:r>
      <w:r w:rsidRPr="00426013">
        <w:rPr>
          <w:rStyle w:val="s2"/>
          <w:rFonts w:ascii="Arial" w:hAnsi="Arial" w:cs="Arial"/>
        </w:rPr>
        <w:t>Future Healthcare Journal</w:t>
      </w:r>
      <w:r w:rsidRPr="00426013">
        <w:rPr>
          <w:rStyle w:val="s1"/>
          <w:rFonts w:ascii="Arial" w:hAnsi="Arial" w:cs="Arial"/>
        </w:rPr>
        <w:t>, 7(3), pp. 234–241.</w:t>
      </w:r>
    </w:p>
    <w:p w14:paraId="6693D30B"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Topol, E. (2019) </w:t>
      </w:r>
      <w:r w:rsidRPr="00426013">
        <w:rPr>
          <w:rStyle w:val="s2"/>
          <w:rFonts w:ascii="Arial" w:hAnsi="Arial" w:cs="Arial"/>
        </w:rPr>
        <w:t>The Topol Review: Preparing the Healthcare Workforce to Deliver the Digital Future</w:t>
      </w:r>
      <w:r w:rsidRPr="00426013">
        <w:rPr>
          <w:rStyle w:val="s1"/>
          <w:rFonts w:ascii="Arial" w:hAnsi="Arial" w:cs="Arial"/>
        </w:rPr>
        <w:t>. London: NHS Health Education England.</w:t>
      </w:r>
    </w:p>
    <w:p w14:paraId="501439F1"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National Institute for Health and Care Excellence (NICE) (2020) </w:t>
      </w:r>
      <w:r w:rsidRPr="00426013">
        <w:rPr>
          <w:rStyle w:val="s2"/>
          <w:rFonts w:ascii="Arial" w:hAnsi="Arial" w:cs="Arial"/>
        </w:rPr>
        <w:t>Evidence Standards Framework for Digital Health Technologies</w:t>
      </w:r>
      <w:r w:rsidRPr="00426013">
        <w:rPr>
          <w:rStyle w:val="s1"/>
          <w:rFonts w:ascii="Arial" w:hAnsi="Arial" w:cs="Arial"/>
        </w:rPr>
        <w:t>. Available at: https://www.nice.org.uk/about/what-we-do/our-programmes/evidence-standards-framework (Accessed: 17 November 2025).</w:t>
      </w:r>
    </w:p>
    <w:p w14:paraId="32FFB070"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Health Foundation (2022) </w:t>
      </w:r>
      <w:r w:rsidRPr="00426013">
        <w:rPr>
          <w:rStyle w:val="s2"/>
          <w:rFonts w:ascii="Arial" w:hAnsi="Arial" w:cs="Arial"/>
        </w:rPr>
        <w:t>Primary Care Transformation Report: Digital Models of Care in the NHS</w:t>
      </w:r>
      <w:r w:rsidRPr="00426013">
        <w:rPr>
          <w:rStyle w:val="s1"/>
          <w:rFonts w:ascii="Arial" w:hAnsi="Arial" w:cs="Arial"/>
        </w:rPr>
        <w:t>. London: Health Foundation.</w:t>
      </w:r>
    </w:p>
    <w:p w14:paraId="16208305" w14:textId="77777777" w:rsidR="0042156F" w:rsidRPr="00426013" w:rsidRDefault="0042156F" w:rsidP="0042156F">
      <w:pPr>
        <w:pStyle w:val="p1"/>
        <w:numPr>
          <w:ilvl w:val="0"/>
          <w:numId w:val="12"/>
        </w:numPr>
        <w:rPr>
          <w:rFonts w:ascii="Arial" w:hAnsi="Arial" w:cs="Arial"/>
        </w:rPr>
      </w:pPr>
      <w:r w:rsidRPr="00426013">
        <w:rPr>
          <w:rStyle w:val="s1"/>
          <w:rFonts w:ascii="Arial" w:hAnsi="Arial" w:cs="Arial"/>
        </w:rPr>
        <w:t xml:space="preserve">Royal College of General Practitioners (RCGP) (2022) </w:t>
      </w:r>
      <w:r w:rsidRPr="00426013">
        <w:rPr>
          <w:rStyle w:val="s2"/>
          <w:rFonts w:ascii="Arial" w:hAnsi="Arial" w:cs="Arial"/>
        </w:rPr>
        <w:t>Digital First: Guidance for Practices on Remote Consultations</w:t>
      </w:r>
      <w:r w:rsidRPr="00426013">
        <w:rPr>
          <w:rStyle w:val="s1"/>
          <w:rFonts w:ascii="Arial" w:hAnsi="Arial" w:cs="Arial"/>
        </w:rPr>
        <w:t>. London: RCGP.</w:t>
      </w:r>
    </w:p>
    <w:p w14:paraId="734D57DC" w14:textId="77777777" w:rsidR="003D318C" w:rsidRPr="000D0706" w:rsidRDefault="003D318C" w:rsidP="008C3C76">
      <w:pPr>
        <w:spacing w:before="100" w:beforeAutospacing="1" w:after="100" w:afterAutospacing="1" w:line="240" w:lineRule="auto"/>
        <w:rPr>
          <w:rFonts w:ascii="Arial" w:hAnsi="Arial" w:cs="Arial"/>
          <w:kern w:val="0"/>
          <w14:ligatures w14:val="none"/>
        </w:rPr>
      </w:pPr>
    </w:p>
    <w:p w14:paraId="1F4A6CE3" w14:textId="77777777" w:rsidR="00E75FF4" w:rsidRPr="00595160" w:rsidRDefault="00E75FF4" w:rsidP="00595160">
      <w:pPr>
        <w:spacing w:before="100" w:beforeAutospacing="1" w:after="100" w:afterAutospacing="1" w:line="240" w:lineRule="auto"/>
        <w:rPr>
          <w:rFonts w:ascii="Arial" w:hAnsi="Arial" w:cs="Arial"/>
          <w:kern w:val="0"/>
          <w14:ligatures w14:val="none"/>
        </w:rPr>
      </w:pPr>
    </w:p>
    <w:p w14:paraId="5CC105A8" w14:textId="39521E27" w:rsidR="00563A78" w:rsidRPr="002B1A01" w:rsidRDefault="00563A78">
      <w:pPr>
        <w:rPr>
          <w:rFonts w:ascii="Arial" w:hAnsi="Arial" w:cs="Arial"/>
        </w:rPr>
      </w:pPr>
    </w:p>
    <w:sectPr w:rsidR="00563A78" w:rsidRPr="002B1A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26E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8B6D0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25C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6741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0C1B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0911A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BB06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7A7D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261D9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755152"/>
    <w:multiLevelType w:val="hybridMultilevel"/>
    <w:tmpl w:val="F664E8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93140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0A07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9392508">
    <w:abstractNumId w:val="0"/>
  </w:num>
  <w:num w:numId="2" w16cid:durableId="1284339881">
    <w:abstractNumId w:val="4"/>
  </w:num>
  <w:num w:numId="3" w16cid:durableId="403258722">
    <w:abstractNumId w:val="8"/>
  </w:num>
  <w:num w:numId="4" w16cid:durableId="757799098">
    <w:abstractNumId w:val="9"/>
  </w:num>
  <w:num w:numId="5" w16cid:durableId="338972059">
    <w:abstractNumId w:val="5"/>
  </w:num>
  <w:num w:numId="6" w16cid:durableId="563833685">
    <w:abstractNumId w:val="7"/>
  </w:num>
  <w:num w:numId="7" w16cid:durableId="365567617">
    <w:abstractNumId w:val="10"/>
  </w:num>
  <w:num w:numId="8" w16cid:durableId="543370836">
    <w:abstractNumId w:val="11"/>
  </w:num>
  <w:num w:numId="9" w16cid:durableId="1958103151">
    <w:abstractNumId w:val="3"/>
  </w:num>
  <w:num w:numId="10" w16cid:durableId="191462485">
    <w:abstractNumId w:val="2"/>
  </w:num>
  <w:num w:numId="11" w16cid:durableId="1275793537">
    <w:abstractNumId w:val="6"/>
  </w:num>
  <w:num w:numId="12" w16cid:durableId="14544457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A78"/>
    <w:rsid w:val="00047F84"/>
    <w:rsid w:val="000D0706"/>
    <w:rsid w:val="00145840"/>
    <w:rsid w:val="00292765"/>
    <w:rsid w:val="002B1A01"/>
    <w:rsid w:val="00311BEC"/>
    <w:rsid w:val="0033380D"/>
    <w:rsid w:val="003433C7"/>
    <w:rsid w:val="00354C2E"/>
    <w:rsid w:val="00383376"/>
    <w:rsid w:val="003D307B"/>
    <w:rsid w:val="003D318C"/>
    <w:rsid w:val="0042156F"/>
    <w:rsid w:val="00426013"/>
    <w:rsid w:val="00561B6F"/>
    <w:rsid w:val="00563A78"/>
    <w:rsid w:val="00595160"/>
    <w:rsid w:val="00620175"/>
    <w:rsid w:val="006504FD"/>
    <w:rsid w:val="007A7120"/>
    <w:rsid w:val="007F2292"/>
    <w:rsid w:val="00881545"/>
    <w:rsid w:val="008C3C76"/>
    <w:rsid w:val="009C7F96"/>
    <w:rsid w:val="00A00069"/>
    <w:rsid w:val="00A27DE1"/>
    <w:rsid w:val="00A34BBB"/>
    <w:rsid w:val="00B57B9C"/>
    <w:rsid w:val="00CD6668"/>
    <w:rsid w:val="00CF3951"/>
    <w:rsid w:val="00D423EB"/>
    <w:rsid w:val="00D5622D"/>
    <w:rsid w:val="00DC2909"/>
    <w:rsid w:val="00E75FF4"/>
    <w:rsid w:val="00EA1B80"/>
    <w:rsid w:val="00EC34F2"/>
    <w:rsid w:val="00EC54E5"/>
    <w:rsid w:val="00EE2F77"/>
    <w:rsid w:val="00F21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E09E56"/>
  <w15:chartTrackingRefBased/>
  <w15:docId w15:val="{5830D7AE-EFA3-9149-83A4-B7155943D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3A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3A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63A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A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A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A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A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A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A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A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3A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A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A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A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A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A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A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A78"/>
    <w:rPr>
      <w:rFonts w:eastAsiaTheme="majorEastAsia" w:cstheme="majorBidi"/>
      <w:color w:val="272727" w:themeColor="text1" w:themeTint="D8"/>
    </w:rPr>
  </w:style>
  <w:style w:type="paragraph" w:styleId="Title">
    <w:name w:val="Title"/>
    <w:basedOn w:val="Normal"/>
    <w:next w:val="Normal"/>
    <w:link w:val="TitleChar"/>
    <w:uiPriority w:val="10"/>
    <w:qFormat/>
    <w:rsid w:val="00563A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A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A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A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A78"/>
    <w:pPr>
      <w:spacing w:before="160"/>
      <w:jc w:val="center"/>
    </w:pPr>
    <w:rPr>
      <w:i/>
      <w:iCs/>
      <w:color w:val="404040" w:themeColor="text1" w:themeTint="BF"/>
    </w:rPr>
  </w:style>
  <w:style w:type="character" w:customStyle="1" w:styleId="QuoteChar">
    <w:name w:val="Quote Char"/>
    <w:basedOn w:val="DefaultParagraphFont"/>
    <w:link w:val="Quote"/>
    <w:uiPriority w:val="29"/>
    <w:rsid w:val="00563A78"/>
    <w:rPr>
      <w:i/>
      <w:iCs/>
      <w:color w:val="404040" w:themeColor="text1" w:themeTint="BF"/>
    </w:rPr>
  </w:style>
  <w:style w:type="paragraph" w:styleId="ListParagraph">
    <w:name w:val="List Paragraph"/>
    <w:basedOn w:val="Normal"/>
    <w:uiPriority w:val="34"/>
    <w:qFormat/>
    <w:rsid w:val="00563A78"/>
    <w:pPr>
      <w:ind w:left="720"/>
      <w:contextualSpacing/>
    </w:pPr>
  </w:style>
  <w:style w:type="character" w:styleId="IntenseEmphasis">
    <w:name w:val="Intense Emphasis"/>
    <w:basedOn w:val="DefaultParagraphFont"/>
    <w:uiPriority w:val="21"/>
    <w:qFormat/>
    <w:rsid w:val="00563A78"/>
    <w:rPr>
      <w:i/>
      <w:iCs/>
      <w:color w:val="0F4761" w:themeColor="accent1" w:themeShade="BF"/>
    </w:rPr>
  </w:style>
  <w:style w:type="paragraph" w:styleId="IntenseQuote">
    <w:name w:val="Intense Quote"/>
    <w:basedOn w:val="Normal"/>
    <w:next w:val="Normal"/>
    <w:link w:val="IntenseQuoteChar"/>
    <w:uiPriority w:val="30"/>
    <w:qFormat/>
    <w:rsid w:val="00563A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A78"/>
    <w:rPr>
      <w:i/>
      <w:iCs/>
      <w:color w:val="0F4761" w:themeColor="accent1" w:themeShade="BF"/>
    </w:rPr>
  </w:style>
  <w:style w:type="character" w:styleId="IntenseReference">
    <w:name w:val="Intense Reference"/>
    <w:basedOn w:val="DefaultParagraphFont"/>
    <w:uiPriority w:val="32"/>
    <w:qFormat/>
    <w:rsid w:val="00563A78"/>
    <w:rPr>
      <w:b/>
      <w:bCs/>
      <w:smallCaps/>
      <w:color w:val="0F4761" w:themeColor="accent1" w:themeShade="BF"/>
      <w:spacing w:val="5"/>
    </w:rPr>
  </w:style>
  <w:style w:type="character" w:customStyle="1" w:styleId="s1">
    <w:name w:val="s1"/>
    <w:basedOn w:val="DefaultParagraphFont"/>
    <w:rsid w:val="00595160"/>
  </w:style>
  <w:style w:type="paragraph" w:customStyle="1" w:styleId="p2">
    <w:name w:val="p2"/>
    <w:basedOn w:val="Normal"/>
    <w:rsid w:val="0059516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595160"/>
  </w:style>
  <w:style w:type="paragraph" w:customStyle="1" w:styleId="p3">
    <w:name w:val="p3"/>
    <w:basedOn w:val="Normal"/>
    <w:rsid w:val="00595160"/>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595160"/>
  </w:style>
  <w:style w:type="paragraph" w:customStyle="1" w:styleId="p1">
    <w:name w:val="p1"/>
    <w:basedOn w:val="Normal"/>
    <w:rsid w:val="000D0706"/>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561B6F"/>
  </w:style>
  <w:style w:type="character" w:customStyle="1" w:styleId="apple-converted-space">
    <w:name w:val="apple-converted-space"/>
    <w:basedOn w:val="DefaultParagraphFont"/>
    <w:rsid w:val="00421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5691</Words>
  <Characters>32443</Characters>
  <Application>Microsoft Office Word</Application>
  <DocSecurity>0</DocSecurity>
  <Lines>270</Lines>
  <Paragraphs>76</Paragraphs>
  <ScaleCrop>false</ScaleCrop>
  <Company/>
  <LinksUpToDate>false</LinksUpToDate>
  <CharactersWithSpaces>38058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Newrikaa Jeyapathy (2324340)</dc:creator>
  <cp:keywords/>
  <dc:description/>
  <cp:lastModifiedBy>Newrikaa Jeyapathy (2324340)</cp:lastModifiedBy>
  <cp:revision>2</cp:revision>
  <dcterms:created xsi:type="dcterms:W3CDTF">2025-11-17T13:48:00Z</dcterms:created>
  <dcterms:modified xsi:type="dcterms:W3CDTF">2025-11-17T13:48:00Z</dcterms:modified>
</cp:coreProperties>
</file>