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ECAD6008</w:t>
      </w:r>
    </w:p>
    <w:p>
      <w:pPr>
        <w:pStyle w:val="Title"/>
        <w:bidi w:val="0"/>
      </w:pPr>
      <w:r>
        <w:rPr>
          <w:rtl w:val="0"/>
        </w:rPr>
        <w:t xml:space="preserve"> </w:t>
      </w:r>
      <w:r>
        <w:rPr>
          <w:rtl w:val="0"/>
        </w:rPr>
        <w:t>Professional and Pedagogic Studies Learning: Researching the Learning: what, how, and why am I tea</w:t>
      </w:r>
      <w:r>
        <w:rPr>
          <w:rtl w:val="0"/>
        </w:rPr>
        <w:t>ching?</w:t>
      </w:r>
    </w:p>
    <w:p>
      <w:pPr>
        <w:pStyle w:val="Title"/>
        <w:bidi w:val="0"/>
      </w:pPr>
    </w:p>
    <w:p>
      <w:pPr>
        <w:pStyle w:val="Title"/>
        <w:bidi w:val="0"/>
      </w:pPr>
      <w:r>
        <w:rPr>
          <w:rtl w:val="0"/>
        </w:rPr>
        <w:t>Critically reflect on how your professional practice has been transformed in relation to planning, teaching and assessing. Identify up to three of the 12 pedagogical principles to critically explore and justify the next steps in your development.</w:t>
      </w:r>
    </w:p>
    <w:p>
      <w:pPr>
        <w:pStyle w:val="Body"/>
        <w:bidi w:val="0"/>
      </w:pPr>
    </w:p>
    <w:p>
      <w:pPr>
        <w:pStyle w:val="Body"/>
        <w:bidi w:val="0"/>
      </w:pPr>
    </w:p>
    <w:p>
      <w:pPr>
        <w:pStyle w:val="Body"/>
        <w:bidi w:val="0"/>
      </w:pPr>
    </w:p>
    <w:tbl>
      <w:tblPr>
        <w:tblW w:w="9627" w:type="dxa"/>
        <w:jc w:val="center"/>
        <w:tblInd w:w="108" w:type="dxa"/>
        <w:tblBorders>
          <w:top w:val="single" w:color="929292" w:sz="4" w:space="0" w:shadow="0" w:frame="0"/>
          <w:left w:val="single" w:color="929292" w:sz="4" w:space="0" w:shadow="0" w:frame="0"/>
          <w:bottom w:val="single" w:color="929292" w:sz="4" w:space="0" w:shadow="0" w:frame="0"/>
          <w:right w:val="single" w:color="929292" w:sz="4" w:space="0" w:shadow="0" w:frame="0"/>
          <w:insideH w:val="single" w:color="929292" w:sz="4" w:space="0" w:shadow="0" w:frame="0"/>
          <w:insideV w:val="single" w:color="929292" w:sz="4" w:space="0" w:shadow="0" w:frame="0"/>
        </w:tblBorders>
        <w:shd w:val="clear" w:color="auto" w:fill="auto"/>
        <w:tblLayout w:type="fixed"/>
      </w:tblPr>
      <w:tblGrid>
        <w:gridCol w:w="1377"/>
        <w:gridCol w:w="8250"/>
      </w:tblGrid>
      <w:tr>
        <w:tblPrEx>
          <w:shd w:val="clear" w:color="auto" w:fill="auto"/>
        </w:tblPrEx>
        <w:trPr>
          <w:trHeight w:val="350" w:hRule="atLeast"/>
        </w:trPr>
        <w:tc>
          <w:tcPr>
            <w:tcW w:type="dxa" w:w="9627"/>
            <w:gridSpan w:val="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efffe"/>
            <w:tcMar>
              <w:top w:type="dxa" w:w="80"/>
              <w:left w:type="dxa" w:w="80"/>
              <w:bottom w:type="dxa" w:w="80"/>
              <w:right w:type="dxa" w:w="80"/>
            </w:tcMar>
            <w:vAlign w:val="top"/>
          </w:tcPr>
          <w:p>
            <w:pPr>
              <w:pStyle w:val="Table Style 2"/>
              <w:jc w:val="center"/>
            </w:pPr>
            <w:r>
              <w:rPr>
                <w:rFonts w:ascii="Arial" w:hAnsi="Arial"/>
                <w:sz w:val="30"/>
                <w:szCs w:val="30"/>
              </w:rPr>
              <w:t xml:space="preserve">Targets </w:t>
            </w:r>
          </w:p>
        </w:tc>
      </w:tr>
      <w:tr>
        <w:tblPrEx>
          <w:shd w:val="clear" w:color="auto" w:fill="auto"/>
        </w:tblPrEx>
        <w:trPr>
          <w:trHeight w:val="360" w:hRule="atLeast"/>
        </w:trPr>
        <w:tc>
          <w:tcPr>
            <w:tcW w:type="dxa" w:w="137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efffe"/>
            <w:tcMar>
              <w:top w:type="dxa" w:w="80"/>
              <w:left w:type="dxa" w:w="80"/>
              <w:bottom w:type="dxa" w:w="80"/>
              <w:right w:type="dxa" w:w="80"/>
            </w:tcMar>
            <w:vAlign w:val="top"/>
          </w:tcPr>
          <w:p>
            <w:pPr>
              <w:pStyle w:val="Table Style 2"/>
              <w:jc w:val="center"/>
            </w:pPr>
            <w:r>
              <w:rPr>
                <w:rFonts w:ascii="Arial" w:hAnsi="Arial"/>
                <w:sz w:val="30"/>
                <w:szCs w:val="30"/>
              </w:rPr>
              <w:t>1</w:t>
            </w:r>
          </w:p>
        </w:tc>
        <w:tc>
          <w:tcPr>
            <w:tcW w:type="dxa" w:w="825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efffe"/>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Helvetica" w:hAnsi="Helvetica"/>
                <w:outline w:val="0"/>
                <w:color w:val="273040"/>
                <w:sz w:val="28"/>
                <w:szCs w:val="28"/>
                <w:shd w:val="clear" w:color="auto" w:fill="fefffe"/>
                <w:rtl w:val="0"/>
                <w14:textFill>
                  <w14:solidFill>
                    <w14:srgbClr w14:val="283041"/>
                  </w14:solidFill>
                </w14:textFill>
              </w:rPr>
              <w:t>Note reference list in alphabetical order.</w:t>
            </w:r>
          </w:p>
        </w:tc>
      </w:tr>
      <w:tr>
        <w:tblPrEx>
          <w:shd w:val="clear" w:color="auto" w:fill="auto"/>
        </w:tblPrEx>
        <w:trPr>
          <w:trHeight w:val="700" w:hRule="atLeast"/>
        </w:trPr>
        <w:tc>
          <w:tcPr>
            <w:tcW w:type="dxa" w:w="137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efffe"/>
            <w:tcMar>
              <w:top w:type="dxa" w:w="80"/>
              <w:left w:type="dxa" w:w="80"/>
              <w:bottom w:type="dxa" w:w="80"/>
              <w:right w:type="dxa" w:w="80"/>
            </w:tcMar>
            <w:vAlign w:val="top"/>
          </w:tcPr>
          <w:p>
            <w:pPr>
              <w:pStyle w:val="Table Style 2"/>
              <w:jc w:val="center"/>
            </w:pPr>
            <w:r>
              <w:rPr>
                <w:rFonts w:ascii="Arial" w:hAnsi="Arial"/>
                <w:sz w:val="30"/>
                <w:szCs w:val="30"/>
              </w:rPr>
              <w:t>2</w:t>
            </w:r>
          </w:p>
        </w:tc>
        <w:tc>
          <w:tcPr>
            <w:tcW w:type="dxa" w:w="825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efffe"/>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Helvetica" w:hAnsi="Helvetica"/>
                <w:outline w:val="0"/>
                <w:color w:val="273040"/>
                <w:sz w:val="28"/>
                <w:szCs w:val="28"/>
                <w:shd w:val="clear" w:color="auto" w:fill="fefffe"/>
                <w:rtl w:val="0"/>
                <w14:textFill>
                  <w14:solidFill>
                    <w14:srgbClr w14:val="283041"/>
                  </w14:solidFill>
                </w14:textFill>
              </w:rPr>
              <w:t>Use a wide range of credible literature. Try to avoid online sources like Twinkl to support your academic writing.</w:t>
            </w:r>
          </w:p>
        </w:tc>
      </w:tr>
    </w:tbl>
    <w:p>
      <w:pPr>
        <w:pStyle w:val="Body"/>
        <w:jc w:val="center"/>
      </w:pPr>
    </w:p>
    <w:p>
      <w:pPr>
        <w:pStyle w:val="Body"/>
        <w:jc w:val="center"/>
      </w:pPr>
    </w:p>
    <w:p>
      <w:pPr>
        <w:pStyle w:val="Subtitle"/>
        <w:jc w:val="center"/>
      </w:pPr>
      <w:r>
        <w:rPr>
          <w:sz w:val="30"/>
          <w:szCs w:val="30"/>
          <w:u w:val="single"/>
          <w:rtl w:val="0"/>
          <w:lang w:val="en-US"/>
        </w:rPr>
        <w:t>Contents</w:t>
      </w:r>
      <w:r>
        <w:rPr>
          <w:rtl w:val="0"/>
          <w:lang w:val="en-US"/>
        </w:rPr>
        <w:t xml:space="preserve"> </w:t>
      </w:r>
    </w:p>
    <w:p>
      <w:pPr>
        <w:pStyle w:val="Body"/>
        <w:bidi w:val="0"/>
      </w:pPr>
    </w:p>
    <w:p>
      <w:pPr>
        <w:pStyle w:val="Body"/>
        <w:bidi w:val="0"/>
      </w:pPr>
    </w:p>
    <w:p>
      <w:pPr>
        <w:pStyle w:val="Body"/>
        <w:bidi w:val="0"/>
      </w:pPr>
    </w:p>
    <w:p>
      <w:pPr>
        <w:pStyle w:val="Body"/>
        <w:bidi w:val="0"/>
      </w:pPr>
      <w:r>
        <w:rPr/>
        <w:fldChar w:fldCharType="begin" w:fldLock="0"/>
      </w:r>
      <w:r>
        <w:instrText xml:space="preserve"> TOC \o 1-1 </w:instrText>
      </w:r>
      <w:r>
        <w:rPr/>
        <w:fldChar w:fldCharType="separate" w:fldLock="0"/>
      </w:r>
    </w:p>
    <w:p>
      <w:pPr>
        <w:pStyle w:val="TOC 1"/>
        <w:bidi w:val="0"/>
      </w:pPr>
      <w:r>
        <w:rPr>
          <w:rFonts w:cs="Arial Unicode MS" w:eastAsia="Arial Unicode MS"/>
          <w:rtl w:val="0"/>
        </w:rPr>
        <w:t>Part 1</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bidi w:val="0"/>
      </w:pPr>
      <w:r>
        <w:rPr>
          <w:rFonts w:cs="Arial Unicode MS" w:eastAsia="Arial Unicode MS"/>
          <w:rtl w:val="0"/>
        </w:rPr>
        <w:t>Part 2</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numPr>
          <w:ilvl w:val="0"/>
          <w:numId w:val="1"/>
        </w:numPr>
        <w:bidi w:val="0"/>
      </w:pPr>
      <w:r>
        <w:rPr>
          <w:rFonts w:cs="Arial Unicode MS" w:eastAsia="Arial Unicode MS"/>
          <w:rtl w:val="0"/>
          <w:lang w:val="fr-FR"/>
        </w:rPr>
        <w:t>Introduction</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numPr>
          <w:ilvl w:val="0"/>
          <w:numId w:val="1"/>
        </w:numPr>
        <w:bidi w:val="0"/>
      </w:pPr>
      <w:r>
        <w:rPr>
          <w:rFonts w:cs="Arial Unicode MS" w:eastAsia="Arial Unicode MS"/>
          <w:rtl w:val="0"/>
          <w:lang w:val="en-US"/>
        </w:rPr>
        <w:t>Assessment for Learning</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numPr>
          <w:ilvl w:val="0"/>
          <w:numId w:val="1"/>
        </w:numPr>
        <w:bidi w:val="0"/>
      </w:pPr>
      <w:r>
        <w:rPr>
          <w:rFonts w:cs="Arial Unicode MS" w:eastAsia="Arial Unicode MS"/>
          <w:rtl w:val="0"/>
          <w:lang w:val="en-US"/>
        </w:rPr>
        <w:t>Real Life Authentic Contexts</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numPr>
          <w:ilvl w:val="0"/>
          <w:numId w:val="1"/>
        </w:numPr>
        <w:bidi w:val="0"/>
      </w:pPr>
      <w:r>
        <w:rPr>
          <w:rFonts w:cs="Arial Unicode MS" w:eastAsia="Arial Unicode MS"/>
          <w:rtl w:val="0"/>
          <w:lang w:val="it-IT"/>
        </w:rPr>
        <w:t>Conclusion</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1"/>
        <w:bidi w:val="0"/>
      </w:pPr>
      <w:r>
        <w:rPr>
          <w:rFonts w:cs="Arial Unicode MS" w:eastAsia="Arial Unicode MS"/>
          <w:rtl w:val="0"/>
          <w:lang w:val="fr-FR"/>
        </w:rPr>
        <w:t>References</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Body"/>
        <w:bidi w:val="0"/>
      </w:pPr>
      <w:r>
        <w:rPr/>
        <w:fldChar w:fldCharType="end" w:fldLock="0"/>
      </w:r>
      <w:r>
        <w:rPr>
          <w:rFonts w:ascii="Arial Unicode MS" w:cs="Arial Unicode MS" w:hAnsi="Arial Unicode MS" w:eastAsia="Arial Unicode MS"/>
          <w:b w:val="0"/>
          <w:bCs w:val="0"/>
          <w:i w:val="0"/>
          <w:iCs w:val="0"/>
        </w:rPr>
        <w:br w:type="page"/>
      </w:r>
    </w:p>
    <w:p>
      <w:pPr>
        <w:pStyle w:val="Body"/>
        <w:bidi w:val="0"/>
      </w:pPr>
    </w:p>
    <w:p>
      <w:pPr>
        <w:pStyle w:val="Heading"/>
        <w:bidi w:val="0"/>
      </w:pPr>
      <w:bookmarkStart w:name="_Toc" w:id="0"/>
      <w:r>
        <w:rPr>
          <w:rFonts w:cs="Arial Unicode MS" w:eastAsia="Arial Unicode MS"/>
          <w:rtl w:val="0"/>
          <w:lang w:val="en-US"/>
        </w:rPr>
        <w:t>Part 1</w:t>
      </w:r>
      <w:bookmarkEnd w:id="0"/>
    </w:p>
    <w:p>
      <w:pPr>
        <w:pStyle w:val="Body"/>
        <w:bidi w:val="0"/>
      </w:pPr>
    </w:p>
    <w:p>
      <w:pPr>
        <w:pStyle w:val="Body"/>
        <w:bidi w:val="0"/>
      </w:pPr>
    </w:p>
    <w:p>
      <w:pPr>
        <w:pStyle w:val="Body"/>
        <w:bidi w:val="0"/>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Helvetica Neue" w:hAnsi="Helvetica Neue"/>
              </w:rPr>
              <w:t>Professional Experience Template 1</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Pedagogy Standard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Assessment for learning</w:t>
            </w:r>
          </w:p>
        </w:tc>
      </w:tr>
      <w:tr>
        <w:tblPrEx>
          <w:shd w:val="clear" w:color="auto" w:fill="auto"/>
        </w:tblPrEx>
        <w:trPr>
          <w:trHeight w:val="768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did you do and why?</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 xml:space="preserve">My PTE3 placement school followed the Central South Consortium framework for Maths and Numeracy. Using this I planned and delivered a session based on number bonds. For some children this was a recap and for some children it was completely new. </w:t>
            </w:r>
          </w:p>
          <w:p>
            <w:pPr>
              <w:pStyle w:val="Table Style 2"/>
              <w:bidi w:val="0"/>
            </w:pPr>
            <w:r>
              <w:rPr>
                <w:rFonts w:ascii="Helvetica Neue" w:cs="Arial Unicode MS" w:hAnsi="Helvetica Neue" w:eastAsia="Arial Unicode MS"/>
              </w:rPr>
              <w:t>To begin the session asa small warm up we practiced counting up to 100 using a fun song and dance found on YouTube.</w:t>
            </w:r>
          </w:p>
          <w:p>
            <w:pPr>
              <w:pStyle w:val="Table Style 2"/>
              <w:bidi w:val="0"/>
            </w:pPr>
            <w:r>
              <w:rPr>
                <w:rFonts w:ascii="Helvetica Neue" w:cs="Arial Unicode MS" w:hAnsi="Helvetica Neue" w:eastAsia="Arial Unicode MS"/>
              </w:rPr>
              <w:t>For the main section of the session, the children were split into their ability groups in order for me to differentiate the sessions accordingly. The children who were less able would not be engaged in expanding to number bonds to 20 as some aren</w:t>
            </w:r>
            <w:r>
              <w:rPr>
                <w:rFonts w:ascii="Helvetica Neue" w:cs="Arial Unicode MS" w:hAnsi="Helvetica Neue" w:eastAsia="Arial Unicode MS" w:hint="default"/>
              </w:rPr>
              <w:t>’</w:t>
            </w:r>
            <w:r>
              <w:rPr>
                <w:rFonts w:ascii="Helvetica Neue" w:cs="Arial Unicode MS" w:hAnsi="Helvetica Neue" w:eastAsia="Arial Unicode MS"/>
              </w:rPr>
              <w:t xml:space="preserve">t able to to do up to 5. </w:t>
            </w:r>
          </w:p>
          <w:p>
            <w:pPr>
              <w:pStyle w:val="Table Style 2"/>
              <w:bidi w:val="0"/>
            </w:pPr>
            <w:r>
              <w:rPr>
                <w:rFonts w:ascii="Helvetica Neue" w:cs="Arial Unicode MS" w:hAnsi="Helvetica Neue" w:eastAsia="Arial Unicode MS"/>
              </w:rPr>
              <w:t>I made a string with 5/10/20 beads depending on which group I was working with. Each child had their own. The children would push the bead either side and coin the beads on the left and then the beads on the right and that would give you a number bond.</w:t>
            </w:r>
          </w:p>
          <w:p>
            <w:pPr>
              <w:pStyle w:val="Table Style 2"/>
              <w:bidi w:val="0"/>
            </w:pPr>
            <w:r>
              <w:rPr>
                <w:rFonts w:ascii="Helvetica Neue" w:cs="Arial Unicode MS" w:hAnsi="Helvetica Neue" w:eastAsia="Arial Unicode MS"/>
              </w:rPr>
              <w:t>The children used their beads to write all the number bonds down.</w:t>
            </w:r>
          </w:p>
          <w:p>
            <w:pPr>
              <w:pStyle w:val="Table Style 2"/>
              <w:bidi w:val="0"/>
            </w:pPr>
            <w:r>
              <w:rPr>
                <w:rFonts w:ascii="Helvetica Neue" w:cs="Arial Unicode MS" w:hAnsi="Helvetica Neue" w:eastAsia="Arial Unicode MS"/>
              </w:rPr>
              <w:t>At then end of the session I asked the children to use their whiteboard to write as many number bonds as they can remember. I did this in order for me to see which children understood, which children are almost there or children who are still struggling. This for, of assessment for learning can then guide me to organise extra interventions if needed.</w:t>
            </w:r>
          </w:p>
          <w:p>
            <w:pPr>
              <w:pStyle w:val="Table Style 2"/>
              <w:bidi w:val="0"/>
            </w:pPr>
          </w:p>
        </w:tc>
      </w:tr>
      <w:tr>
        <w:tblPrEx>
          <w:shd w:val="clear" w:color="auto" w:fill="auto"/>
        </w:tblPrEx>
        <w:trPr>
          <w:trHeight w:val="24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have you learned?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Assessment for learning is very crucial in the classroom, although some children may be fully engaged and you feel like they have retained the information it</w:t>
            </w:r>
            <w:r>
              <w:rPr>
                <w:rFonts w:ascii="Helvetica Neue" w:cs="Arial Unicode MS" w:hAnsi="Helvetica Neue" w:eastAsia="Arial Unicode MS" w:hint="default"/>
              </w:rPr>
              <w:t>’</w:t>
            </w:r>
            <w:r>
              <w:rPr>
                <w:rFonts w:ascii="Helvetica Neue" w:cs="Arial Unicode MS" w:hAnsi="Helvetica Neue" w:eastAsia="Arial Unicode MS"/>
              </w:rPr>
              <w:t>s not always the case. Therefore, carrying out an assessment for learning related task you can really see who understands. For example, Child G often got distracted, had his head in his hands but when carrying out the whiteboard task he knew all of the bond to 10 and some of the bonds to 20.</w:t>
            </w:r>
          </w:p>
        </w:tc>
      </w:tr>
      <w:tr>
        <w:tblPrEx>
          <w:shd w:val="clear" w:color="auto" w:fill="auto"/>
        </w:tblPrEx>
        <w:trPr>
          <w:trHeight w:val="24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next?</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Moving forward I would like to continue to use assessment for learning strategies in my sessions but also try to include them throughout the duration of the lesson, so I can see who needs extra support in the moment rather than at the end of the session where the children move on to a different area of learning. I would also like to try different methods and strategies rather than those I</w:t>
            </w:r>
            <w:r>
              <w:rPr>
                <w:rFonts w:ascii="Helvetica Neue" w:cs="Arial Unicode MS" w:hAnsi="Helvetica Neue" w:eastAsia="Arial Unicode MS" w:hint="default"/>
              </w:rPr>
              <w:t>’</w:t>
            </w:r>
            <w:r>
              <w:rPr>
                <w:rFonts w:ascii="Helvetica Neue" w:cs="Arial Unicode MS" w:hAnsi="Helvetica Neue" w:eastAsia="Arial Unicode MS"/>
              </w:rPr>
              <w:t>m comfortable with as I may find more effective methods of assessment for learning.</w:t>
            </w:r>
          </w:p>
        </w:tc>
      </w:tr>
    </w:tbl>
    <w:p>
      <w:pPr>
        <w:pStyle w:val="Body"/>
        <w:bidi w:val="0"/>
      </w:pPr>
    </w:p>
    <w:p>
      <w:pPr>
        <w:pStyle w:val="Body"/>
        <w:bidi w:val="0"/>
      </w:pPr>
    </w:p>
    <w:p>
      <w:pPr>
        <w:pStyle w:val="Body"/>
        <w:bidi w:val="0"/>
      </w:pPr>
    </w:p>
    <w:p>
      <w:pPr>
        <w:pStyle w:val="Body"/>
        <w:bidi w:val="0"/>
      </w:pPr>
    </w:p>
    <w:p>
      <w:pPr>
        <w:pStyle w:val="Body"/>
        <w:bidi w:val="0"/>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Helvetica Neue" w:hAnsi="Helvetica Neue"/>
              </w:rPr>
              <w:t>Professional Experience Template 2</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Pedagogy Standard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Blended Learning Experiences</w:t>
            </w:r>
          </w:p>
        </w:tc>
      </w:tr>
      <w:tr>
        <w:tblPrEx>
          <w:shd w:val="clear" w:color="auto" w:fill="auto"/>
        </w:tblPrEx>
        <w:trPr>
          <w:trHeight w:val="48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did you do and why?</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My PTE3 school followed a Maths and Numeracy framework called The Central South Consortium. This particular week was covering Money, recognising coins and making amounts.</w:t>
            </w:r>
          </w:p>
          <w:p>
            <w:pPr>
              <w:pStyle w:val="Table Style 2"/>
              <w:bidi w:val="0"/>
            </w:pPr>
          </w:p>
          <w:p>
            <w:pPr>
              <w:pStyle w:val="Table Style 2"/>
              <w:bidi w:val="0"/>
            </w:pPr>
            <w:r>
              <w:rPr>
                <w:rFonts w:ascii="Helvetica Neue" w:cs="Arial Unicode MS" w:hAnsi="Helvetica Neue" w:eastAsia="Arial Unicode MS"/>
              </w:rPr>
              <w:t>To begin the session, I started off with a coin recognition quiz using the interactive whiteboard, where I could see how well the children could remember their coins as it had been a while since they looked at this area of Numeracy. Once the children became more confident with their coins I explained the tasks. On one table there were recognition games, matching amounts, ordering numbers and iPads to play money games. On the other side of the room I had created a shop role play area with foods and prices. The children had to ask for a food in Welsh and give the shop keeper the correct amount. All of the games were differentiated depending on the ability group and children has time to complete every singe, activity.</w:t>
            </w:r>
          </w:p>
        </w:tc>
      </w:tr>
      <w:tr>
        <w:tblPrEx>
          <w:shd w:val="clear" w:color="auto" w:fill="auto"/>
        </w:tblPrEx>
        <w:trPr>
          <w:trHeight w:val="24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have you learned?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I have learnt that blended learning experiences can help keep the children engaged and involved! They had the independence to carry out each activity. They chose what order they did the tasks in and I feel that giving them different forms of learning and task just kept reinforcing the learning from the previous task. On top of this I learnt that it is important to give them instructions and make it very clear what they need to do in order for the session to be effective.</w:t>
            </w:r>
          </w:p>
        </w:tc>
      </w:tr>
      <w:tr>
        <w:tblPrEx>
          <w:shd w:val="clear" w:color="auto" w:fill="auto"/>
        </w:tblPrEx>
        <w:trPr>
          <w:trHeight w:val="24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next?</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Moving forward, I will continue to involve blended learning experiences in my teaching, I enjoyed planning them as well as delivering and it seemed that the children also enjoyed too. Next time I would definitely give the children physical copies of instructions so they don</w:t>
            </w:r>
            <w:r>
              <w:rPr>
                <w:rFonts w:ascii="Helvetica Neue" w:cs="Arial Unicode MS" w:hAnsi="Helvetica Neue" w:eastAsia="Arial Unicode MS" w:hint="default"/>
              </w:rPr>
              <w:t>’</w:t>
            </w:r>
            <w:r>
              <w:rPr>
                <w:rFonts w:ascii="Helvetica Neue" w:cs="Arial Unicode MS" w:hAnsi="Helvetica Neue" w:eastAsia="Arial Unicode MS"/>
              </w:rPr>
              <w:t>t forget or they can recap if they didn</w:t>
            </w:r>
            <w:r>
              <w:rPr>
                <w:rFonts w:ascii="Helvetica Neue" w:cs="Arial Unicode MS" w:hAnsi="Helvetica Neue" w:eastAsia="Arial Unicode MS" w:hint="default"/>
              </w:rPr>
              <w:t>’</w:t>
            </w:r>
            <w:r>
              <w:rPr>
                <w:rFonts w:ascii="Helvetica Neue" w:cs="Arial Unicode MS" w:hAnsi="Helvetica Neue" w:eastAsia="Arial Unicode MS"/>
              </w:rPr>
              <w:t>t understand. I would also like to encourage the children to take picture of their peers and their own work to upload on to seesaw or class dojo.</w:t>
            </w:r>
          </w:p>
        </w:tc>
      </w:tr>
    </w:tbl>
    <w:p>
      <w:pPr>
        <w:pStyle w:val="Body"/>
        <w:bidi w:val="0"/>
      </w:pPr>
    </w:p>
    <w:p>
      <w:pPr>
        <w:pStyle w:val="Body"/>
        <w:bidi w:val="0"/>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Helvetica Neue" w:hAnsi="Helvetica Neue"/>
              </w:rPr>
              <w:t>Professional Experience Template 3</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Pedagogy Standard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Real Life Authentic Contexts</w:t>
            </w:r>
          </w:p>
        </w:tc>
      </w:tr>
      <w:tr>
        <w:tblPrEx>
          <w:shd w:val="clear" w:color="auto" w:fill="auto"/>
        </w:tblPrEx>
        <w:trPr>
          <w:trHeight w:val="456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did you do and why?</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 xml:space="preserve">My PTE3 school followed a Maths and Numeracy framework called </w:t>
            </w:r>
            <w:r>
              <w:rPr>
                <w:rFonts w:ascii="Helvetica Neue" w:cs="Arial Unicode MS" w:hAnsi="Helvetica Neue" w:eastAsia="Arial Unicode MS" w:hint="default"/>
              </w:rPr>
              <w:t>…</w:t>
            </w:r>
            <w:r>
              <w:rPr>
                <w:rFonts w:ascii="Helvetica Neue" w:cs="Arial Unicode MS" w:hAnsi="Helvetica Neue" w:eastAsia="Arial Unicode MS"/>
              </w:rPr>
              <w:t>.. This particular week was covering Money, but this time giving change.</w:t>
            </w:r>
          </w:p>
          <w:p>
            <w:pPr>
              <w:pStyle w:val="Table Style 2"/>
              <w:bidi w:val="0"/>
            </w:pPr>
          </w:p>
          <w:p>
            <w:pPr>
              <w:pStyle w:val="Table Style 2"/>
              <w:bidi w:val="0"/>
            </w:pPr>
            <w:r>
              <w:rPr>
                <w:rFonts w:ascii="Helvetica Neue" w:cs="Arial Unicode MS" w:hAnsi="Helvetica Neue" w:eastAsia="Arial Unicode MS"/>
              </w:rPr>
              <w:t>For this session I set up a role play area for the children to play in. Instead of splitting my group in half they all had to wait in line at shop like you would in real life. They had purses/wallets with coins inside and had to choose their items before arriving at the checkout. I was sitting alongside the shopkeeper to help support the children giving/receiving the change.</w:t>
            </w:r>
          </w:p>
          <w:p>
            <w:pPr>
              <w:pStyle w:val="Table Style 2"/>
              <w:bidi w:val="0"/>
            </w:pPr>
            <w:r>
              <w:rPr>
                <w:rFonts w:ascii="Helvetica Neue" w:cs="Arial Unicode MS" w:hAnsi="Helvetica Neue" w:eastAsia="Arial Unicode MS"/>
              </w:rPr>
              <w:t>Depending on which group was working with me at the time, I differentiated the prices of foods and the coins they were given in their purses.</w:t>
            </w:r>
          </w:p>
          <w:p>
            <w:pPr>
              <w:pStyle w:val="Table Style 2"/>
              <w:bidi w:val="0"/>
            </w:pPr>
            <w:r>
              <w:rPr>
                <w:rFonts w:ascii="Helvetica Neue" w:cs="Arial Unicode MS" w:hAnsi="Helvetica Neue" w:eastAsia="Arial Unicode MS"/>
              </w:rPr>
              <w:t>We discussed what we would ask the shopkeeper and how we would also use our manners.</w:t>
            </w:r>
          </w:p>
          <w:p>
            <w:pPr>
              <w:pStyle w:val="Table Style 2"/>
              <w:bidi w:val="0"/>
            </w:pPr>
          </w:p>
          <w:p>
            <w:pPr>
              <w:pStyle w:val="Table Style 2"/>
              <w:bidi w:val="0"/>
            </w:pPr>
          </w:p>
        </w:tc>
      </w:tr>
      <w:tr>
        <w:tblPrEx>
          <w:shd w:val="clear" w:color="auto" w:fill="auto"/>
        </w:tblPrEx>
        <w:trPr>
          <w:trHeight w:val="168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have you learned?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From this experience, I noticed that some children were very familiar with this environment and understood how it worked, where as some children didn</w:t>
            </w:r>
            <w:r>
              <w:rPr>
                <w:rFonts w:ascii="Helvetica Neue" w:cs="Arial Unicode MS" w:hAnsi="Helvetica Neue" w:eastAsia="Arial Unicode MS" w:hint="default"/>
              </w:rPr>
              <w:t>’</w:t>
            </w:r>
            <w:r>
              <w:rPr>
                <w:rFonts w:ascii="Helvetica Neue" w:cs="Arial Unicode MS" w:hAnsi="Helvetica Neue" w:eastAsia="Arial Unicode MS"/>
              </w:rPr>
              <w:t>t see, as though they had ever been in a shop environment so it was very interesting. It really made me understand why this pedagogical principle has been included.</w:t>
            </w:r>
          </w:p>
        </w:tc>
      </w:tr>
      <w:tr>
        <w:tblPrEx>
          <w:shd w:val="clear" w:color="auto" w:fill="auto"/>
        </w:tblPrEx>
        <w:trPr>
          <w:trHeight w:val="168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next?</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Moving forward, I will definitely be using more and more real life authentic contexts in my future practice. I would have loved to have taken the children to a real shop to make the session that bit more authentic but I feel that not all children get the same experiences making it important to make use of this principle where possible.</w:t>
            </w:r>
          </w:p>
        </w:tc>
      </w:tr>
    </w:tbl>
    <w:p>
      <w:pPr>
        <w:pStyle w:val="Body"/>
        <w:bidi w:val="0"/>
      </w:pPr>
    </w:p>
    <w:p>
      <w:pPr>
        <w:pStyle w:val="Body"/>
        <w:bidi w:val="0"/>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center"/>
            </w:pPr>
            <w:r>
              <w:rPr>
                <w:rFonts w:ascii="Helvetica Neue" w:hAnsi="Helvetica Neue"/>
              </w:rPr>
              <w:t>Professional Experience Template 4</w:t>
            </w:r>
          </w:p>
        </w:tc>
      </w:tr>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Pedagogy Standard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Cross-curricular themes</w:t>
            </w:r>
          </w:p>
        </w:tc>
      </w:tr>
      <w:tr>
        <w:tblPrEx>
          <w:shd w:val="clear" w:color="auto" w:fill="auto"/>
        </w:tblPrEx>
        <w:trPr>
          <w:trHeight w:val="504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did you do and why?</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 xml:space="preserve">During my PTE3 I wanted to share my passion of the expressive arts with the children. Therefore I carried out a dance session. The topic for this class was happiness. </w:t>
            </w:r>
          </w:p>
          <w:p>
            <w:pPr>
              <w:pStyle w:val="Table Style 2"/>
              <w:bidi w:val="0"/>
            </w:pPr>
            <w:r>
              <w:rPr>
                <w:rFonts w:ascii="Helvetica Neue" w:cs="Arial Unicode MS" w:hAnsi="Helvetica Neue" w:eastAsia="Arial Unicode MS"/>
              </w:rPr>
              <w:t xml:space="preserve">At the beginning of the session I read the children a book called </w:t>
            </w:r>
            <w:r>
              <w:rPr>
                <w:rFonts w:ascii="Helvetica Neue" w:cs="Arial Unicode MS" w:hAnsi="Helvetica Neue" w:eastAsia="Arial Unicode MS" w:hint="default"/>
              </w:rPr>
              <w:t>“</w:t>
            </w:r>
            <w:r>
              <w:rPr>
                <w:rFonts w:ascii="Helvetica Neue" w:cs="Arial Unicode MS" w:hAnsi="Helvetica Neue" w:eastAsia="Arial Unicode MS"/>
              </w:rPr>
              <w:t>a jar full of happiness</w:t>
            </w:r>
            <w:r>
              <w:rPr>
                <w:rFonts w:ascii="Helvetica Neue" w:cs="Arial Unicode MS" w:hAnsi="Helvetica Neue" w:eastAsia="Arial Unicode MS" w:hint="default"/>
              </w:rPr>
              <w:t xml:space="preserve">” </w:t>
            </w:r>
            <w:r>
              <w:rPr>
                <w:rFonts w:ascii="Helvetica Neue" w:cs="Arial Unicode MS" w:hAnsi="Helvetica Neue" w:eastAsia="Arial Unicode MS"/>
              </w:rPr>
              <w:t>we discussed what made us feel happy and why which links to the Health and Wellbeing and language literacy and Communication.</w:t>
            </w:r>
          </w:p>
          <w:p>
            <w:pPr>
              <w:pStyle w:val="Table Style 2"/>
              <w:bidi w:val="0"/>
            </w:pPr>
            <w:r>
              <w:rPr>
                <w:rFonts w:ascii="Helvetica Neue" w:cs="Arial Unicode MS" w:hAnsi="Helvetica Neue" w:eastAsia="Arial Unicode MS"/>
              </w:rPr>
              <w:t>I warmed the children up using jumping jacks, jogging, jumping and gallops. We then moved on to our dance moves, all the children chose a move that they feel expressed something their happy about and we added them all into one big dance routine.</w:t>
            </w:r>
          </w:p>
          <w:p>
            <w:pPr>
              <w:pStyle w:val="Table Style 2"/>
              <w:bidi w:val="0"/>
            </w:pPr>
            <w:r>
              <w:rPr>
                <w:rFonts w:ascii="Helvetica Neue" w:cs="Arial Unicode MS" w:hAnsi="Helvetica Neue" w:eastAsia="Arial Unicode MS"/>
              </w:rPr>
              <w:t>At the end of the session, we spoke about the importance of warming up and cooling down and it</w:t>
            </w:r>
            <w:r>
              <w:rPr>
                <w:rFonts w:ascii="Helvetica Neue" w:cs="Arial Unicode MS" w:hAnsi="Helvetica Neue" w:eastAsia="Arial Unicode MS" w:hint="default"/>
              </w:rPr>
              <w:t>’</w:t>
            </w:r>
            <w:r>
              <w:rPr>
                <w:rFonts w:ascii="Helvetica Neue" w:cs="Arial Unicode MS" w:hAnsi="Helvetica Neue" w:eastAsia="Arial Unicode MS"/>
              </w:rPr>
              <w:t>s affect on our muscles. We spoke about our heart rate, our appearances after exercise as well as how we were feeling afterwards. Which can all link to Science and Technology.</w:t>
            </w:r>
          </w:p>
        </w:tc>
      </w:tr>
      <w:tr>
        <w:tblPrEx>
          <w:shd w:val="clear" w:color="auto" w:fill="auto"/>
        </w:tblPrEx>
        <w:trPr>
          <w:trHeight w:val="240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have you learned?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I have learned that cross curricula can be implemented anywhere. In this case until I reflected upon the session I didn</w:t>
            </w:r>
            <w:r>
              <w:rPr>
                <w:rFonts w:ascii="Helvetica Neue" w:cs="Arial Unicode MS" w:hAnsi="Helvetica Neue" w:eastAsia="Arial Unicode MS" w:hint="default"/>
              </w:rPr>
              <w:t>’</w:t>
            </w:r>
            <w:r>
              <w:rPr>
                <w:rFonts w:ascii="Helvetica Neue" w:cs="Arial Unicode MS" w:hAnsi="Helvetica Neue" w:eastAsia="Arial Unicode MS"/>
              </w:rPr>
              <w:t>t realised how many areas of learning it was able to link to. Cross curricular sessions make the session more exciting for the learners as it</w:t>
            </w:r>
            <w:r>
              <w:rPr>
                <w:rFonts w:ascii="Helvetica Neue" w:cs="Arial Unicode MS" w:hAnsi="Helvetica Neue" w:eastAsia="Arial Unicode MS" w:hint="default"/>
              </w:rPr>
              <w:t>’</w:t>
            </w:r>
            <w:r>
              <w:rPr>
                <w:rFonts w:ascii="Helvetica Neue" w:cs="Arial Unicode MS" w:hAnsi="Helvetica Neue" w:eastAsia="Arial Unicode MS"/>
              </w:rPr>
              <w:t>s not just maths, it</w:t>
            </w:r>
            <w:r>
              <w:rPr>
                <w:rFonts w:ascii="Helvetica Neue" w:cs="Arial Unicode MS" w:hAnsi="Helvetica Neue" w:eastAsia="Arial Unicode MS" w:hint="default"/>
              </w:rPr>
              <w:t>’</w:t>
            </w:r>
            <w:r>
              <w:rPr>
                <w:rFonts w:ascii="Helvetica Neue" w:cs="Arial Unicode MS" w:hAnsi="Helvetica Neue" w:eastAsia="Arial Unicode MS"/>
              </w:rPr>
              <w:t>s not just science. It gives the children more opportunity to explore and dip deeper into things rather than focusing on one particular area of learning or carrying out two sessions which can be done in one.</w:t>
            </w:r>
          </w:p>
        </w:tc>
      </w:tr>
      <w:tr>
        <w:tblPrEx>
          <w:shd w:val="clear" w:color="auto" w:fill="auto"/>
        </w:tblPrEx>
        <w:trPr>
          <w:trHeight w:val="1921"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What next?</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Pr>
              <w:t>To develop my future practice, I would like to use more cross-curricular themes. During my time on placement I only feel as though I could implant it into 1 or 2 sessions due to the framework the school follows. However I will definitely use it in my own practice, however I will be specific with which session as sometimes it may be overwhelming and take away the main focus of the session.</w:t>
            </w:r>
          </w:p>
        </w:tc>
      </w:tr>
    </w:tbl>
    <w:p>
      <w:pPr>
        <w:pStyle w:val="Body"/>
        <w:bidi w:val="0"/>
      </w:pPr>
    </w:p>
    <w:p>
      <w:pPr>
        <w:pStyle w:val="Body"/>
        <w:bidi w:val="0"/>
      </w:pPr>
    </w:p>
    <w:p>
      <w:pPr>
        <w:pStyle w:val="Heading"/>
        <w:bidi w:val="0"/>
      </w:pPr>
    </w:p>
    <w:p>
      <w:pPr>
        <w:pStyle w:val="Body"/>
        <w:bidi w:val="0"/>
      </w:pPr>
    </w:p>
    <w:p>
      <w:pPr>
        <w:pStyle w:val="Heading"/>
        <w:bidi w:val="0"/>
      </w:pPr>
      <w:bookmarkStart w:name="_Toc1" w:id="1"/>
      <w:r>
        <w:rPr>
          <w:rFonts w:cs="Arial Unicode MS" w:eastAsia="Arial Unicode MS"/>
          <w:rtl w:val="0"/>
          <w:lang w:val="en-US"/>
        </w:rPr>
        <w:t>Part 2</w:t>
      </w:r>
      <w:bookmarkEnd w:id="1"/>
    </w:p>
    <w:p>
      <w:pPr>
        <w:pStyle w:val="Body"/>
        <w:bidi w:val="0"/>
      </w:pPr>
    </w:p>
    <w:p>
      <w:pPr>
        <w:pStyle w:val="Heading"/>
        <w:numPr>
          <w:ilvl w:val="0"/>
          <w:numId w:val="3"/>
        </w:numPr>
        <w:bidi w:val="0"/>
      </w:pPr>
      <w:bookmarkStart w:name="_Toc2" w:id="2"/>
      <w:r>
        <w:rPr>
          <w:rFonts w:cs="Arial Unicode MS" w:eastAsia="Arial Unicode MS"/>
          <w:rtl w:val="0"/>
          <w:lang w:val="en-US"/>
        </w:rPr>
        <w:t xml:space="preserve"> Introduction </w:t>
      </w:r>
      <w:bookmarkEnd w:id="2"/>
    </w:p>
    <w:p>
      <w:pPr>
        <w:pStyle w:val="Body"/>
        <w:bidi w:val="0"/>
      </w:pPr>
    </w:p>
    <w:p>
      <w:pPr>
        <w:pStyle w:val="Body"/>
        <w:bidi w:val="0"/>
      </w:pPr>
      <w:r>
        <w:rPr>
          <w:rtl w:val="0"/>
        </w:rPr>
        <w:t>The aim of this assignment is to critically reflect on how my professional practice has transformed in relation to planning, teaching and assessing. I will be focussing on 2 different pedagogical principles out of the 4 mentioned in part 1. Pedagogy is mostly known to be an approach or the theory of learning and how</w:t>
      </w:r>
      <w:r>
        <w:rPr>
          <w:rtl w:val="0"/>
        </w:rPr>
        <w:t>’</w:t>
      </w:r>
      <w:r>
        <w:rPr>
          <w:rtl w:val="0"/>
        </w:rPr>
        <w:t xml:space="preserve">s they influence our learners and their development. </w:t>
      </w:r>
      <w:r>
        <w:rPr>
          <w:rtl w:val="0"/>
        </w:rPr>
        <w:t>“</w:t>
      </w:r>
      <w:r>
        <w:rPr>
          <w:rtl w:val="0"/>
        </w:rPr>
        <w:t>Pedagogy is used to outline how the relevant knowledge and skills will be imparted in schools in Wales</w:t>
      </w:r>
      <w:r>
        <w:rPr>
          <w:rtl w:val="0"/>
        </w:rPr>
        <w:t xml:space="preserve">” </w:t>
      </w:r>
      <w:r>
        <w:rPr>
          <w:rtl w:val="0"/>
        </w:rPr>
        <w:t xml:space="preserve">(Twinkl,2022). Pedagogical principles are 12 are statements created by Professor Graham Donaldson, of which he believes if followed can support good teaching and learning. (Impact Wales, 2022) The principles are suggested to be </w:t>
      </w:r>
      <w:r>
        <w:rPr>
          <w:rtl w:val="0"/>
        </w:rPr>
        <w:t>“</w:t>
      </w:r>
      <w:r>
        <w:rPr>
          <w:rtl w:val="0"/>
        </w:rPr>
        <w:t>fundamental truths</w:t>
      </w:r>
      <w:r>
        <w:rPr>
          <w:rtl w:val="0"/>
        </w:rPr>
        <w:t xml:space="preserve">” </w:t>
      </w:r>
      <w:r>
        <w:rPr>
          <w:rtl w:val="0"/>
        </w:rPr>
        <w:t xml:space="preserve">or </w:t>
      </w:r>
      <w:r>
        <w:rPr>
          <w:rtl w:val="0"/>
        </w:rPr>
        <w:t>“</w:t>
      </w:r>
      <w:r>
        <w:rPr>
          <w:rtl w:val="0"/>
        </w:rPr>
        <w:t>propositions</w:t>
      </w:r>
      <w:r>
        <w:rPr>
          <w:rtl w:val="0"/>
        </w:rPr>
        <w:t xml:space="preserve">” </w:t>
      </w:r>
      <w:r>
        <w:rPr>
          <w:rtl w:val="0"/>
        </w:rPr>
        <w:t>in order to give guidance to teachers. The principles include:</w:t>
      </w:r>
    </w:p>
    <w:p>
      <w:pPr>
        <w:pStyle w:val="Body"/>
        <w:numPr>
          <w:ilvl w:val="0"/>
          <w:numId w:val="5"/>
        </w:numPr>
        <w:bidi w:val="0"/>
      </w:pPr>
      <w:r>
        <w:rPr>
          <w:rtl w:val="0"/>
        </w:rPr>
        <w:t>Focuses on the 4 purposes of the curriculum.</w:t>
      </w:r>
    </w:p>
    <w:p>
      <w:pPr>
        <w:pStyle w:val="Body"/>
        <w:numPr>
          <w:ilvl w:val="0"/>
          <w:numId w:val="5"/>
        </w:numPr>
        <w:bidi w:val="0"/>
      </w:pPr>
      <w:r>
        <w:rPr>
          <w:rtl w:val="0"/>
        </w:rPr>
        <w:t>Challenges pupils to sustain their efforts to reach high but achievable targets.</w:t>
      </w:r>
    </w:p>
    <w:p>
      <w:pPr>
        <w:pStyle w:val="Body"/>
        <w:numPr>
          <w:ilvl w:val="0"/>
          <w:numId w:val="5"/>
        </w:numPr>
        <w:bidi w:val="0"/>
      </w:pPr>
      <w:r>
        <w:rPr>
          <w:rtl w:val="0"/>
        </w:rPr>
        <w:t>Employs a broad repertoire of teaching approaches.</w:t>
      </w:r>
    </w:p>
    <w:p>
      <w:pPr>
        <w:pStyle w:val="Body"/>
        <w:numPr>
          <w:ilvl w:val="0"/>
          <w:numId w:val="5"/>
        </w:numPr>
        <w:bidi w:val="0"/>
      </w:pPr>
      <w:r>
        <w:rPr>
          <w:rtl w:val="0"/>
        </w:rPr>
        <w:t>Promotes problem solving, creative and critical thinking.</w:t>
      </w:r>
    </w:p>
    <w:p>
      <w:pPr>
        <w:pStyle w:val="Body"/>
        <w:numPr>
          <w:ilvl w:val="0"/>
          <w:numId w:val="5"/>
        </w:numPr>
        <w:bidi w:val="0"/>
      </w:pPr>
      <w:r>
        <w:rPr>
          <w:rtl w:val="0"/>
        </w:rPr>
        <w:t>Builds on previous knowledge and experience and engages pupils</w:t>
      </w:r>
      <w:r>
        <w:rPr>
          <w:rtl w:val="1"/>
        </w:rPr>
        <w:t xml:space="preserve">’ </w:t>
      </w:r>
      <w:r>
        <w:rPr>
          <w:rtl w:val="0"/>
        </w:rPr>
        <w:t>interest.</w:t>
      </w:r>
    </w:p>
    <w:p>
      <w:pPr>
        <w:pStyle w:val="Body"/>
        <w:numPr>
          <w:ilvl w:val="0"/>
          <w:numId w:val="5"/>
        </w:numPr>
        <w:bidi w:val="0"/>
      </w:pPr>
      <w:r>
        <w:rPr>
          <w:rtl w:val="0"/>
        </w:rPr>
        <w:t>Creates authentic contexts for learning.</w:t>
      </w:r>
    </w:p>
    <w:p>
      <w:pPr>
        <w:pStyle w:val="Body"/>
        <w:numPr>
          <w:ilvl w:val="0"/>
          <w:numId w:val="5"/>
        </w:numPr>
        <w:bidi w:val="0"/>
      </w:pPr>
      <w:r>
        <w:rPr>
          <w:rtl w:val="0"/>
        </w:rPr>
        <w:t>Employs assessment for learning principles.</w:t>
      </w:r>
    </w:p>
    <w:p>
      <w:pPr>
        <w:pStyle w:val="Body"/>
        <w:numPr>
          <w:ilvl w:val="0"/>
          <w:numId w:val="5"/>
        </w:numPr>
        <w:bidi w:val="0"/>
      </w:pPr>
      <w:r>
        <w:rPr>
          <w:rtl w:val="0"/>
        </w:rPr>
        <w:t>Makes connections within and across Areas of Learning and Experience.</w:t>
      </w:r>
    </w:p>
    <w:p>
      <w:pPr>
        <w:pStyle w:val="Body"/>
        <w:numPr>
          <w:ilvl w:val="0"/>
          <w:numId w:val="5"/>
        </w:numPr>
        <w:bidi w:val="0"/>
      </w:pPr>
      <w:r>
        <w:rPr>
          <w:rtl w:val="0"/>
        </w:rPr>
        <w:t>Reinforces Cross-curriculum responsibilities including literacy, numeracy and digital competence.</w:t>
      </w:r>
    </w:p>
    <w:p>
      <w:pPr>
        <w:pStyle w:val="Body"/>
        <w:numPr>
          <w:ilvl w:val="0"/>
          <w:numId w:val="5"/>
        </w:numPr>
        <w:bidi w:val="0"/>
      </w:pPr>
      <w:r>
        <w:rPr>
          <w:rtl w:val="0"/>
        </w:rPr>
        <w:t>Encourages pupils to take ownership of their own learning.</w:t>
      </w:r>
    </w:p>
    <w:p>
      <w:pPr>
        <w:pStyle w:val="Body"/>
        <w:numPr>
          <w:ilvl w:val="0"/>
          <w:numId w:val="5"/>
        </w:numPr>
        <w:bidi w:val="0"/>
      </w:pPr>
      <w:r>
        <w:rPr>
          <w:rtl w:val="0"/>
        </w:rPr>
        <w:t>Supports social and emotional development and positive relationships.</w:t>
      </w:r>
    </w:p>
    <w:p>
      <w:pPr>
        <w:pStyle w:val="Body"/>
        <w:numPr>
          <w:ilvl w:val="0"/>
          <w:numId w:val="5"/>
        </w:numPr>
        <w:bidi w:val="0"/>
      </w:pPr>
      <w:r>
        <w:rPr>
          <w:rtl w:val="0"/>
          <w:lang w:val="fr-FR"/>
        </w:rPr>
        <w:t>Encourages collaboration.</w:t>
      </w:r>
    </w:p>
    <w:p>
      <w:pPr>
        <w:pStyle w:val="Body"/>
        <w:jc w:val="right"/>
      </w:pPr>
      <w:r>
        <w:rPr>
          <w:rtl w:val="0"/>
          <w:lang w:val="en-US"/>
        </w:rPr>
        <w:t>(impact Wales, 2022)</w:t>
      </w:r>
    </w:p>
    <w:p>
      <w:pPr>
        <w:pStyle w:val="Body"/>
        <w:bidi w:val="0"/>
      </w:pPr>
      <w:r>
        <w:rPr>
          <w:rtl w:val="0"/>
        </w:rPr>
        <w:t>According to The Welsh Government (2022) Pedagogical Standards are important in order to help learners develop skills such as creativity, effective communication, meta cognitive skills and problem solving skills; all of which will allow our learners to become well rounded individuals. As Student Teachers we are required to evidence how we meet all of the principles in order to be the best teachers we can be, ensuring that we are meeting our learners needs in order for them to develop. I have chosen to focus on real life authentic contexts and assessment for learning which I will discuss and justify how I can develop in these areas in my future practice.</w:t>
      </w:r>
    </w:p>
    <w:p>
      <w:pPr>
        <w:pStyle w:val="Heading"/>
        <w:numPr>
          <w:ilvl w:val="0"/>
          <w:numId w:val="3"/>
        </w:numPr>
        <w:bidi w:val="0"/>
      </w:pPr>
      <w:bookmarkStart w:name="_Toc3" w:id="3"/>
      <w:r>
        <w:rPr>
          <w:rFonts w:cs="Arial Unicode MS" w:eastAsia="Arial Unicode MS"/>
          <w:rtl w:val="0"/>
          <w:lang w:val="en-US"/>
        </w:rPr>
        <w:t>Assessment for Learning</w:t>
      </w:r>
      <w:bookmarkEnd w:id="3"/>
    </w:p>
    <w:p>
      <w:pPr>
        <w:pStyle w:val="Body"/>
        <w:bidi w:val="0"/>
      </w:pPr>
    </w:p>
    <w:p>
      <w:pPr>
        <w:pStyle w:val="Body"/>
        <w:bidi w:val="0"/>
      </w:pPr>
      <w:r>
        <w:rPr>
          <w:rtl w:val="0"/>
        </w:rPr>
        <w:t xml:space="preserve">The official pedagogical principle is number 7 </w:t>
      </w:r>
      <w:r>
        <w:rPr>
          <w:rtl w:val="0"/>
        </w:rPr>
        <w:t>“</w:t>
      </w:r>
      <w:r>
        <w:rPr>
          <w:rtl w:val="0"/>
        </w:rPr>
        <w:t>means employing assessment for learning principles</w:t>
      </w:r>
      <w:r>
        <w:rPr>
          <w:rtl w:val="0"/>
        </w:rPr>
        <w:t xml:space="preserve">” </w:t>
      </w:r>
      <w:r>
        <w:rPr>
          <w:rtl w:val="0"/>
        </w:rPr>
        <w:t>(Welsh Government, 2022). Assessment for learning (AFL)is a process which is vital to the education process, it</w:t>
      </w:r>
      <w:r>
        <w:rPr>
          <w:rtl w:val="0"/>
        </w:rPr>
        <w:t>’</w:t>
      </w:r>
      <w:r>
        <w:rPr>
          <w:rtl w:val="0"/>
        </w:rPr>
        <w:t xml:space="preserve">s used to measure how much the learners know on a particular topic or after a session. (CERI, 2008). According to Brown (1990) cited by Yambi (2018) assessment for learning (AFL) is used to identify both strengths and weaknesses in order to support learners where needed. NFER (N.D) discuss that Assessment for Learning should be </w:t>
      </w:r>
      <w:r>
        <w:rPr>
          <w:rtl w:val="0"/>
        </w:rPr>
        <w:t>“</w:t>
      </w:r>
      <w:r>
        <w:rPr>
          <w:rtl w:val="0"/>
        </w:rPr>
        <w:t>embedded into day-to-day classroom practice</w:t>
      </w:r>
      <w:r>
        <w:rPr>
          <w:rtl w:val="0"/>
        </w:rPr>
        <w:t xml:space="preserve">” </w:t>
      </w:r>
      <w:r>
        <w:rPr>
          <w:rtl w:val="0"/>
        </w:rPr>
        <w:t>in order to improve pupil learning. Strategies which may be effective forms of AFL include, effective questioning, feedback, peer and self assessment as well as summative tests. (NFER, N.D)</w:t>
      </w:r>
    </w:p>
    <w:p>
      <w:pPr>
        <w:pStyle w:val="Body"/>
        <w:bidi w:val="0"/>
      </w:pPr>
      <w:r>
        <w:rPr>
          <w:rtl w:val="0"/>
        </w:rPr>
        <w:t>During my time on placement, I  planned for AFL mainly as a plenary at the end of the session to see where the children are at. I used strategies such as whiteboards and lolly pop sticks and interactive games, I do feel that I used the strategies well and that I had become more confident in implementing AFL in planning. I used these strategies at the end of almost every session as well as for a warm up game to begin new sessions. This is effective enough however the information I gain as a teacher from using AFL is so beneficial I really would like to develop it further and develop new effective strategies.</w:t>
      </w:r>
    </w:p>
    <w:p>
      <w:pPr>
        <w:pStyle w:val="Body"/>
        <w:bidi w:val="0"/>
      </w:pPr>
      <w:r>
        <w:rPr>
          <w:rtl w:val="0"/>
        </w:rPr>
        <w:t>To develop my future practice and my use of Assessment for Learning, I feel that I should try to include it throughout the whole sessions rather than only within the plenary. According to Jones (2005) AFL should be used throughout the session, at each point of learning. The teacher should set tasks and ask questions in order to make judgements on the learners knowledge based on their responses to the activities and the dialogue. If the AFL is on going then at the end of the sessions teachers can think about whether the children progressed in that session, whether it made a difference and it</w:t>
      </w:r>
      <w:r>
        <w:rPr>
          <w:rtl w:val="0"/>
        </w:rPr>
        <w:t>’</w:t>
      </w:r>
      <w:r>
        <w:rPr>
          <w:rtl w:val="0"/>
        </w:rPr>
        <w:t xml:space="preserve">s overall effectiveness. This can also support teachers to evaluate the session and their own practice to see what they could do differently to support learners progression. (Jones, 2005) In order to continue to develop the ongoing use of Assessment for Learning, NFER (2022) discuss that one of the 8 key features of AFL is </w:t>
      </w:r>
      <w:r>
        <w:rPr>
          <w:rtl w:val="0"/>
        </w:rPr>
        <w:t>“</w:t>
      </w:r>
      <w:r>
        <w:rPr>
          <w:rtl w:val="0"/>
        </w:rPr>
        <w:t>to create an environment in which pupils can learn from each other</w:t>
      </w:r>
      <w:r>
        <w:rPr>
          <w:rtl w:val="0"/>
        </w:rPr>
        <w:t xml:space="preserve">” </w:t>
      </w:r>
      <w:r>
        <w:rPr>
          <w:rtl w:val="0"/>
        </w:rPr>
        <w:t>therefore it is important that I create this environment to ensure my AFL strategies can be effective. I will do this by explaining to the children that it</w:t>
      </w:r>
      <w:r>
        <w:rPr>
          <w:rtl w:val="0"/>
        </w:rPr>
        <w:t>’</w:t>
      </w:r>
      <w:r>
        <w:rPr>
          <w:rtl w:val="0"/>
        </w:rPr>
        <w:t xml:space="preserve">s okay to get help and support from friends as well as the teacher. I may introduce </w:t>
      </w:r>
      <w:r>
        <w:rPr>
          <w:rtl w:val="0"/>
        </w:rPr>
        <w:t>“</w:t>
      </w:r>
      <w:r>
        <w:rPr>
          <w:rtl w:val="0"/>
        </w:rPr>
        <w:t>phone a friend</w:t>
      </w:r>
      <w:r>
        <w:rPr>
          <w:rtl w:val="0"/>
        </w:rPr>
        <w:t xml:space="preserve">” </w:t>
      </w:r>
      <w:r>
        <w:rPr>
          <w:rtl w:val="0"/>
        </w:rPr>
        <w:t xml:space="preserve">concept where the children choose a friend for support, as a teacher I can see if  the learner is unsure if something and also I can assess the friend they </w:t>
      </w:r>
      <w:r>
        <w:rPr>
          <w:rtl w:val="0"/>
        </w:rPr>
        <w:t>“</w:t>
      </w:r>
      <w:r>
        <w:rPr>
          <w:rtl w:val="0"/>
        </w:rPr>
        <w:t>phone for help</w:t>
      </w:r>
      <w:r>
        <w:rPr>
          <w:rtl w:val="0"/>
        </w:rPr>
        <w:t xml:space="preserve">”  </w:t>
      </w:r>
      <w:r>
        <w:rPr>
          <w:rtl w:val="0"/>
        </w:rPr>
        <w:t>in the same way. Another key feature of AFL discussed by NFER (2022) is that children need time for learning to be absorbed. This then goes against the idea of using AFL continuously as the children may not have fully retained the information yet. So I feel although continuous strategies are effective it</w:t>
      </w:r>
      <w:r>
        <w:rPr>
          <w:rtl w:val="0"/>
        </w:rPr>
        <w:t>’</w:t>
      </w:r>
      <w:r>
        <w:rPr>
          <w:rtl w:val="0"/>
        </w:rPr>
        <w:t xml:space="preserve">s important to recap and re asses possibly as a warm up before a different lesson to really see if it has sunk in or not over time. Ian Clark (2008) recommends using </w:t>
      </w:r>
      <w:r>
        <w:rPr>
          <w:rtl w:val="0"/>
        </w:rPr>
        <w:t>“</w:t>
      </w:r>
      <w:r>
        <w:rPr>
          <w:rtl w:val="0"/>
        </w:rPr>
        <w:t>think, pair, square</w:t>
      </w:r>
      <w:r>
        <w:rPr>
          <w:rtl w:val="0"/>
        </w:rPr>
        <w:t xml:space="preserve">” </w:t>
      </w:r>
      <w:r>
        <w:rPr>
          <w:rtl w:val="0"/>
        </w:rPr>
        <w:t>as an assessment for Learning strategy; letting the children to think for themselves, discuss with a partner and then as a group. Children are able to learn from each other and share their opinions and thoughts. This is a strategy I would like to include in my practice due to it giving the children their own voices as well as giving them support from other children. Clark (2008) also discusses how peer assessment is very effective tool of AFL, this is a strategy I haven</w:t>
      </w:r>
      <w:r>
        <w:rPr>
          <w:rtl w:val="0"/>
        </w:rPr>
        <w:t>’</w:t>
      </w:r>
      <w:r>
        <w:rPr>
          <w:rtl w:val="0"/>
        </w:rPr>
        <w:t>t yet tried in the classroom, but I feel that it can be an effective tool. This is because it</w:t>
      </w:r>
      <w:r>
        <w:rPr>
          <w:rtl w:val="0"/>
        </w:rPr>
        <w:t>’</w:t>
      </w:r>
      <w:r>
        <w:rPr>
          <w:rtl w:val="0"/>
        </w:rPr>
        <w:t>s one thing knowing the information and it</w:t>
      </w:r>
      <w:r>
        <w:rPr>
          <w:rtl w:val="0"/>
        </w:rPr>
        <w:t>’</w:t>
      </w:r>
      <w:r>
        <w:rPr>
          <w:rtl w:val="0"/>
        </w:rPr>
        <w:t xml:space="preserve">s another being able to understand enough to give someone else feedback. So as a teacher you can see into lots of depth of the learners knowledge. Spenceley (N.D) discuss that both the students and teachers need to become aware of where they are at the start of the session, what their aiming for and how to get there. This suggests that teachers should share success criteria and with the learners and tick off the targets as they go along. The children will know what they need to do to get there  and whether they have or not. NFER (2022) Belize that this could be motivating for the learners as well as an  effective tool for their knowledge development. While being on placement I have success criteria and learning objectives for myself however I have never shared this as such with the children. This is a strategy I would like to test to see whether the children understand the criteria and will actually enjoy referring back to it. Possibly the motivation can keep them so engaged that the information retains faster. CFBT Education Trust (2013) discuss that an effective AFL strategy is the formative use of summative assessment. This is where children would take tests or exam to be judged on their knowledge. In some cases this is an easy straightforward strategy where results can be put on graphs and be generalised. Every child gets the same test and you can see what knowledge they have clearly. However </w:t>
      </w:r>
      <w:r>
        <w:rPr>
          <w:rtl w:val="0"/>
        </w:rPr>
        <w:t>CFBT Education Trust (2013)</w:t>
      </w:r>
      <w:r>
        <w:rPr>
          <w:rtl w:val="0"/>
        </w:rPr>
        <w:t xml:space="preserve"> also mention that the pressure it can put on learners can result in them not performing to their true potential, which doesn</w:t>
      </w:r>
      <w:r>
        <w:rPr>
          <w:rtl w:val="0"/>
        </w:rPr>
        <w:t>’</w:t>
      </w:r>
      <w:r>
        <w:rPr>
          <w:rtl w:val="0"/>
        </w:rPr>
        <w:t>t give teachers a true insight into the learners struggles or areas needing support. Some children cannot sit still long enough to carry out an assessment of this nature. I do feel that I would like to use this method of AFL but in a more relaxed environment, not making a fuss about the fact that it</w:t>
      </w:r>
      <w:r>
        <w:rPr>
          <w:rtl w:val="0"/>
        </w:rPr>
        <w:t>’</w:t>
      </w:r>
      <w:r>
        <w:rPr>
          <w:rtl w:val="0"/>
        </w:rPr>
        <w:t xml:space="preserve">s a test, no specific data, just for the teachers to see where their pupils are at. </w:t>
      </w:r>
    </w:p>
    <w:p>
      <w:pPr>
        <w:pStyle w:val="Body"/>
        <w:bidi w:val="0"/>
      </w:pPr>
      <w:r>
        <w:rPr>
          <w:rtl w:val="0"/>
        </w:rPr>
        <w:t>Overall, there are lots of ways to develop my practice in terms of Assessment for Learning and I am looking forward to implementing the strategies in my future practice.</w:t>
      </w:r>
    </w:p>
    <w:p>
      <w:pPr>
        <w:pStyle w:val="Body"/>
        <w:bidi w:val="0"/>
      </w:pPr>
    </w:p>
    <w:p>
      <w:pPr>
        <w:pStyle w:val="Heading"/>
        <w:numPr>
          <w:ilvl w:val="0"/>
          <w:numId w:val="3"/>
        </w:numPr>
        <w:bidi w:val="0"/>
      </w:pPr>
      <w:bookmarkStart w:name="_Toc4" w:id="4"/>
      <w:r>
        <w:rPr>
          <w:rFonts w:cs="Arial Unicode MS" w:eastAsia="Arial Unicode MS"/>
          <w:rtl w:val="0"/>
          <w:lang w:val="en-US"/>
        </w:rPr>
        <w:t xml:space="preserve">Real Life Authentic Contexts </w:t>
      </w:r>
      <w:bookmarkEnd w:id="4"/>
    </w:p>
    <w:p>
      <w:pPr>
        <w:pStyle w:val="Body"/>
        <w:bidi w:val="0"/>
      </w:pPr>
      <w:r>
        <w:rPr>
          <w:rtl w:val="0"/>
        </w:rPr>
        <w:t xml:space="preserve">The official pedagogical principle is number 6 </w:t>
      </w:r>
      <w:r>
        <w:rPr>
          <w:rtl w:val="0"/>
        </w:rPr>
        <w:t>“</w:t>
      </w:r>
      <w:r>
        <w:rPr>
          <w:rtl w:val="0"/>
        </w:rPr>
        <w:t>creates authentic contexts for learning</w:t>
      </w:r>
      <w:r>
        <w:rPr>
          <w:rtl w:val="0"/>
        </w:rPr>
        <w:t xml:space="preserve">” </w:t>
      </w:r>
      <w:r>
        <w:rPr>
          <w:rtl w:val="0"/>
        </w:rPr>
        <w:t xml:space="preserve">(Welsh Government, 2022)  Real life authentic contexts means to give learners opportunities to have experiences related to the real world. This may using real world examples or creating scenarios of what may be the same/similar to real life. As young children they often use their imagination and everything is magical and exciting. However, how will they know how to purchase something? How will they understand that they need wait in a que? Cox (2021) discusses the research to support authenticity using real world contexts, she believes that the lessons can become more meaningful, keep the student engaged and allow learners to be </w:t>
      </w:r>
      <w:r>
        <w:rPr>
          <w:rtl w:val="0"/>
        </w:rPr>
        <w:t>“</w:t>
      </w:r>
      <w:r>
        <w:rPr>
          <w:rtl w:val="0"/>
        </w:rPr>
        <w:t>more aware of the choices they could make in society.</w:t>
      </w:r>
      <w:r>
        <w:rPr>
          <w:rtl w:val="0"/>
        </w:rPr>
        <w:t xml:space="preserve">” </w:t>
      </w:r>
      <w:r>
        <w:rPr>
          <w:rtl w:val="0"/>
        </w:rPr>
        <w:t>Estyn (2018) discuss that real life authentic contexts involve giving the children real equipment, real problems they need to solve, tasks relevant to the real world, relating to the news and current affairs and challenges the world is facing. This pedagogical principle is to ensure children are prepared for society, can understand what is happening in the world and our society involves.</w:t>
      </w:r>
    </w:p>
    <w:p>
      <w:pPr>
        <w:pStyle w:val="Body"/>
        <w:bidi w:val="0"/>
      </w:pPr>
      <w:r>
        <w:rPr>
          <w:rtl w:val="0"/>
        </w:rPr>
        <w:t>During my time on placement, I was able to involve related my planning to principle 6 on a few occasions. I set up a shop to learn about money, using a role play area, toy food and real money. I planned lessons based on Chinese New Year and spoke about ongoing COVID-19 restrictions. Looking at my first year of practice I feel that I</w:t>
      </w:r>
      <w:r>
        <w:rPr>
          <w:rtl w:val="0"/>
        </w:rPr>
        <w:t>’</w:t>
      </w:r>
      <w:r>
        <w:rPr>
          <w:rtl w:val="0"/>
        </w:rPr>
        <w:t>ve gone from not realising it</w:t>
      </w:r>
      <w:r>
        <w:rPr>
          <w:rtl w:val="0"/>
        </w:rPr>
        <w:t>’</w:t>
      </w:r>
      <w:r>
        <w:rPr>
          <w:rtl w:val="0"/>
        </w:rPr>
        <w:t>s importance, to using it in the classroom, to wanting to develop and further implement it in my practice.</w:t>
      </w:r>
    </w:p>
    <w:p>
      <w:pPr>
        <w:pStyle w:val="Body"/>
        <w:bidi w:val="0"/>
      </w:pPr>
      <w:r>
        <w:rPr>
          <w:rtl w:val="0"/>
        </w:rPr>
        <w:t>To develop my practice I feel that I need implement more strategies to be able to meet this pedagogical principle. I feel that this is an important principle as it prepares the children for the real words, which is something I feel that I personally didn</w:t>
      </w:r>
      <w:r>
        <w:rPr>
          <w:rtl w:val="0"/>
        </w:rPr>
        <w:t>’</w:t>
      </w:r>
      <w:r>
        <w:rPr>
          <w:rtl w:val="0"/>
        </w:rPr>
        <w:t xml:space="preserve">t experience a lot of during my primary school years. Estyn (2018) suggests that providing learners with real life authentic contexts can stimulate rich responses in their use of language as well as their understanding and can enable them to develop active and accurate imaginations. Estyn (2018) suggests to use all real items within role play experiences. So to develop my practice further, next time I will make use of real foods in which the children </w:t>
      </w:r>
      <w:r>
        <w:rPr>
          <w:rtl w:val="0"/>
        </w:rPr>
        <w:t>‘</w:t>
      </w:r>
      <w:r>
        <w:rPr>
          <w:rtl w:val="0"/>
        </w:rPr>
        <w:t>purchase</w:t>
      </w:r>
      <w:r>
        <w:rPr>
          <w:rtl w:val="0"/>
        </w:rPr>
        <w:t>’</w:t>
      </w:r>
      <w:r>
        <w:rPr>
          <w:rtl w:val="0"/>
        </w:rPr>
        <w:t xml:space="preserve">. All other props such as money and purses were real so using the food would enhance the learning even further; what would be even better was if the children could be taken on a trip to a supermarket for them to really understand how it works, as technology is advancing, payments are advancing. They could be shown the self checkouts, how do use debit cards, keeping money safe and how expensive food is to buy. Cox (2021) mentions that another way to relate to the real world would be through reading/watching the news, she believe that </w:t>
      </w:r>
      <w:r>
        <w:rPr>
          <w:rtl w:val="0"/>
        </w:rPr>
        <w:t xml:space="preserve">“ </w:t>
      </w:r>
      <w:r>
        <w:rPr>
          <w:rtl w:val="0"/>
        </w:rPr>
        <w:t>there will always be something in the news that you can find to connect to what your teaching</w:t>
      </w:r>
      <w:r>
        <w:rPr>
          <w:rtl w:val="0"/>
        </w:rPr>
        <w:t>”</w:t>
      </w:r>
      <w:r>
        <w:rPr>
          <w:rtl w:val="0"/>
        </w:rPr>
        <w:t>. However depending on the student age and ability this may not be appropriate for them, it</w:t>
      </w:r>
      <w:r>
        <w:rPr>
          <w:rtl w:val="0"/>
        </w:rPr>
        <w:t>’</w:t>
      </w:r>
      <w:r>
        <w:rPr>
          <w:rtl w:val="0"/>
        </w:rPr>
        <w:t>s could be distressing or they may not understand. To develop my practice I would like to include the use of the news but possibly in a child friendly form, such as the news round or to make sure I check that the article/video is suitable before showing the children. Another strategy of implementing real life contexts may be to invite guest speakers, Cox (2021) believe that the speakers can give better insight into a topic better than article or textbook can. I feel that this is down to the engagement levels and meeting someone nee can be so exciting for the learners. Hansen (2000) suggests that giving learners real life authentic experience can give their learning meaning. It can help them understand why they need to learn maths or why they need to know about science. This can also motivate them to want to learn as they feel there is a reason, they</w:t>
      </w:r>
      <w:r>
        <w:rPr>
          <w:rtl w:val="0"/>
        </w:rPr>
        <w:t>’</w:t>
      </w:r>
      <w:r>
        <w:rPr>
          <w:rtl w:val="0"/>
        </w:rPr>
        <w:t>ll be more engage and the lessons will link with real life which can help the children understand better. To develop my future practice I would like to try and implement all of these strategies into my teaching and planning, in order for the children to get the best possible experiences. Cox (2021) believes that these experiences should be given from as early as possible, prepare them for the real world, allowing them to know what to expect as they</w:t>
      </w:r>
      <w:r>
        <w:rPr>
          <w:rtl w:val="0"/>
        </w:rPr>
        <w:t>’</w:t>
      </w:r>
      <w:r>
        <w:rPr>
          <w:rtl w:val="0"/>
        </w:rPr>
        <w:t>re growing up. Some families aren</w:t>
      </w:r>
      <w:r>
        <w:rPr>
          <w:rtl w:val="0"/>
        </w:rPr>
        <w:t>’</w:t>
      </w:r>
      <w:r>
        <w:rPr>
          <w:rtl w:val="0"/>
        </w:rPr>
        <w:t>t</w:t>
      </w:r>
      <w:r>
        <w:rPr>
          <w:rtl w:val="0"/>
        </w:rPr>
        <w:t xml:space="preserve">’ </w:t>
      </w:r>
      <w:r>
        <w:rPr>
          <w:rtl w:val="0"/>
        </w:rPr>
        <w:t>able to give the children the experiences they need, so as a teacher I</w:t>
      </w:r>
      <w:r>
        <w:rPr>
          <w:rtl w:val="0"/>
        </w:rPr>
        <w:t>’</w:t>
      </w:r>
      <w:r>
        <w:rPr>
          <w:rtl w:val="0"/>
        </w:rPr>
        <w:t>d want to take the children on trips, invite guest speakers, show them the real world and how we need to live in it. This can be daunting and you may wonder whether the children are old enough to learn about certain things, which is true but in my future practice I will ensure that it</w:t>
      </w:r>
      <w:r>
        <w:rPr>
          <w:rtl w:val="0"/>
        </w:rPr>
        <w:t>’</w:t>
      </w:r>
      <w:r>
        <w:rPr>
          <w:rtl w:val="0"/>
        </w:rPr>
        <w:t>s all suitable for their ages, only show them what is needed for that moment in time. Estyn (2018) believes that by giving learner real life experiences, it can support the development of the children</w:t>
      </w:r>
      <w:r>
        <w:rPr>
          <w:rtl w:val="0"/>
        </w:rPr>
        <w:t>’</w:t>
      </w:r>
      <w:r>
        <w:rPr>
          <w:rtl w:val="0"/>
        </w:rPr>
        <w:t>s maturity and independence, they</w:t>
      </w:r>
      <w:r>
        <w:rPr>
          <w:rtl w:val="0"/>
        </w:rPr>
        <w:t>’</w:t>
      </w:r>
      <w:r>
        <w:rPr>
          <w:rtl w:val="0"/>
        </w:rPr>
        <w:t>ll be aware of the world around them and this is something that I want for the children in my class.</w:t>
      </w:r>
    </w:p>
    <w:p>
      <w:pPr>
        <w:pStyle w:val="Body"/>
        <w:bidi w:val="0"/>
      </w:pPr>
      <w:r>
        <w:rPr>
          <w:rtl w:val="0"/>
        </w:rPr>
        <w:t>Overall, I would say that I definitely will be doing my best to develop this principle further and implement it as much as possible in my future practice.</w:t>
      </w:r>
    </w:p>
    <w:p>
      <w:pPr>
        <w:pStyle w:val="Body"/>
        <w:bidi w:val="0"/>
      </w:pPr>
    </w:p>
    <w:p>
      <w:pPr>
        <w:pStyle w:val="Heading"/>
        <w:numPr>
          <w:ilvl w:val="0"/>
          <w:numId w:val="3"/>
        </w:numPr>
        <w:bidi w:val="0"/>
      </w:pPr>
      <w:bookmarkStart w:name="_Toc5" w:id="5"/>
      <w:r>
        <w:rPr>
          <w:rFonts w:cs="Arial Unicode MS" w:eastAsia="Arial Unicode MS"/>
          <w:rtl w:val="0"/>
          <w:lang w:val="en-US"/>
        </w:rPr>
        <w:t xml:space="preserve">Conclusion </w:t>
      </w:r>
      <w:bookmarkEnd w:id="5"/>
    </w:p>
    <w:p>
      <w:pPr>
        <w:pStyle w:val="Body"/>
        <w:bidi w:val="0"/>
      </w:pPr>
    </w:p>
    <w:p>
      <w:pPr>
        <w:pStyle w:val="Body"/>
        <w:bidi w:val="0"/>
      </w:pPr>
      <w:r>
        <w:rPr>
          <w:rtl w:val="0"/>
        </w:rPr>
        <w:t>Overall I feel that the pedagogical principles believe that in terms of planning, teaching and assessing my teaching has definitely transformed. Looking back at myself during my first year and comparing it to now, I feel as though I have come along way. As teachers, we learn, develop and transform more and more. There</w:t>
      </w:r>
      <w:r>
        <w:rPr>
          <w:rtl w:val="0"/>
        </w:rPr>
        <w:t>’</w:t>
      </w:r>
      <w:r>
        <w:rPr>
          <w:rtl w:val="0"/>
        </w:rPr>
        <w:t>s always something to improve on or other strategies to try out. In terms of Assessment for Learning, the main for development would be to adopt a range of different strategies as well as to implement them more often throughout the school day and remembering to give the children time to digest the information before coming to a solid conclusion on their knowledge. Looking at real life  authentic contexts, the main goal here is to continue to implement it throughout my practice and ensure the session are as real life as possible, e.g. using real money, using real foods. Moving forward I will continue to develop all 12 pedagogical principles even further and I cannot wait to get stuck in as an Newly Qualified Teacher.</w:t>
      </w:r>
    </w:p>
    <w:p>
      <w:pPr>
        <w:pStyle w:val="Body"/>
        <w:bidi w:val="0"/>
      </w:pPr>
    </w:p>
    <w:p>
      <w:pPr>
        <w:pStyle w:val="Heading"/>
        <w:bidi w:val="0"/>
      </w:pPr>
      <w:bookmarkStart w:name="_Toc6" w:id="6"/>
      <w:r>
        <w:rPr>
          <w:rFonts w:cs="Arial Unicode MS" w:eastAsia="Arial Unicode MS"/>
          <w:rtl w:val="0"/>
          <w:lang w:val="en-US"/>
        </w:rPr>
        <w:t xml:space="preserve">References </w:t>
      </w:r>
      <w:bookmarkEnd w:id="6"/>
    </w:p>
    <w:p>
      <w:pPr>
        <w:pStyle w:val="Body"/>
        <w:bidi w:val="0"/>
      </w:pPr>
    </w:p>
    <w:p>
      <w:pPr>
        <w:pStyle w:val="Body"/>
        <w:bidi w:val="0"/>
      </w:pPr>
      <w:r>
        <w:rPr>
          <w:rtl w:val="0"/>
        </w:rPr>
        <w:t xml:space="preserve"> </w:t>
      </w:r>
      <w:r>
        <w:rPr>
          <w:rtl w:val="0"/>
        </w:rPr>
        <w:t>A</w:t>
      </w:r>
      <w:r>
        <w:rPr>
          <w:i w:val="1"/>
          <w:iCs w:val="1"/>
          <w:rtl w:val="0"/>
          <w:lang w:val="en-US"/>
        </w:rPr>
        <w:t>ssessment for learning</w:t>
      </w:r>
      <w:r>
        <w:rPr>
          <w:i w:val="1"/>
          <w:iCs w:val="1"/>
          <w:rtl w:val="0"/>
          <w:lang w:val="en-US"/>
        </w:rPr>
        <w:t xml:space="preserve"> (2013)</w:t>
      </w:r>
      <w:r>
        <w:rPr>
          <w:i w:val="1"/>
          <w:iCs w:val="1"/>
          <w:rtl w:val="0"/>
          <w:lang w:val="en-US"/>
        </w:rPr>
        <w:t>: effects and impact</w:t>
      </w:r>
      <w:r>
        <w:rPr>
          <w:rtl w:val="0"/>
        </w:rPr>
        <w:t>. [ebook] Education Development Trust (CFBT). Available at: &lt;https://www.educationdevelopmenttrust.com/EducationDevelopmentTrust/files/5a/5a6d6203-ec49-4d33-9c5d-42c188184807.pdf&gt; [Accessed 1 April 2022].</w:t>
      </w:r>
    </w:p>
    <w:p>
      <w:pPr>
        <w:pStyle w:val="Body"/>
        <w:bidi w:val="0"/>
      </w:pPr>
    </w:p>
    <w:p>
      <w:pPr>
        <w:pStyle w:val="Body"/>
        <w:bidi w:val="0"/>
      </w:pPr>
      <w:r>
        <w:rPr>
          <w:rtl w:val="0"/>
        </w:rPr>
        <w:t xml:space="preserve">Clark, I., </w:t>
      </w:r>
      <w:r>
        <w:rPr>
          <w:rtl w:val="0"/>
        </w:rPr>
        <w:t>(</w:t>
      </w:r>
      <w:r>
        <w:rPr>
          <w:rtl w:val="0"/>
        </w:rPr>
        <w:t>2008</w:t>
      </w:r>
      <w:r>
        <w:rPr>
          <w:rtl w:val="0"/>
        </w:rPr>
        <w:t>)</w:t>
      </w:r>
      <w:r>
        <w:rPr>
          <w:rtl w:val="0"/>
        </w:rPr>
        <w:t xml:space="preserve">. </w:t>
      </w:r>
      <w:r>
        <w:rPr>
          <w:i w:val="1"/>
          <w:iCs w:val="1"/>
          <w:rtl w:val="0"/>
          <w:lang w:val="en-US"/>
        </w:rPr>
        <w:t>Assessment is for Learning: Formative Assessment and Positive Learning Interactions</w:t>
      </w:r>
      <w:r>
        <w:rPr>
          <w:rtl w:val="0"/>
        </w:rPr>
        <w:t>. [online] Files.eric.ed.gov. Available at: &lt;https://files.eric.ed.gov/fulltext/EJ902994.pdf&gt; [Accessed 1 April 2022].</w:t>
      </w:r>
    </w:p>
    <w:p>
      <w:pPr>
        <w:pStyle w:val="Body"/>
        <w:bidi w:val="0"/>
      </w:pPr>
    </w:p>
    <w:p>
      <w:pPr>
        <w:pStyle w:val="Body"/>
        <w:bidi w:val="0"/>
      </w:pPr>
      <w:r>
        <w:rPr>
          <w:rtl w:val="0"/>
          <w:lang w:val="fr-FR"/>
        </w:rPr>
        <w:t xml:space="preserve">Cox, J., </w:t>
      </w:r>
      <w:r>
        <w:rPr>
          <w:rtl w:val="0"/>
        </w:rPr>
        <w:t>(</w:t>
      </w:r>
      <w:r>
        <w:rPr>
          <w:rtl w:val="0"/>
        </w:rPr>
        <w:t>2021</w:t>
      </w:r>
      <w:r>
        <w:rPr>
          <w:rtl w:val="0"/>
        </w:rPr>
        <w:t>).</w:t>
      </w:r>
      <w:r>
        <w:rPr>
          <w:rtl w:val="0"/>
        </w:rPr>
        <w:t xml:space="preserve"> </w:t>
      </w:r>
      <w:r>
        <w:rPr>
          <w:i w:val="1"/>
          <w:iCs w:val="1"/>
          <w:rtl w:val="0"/>
          <w:lang w:val="en-US"/>
        </w:rPr>
        <w:t>Bring the Real World into the Classroom as a Teaching Strategy</w:t>
      </w:r>
      <w:r>
        <w:rPr>
          <w:rtl w:val="0"/>
        </w:rPr>
        <w:t>. [online] Future Educators. Available at: &lt;https://www.futureeducators.org/bring-the-real-world-into-the-classroom-as-a-teaching-strategy/&gt; [Accessed 5 April 2022].</w:t>
      </w:r>
    </w:p>
    <w:p>
      <w:pPr>
        <w:pStyle w:val="Body"/>
        <w:bidi w:val="0"/>
      </w:pPr>
    </w:p>
    <w:p>
      <w:pPr>
        <w:pStyle w:val="Body"/>
        <w:bidi w:val="0"/>
      </w:pPr>
      <w:r>
        <w:rPr>
          <w:rtl w:val="0"/>
        </w:rPr>
        <w:t xml:space="preserve">Estyn.gov.wales. </w:t>
      </w:r>
      <w:r>
        <w:rPr>
          <w:rtl w:val="0"/>
        </w:rPr>
        <w:t>(</w:t>
      </w:r>
      <w:r>
        <w:rPr>
          <w:rtl w:val="0"/>
        </w:rPr>
        <w:t>2018</w:t>
      </w:r>
      <w:r>
        <w:rPr>
          <w:rtl w:val="0"/>
        </w:rPr>
        <w:t>)</w:t>
      </w:r>
      <w:r>
        <w:rPr>
          <w:rtl w:val="0"/>
        </w:rPr>
        <w:t xml:space="preserve">. </w:t>
      </w:r>
      <w:r>
        <w:rPr>
          <w:i w:val="1"/>
          <w:iCs w:val="1"/>
          <w:rtl w:val="0"/>
          <w:lang w:val="en-US"/>
        </w:rPr>
        <w:t>Learning through play in a real-life context | Estyn</w:t>
      </w:r>
      <w:r>
        <w:rPr>
          <w:rtl w:val="0"/>
        </w:rPr>
        <w:t>. [online] Available at: &lt;https://www.estyn.gov.wales/effective-practice/learning-through-play-real-life-context&gt; [Accessed 3 April 2022].</w:t>
      </w:r>
    </w:p>
    <w:p>
      <w:pPr>
        <w:pStyle w:val="Body"/>
        <w:bidi w:val="0"/>
      </w:pPr>
    </w:p>
    <w:p>
      <w:pPr>
        <w:pStyle w:val="Body"/>
        <w:bidi w:val="0"/>
      </w:pPr>
      <w:r>
        <w:rPr>
          <w:rtl w:val="0"/>
        </w:rPr>
        <w:t>The Welsh Government (</w:t>
      </w:r>
      <w:r>
        <w:rPr>
          <w:rtl w:val="0"/>
        </w:rPr>
        <w:t>2022.</w:t>
      </w:r>
      <w:r>
        <w:rPr>
          <w:rtl w:val="0"/>
        </w:rPr>
        <w:t>)</w:t>
      </w:r>
      <w:r>
        <w:rPr>
          <w:i w:val="1"/>
          <w:iCs w:val="1"/>
          <w:rtl w:val="0"/>
          <w:lang w:val="en-US"/>
        </w:rPr>
        <w:t>Implementation and practical considerations - Hwb</w:t>
      </w:r>
      <w:r>
        <w:rPr>
          <w:rtl w:val="0"/>
        </w:rPr>
        <w:t>. [online] Available at: &lt;https://hwb.gov.wales/curriculum-for-wales/designing-your-curriculum/implementation-and-practical-considerations&gt; [Accessed 1 April 2022].</w:t>
      </w:r>
    </w:p>
    <w:p>
      <w:pPr>
        <w:pStyle w:val="Body"/>
        <w:bidi w:val="0"/>
      </w:pPr>
    </w:p>
    <w:p>
      <w:pPr>
        <w:pStyle w:val="Body"/>
        <w:bidi w:val="0"/>
      </w:pPr>
      <w:r>
        <w:rPr>
          <w:rtl w:val="0"/>
        </w:rPr>
        <w:t xml:space="preserve">Impact Wales. </w:t>
      </w:r>
      <w:r>
        <w:rPr>
          <w:rtl w:val="0"/>
        </w:rPr>
        <w:t>(</w:t>
      </w:r>
      <w:r>
        <w:rPr>
          <w:rtl w:val="0"/>
        </w:rPr>
        <w:t>2022</w:t>
      </w:r>
      <w:r>
        <w:rPr>
          <w:rtl w:val="0"/>
        </w:rPr>
        <w:t>).</w:t>
      </w:r>
      <w:r>
        <w:rPr>
          <w:rtl w:val="0"/>
        </w:rPr>
        <w:t xml:space="preserve"> </w:t>
      </w:r>
      <w:r>
        <w:rPr>
          <w:i w:val="1"/>
          <w:iCs w:val="1"/>
          <w:rtl w:val="0"/>
          <w:lang w:val="en-US"/>
        </w:rPr>
        <w:t>What are the 12 Pedagogical Principles &amp; How to use them - Impact Wales</w:t>
      </w:r>
      <w:r>
        <w:rPr>
          <w:rtl w:val="0"/>
        </w:rPr>
        <w:t>. [online] Available at: &lt;https://www.impact.wales/news/12-pedagogical-principles/&gt; [Accessed 1 April 2022].</w:t>
      </w:r>
    </w:p>
    <w:p>
      <w:pPr>
        <w:pStyle w:val="Body"/>
        <w:bidi w:val="0"/>
      </w:pPr>
      <w:r>
        <w:rPr>
          <w:rtl w:val="0"/>
          <w:lang w:val="es-ES_tradnl"/>
        </w:rPr>
        <w:t xml:space="preserve">Jones, D., </w:t>
      </w:r>
      <w:r>
        <w:rPr>
          <w:rtl w:val="0"/>
        </w:rPr>
        <w:t>(</w:t>
      </w:r>
      <w:r>
        <w:rPr>
          <w:rtl w:val="0"/>
        </w:rPr>
        <w:t>2005</w:t>
      </w:r>
      <w:r>
        <w:rPr>
          <w:rtl w:val="0"/>
        </w:rPr>
        <w:t>)</w:t>
      </w:r>
      <w:r>
        <w:rPr>
          <w:rtl w:val="0"/>
        </w:rPr>
        <w:t xml:space="preserve">. </w:t>
      </w:r>
      <w:r>
        <w:rPr>
          <w:i w:val="1"/>
          <w:iCs w:val="1"/>
          <w:rtl w:val="0"/>
          <w:lang w:val="en-US"/>
        </w:rPr>
        <w:t>Assessment for Learning</w:t>
      </w:r>
      <w:r>
        <w:rPr>
          <w:rtl w:val="0"/>
        </w:rPr>
        <w:t>. [ebook] Learning and Skills Development Agency. Available at: &lt;https://dera.ioe.ac.uk/7800/1/AssessmentforLearning.pdf&gt; [Accessed 1 April 2022].</w:t>
      </w:r>
    </w:p>
    <w:p>
      <w:pPr>
        <w:pStyle w:val="Body"/>
        <w:bidi w:val="0"/>
      </w:pPr>
    </w:p>
    <w:p>
      <w:pPr>
        <w:pStyle w:val="Body"/>
        <w:bidi w:val="0"/>
      </w:pPr>
      <w:r>
        <w:rPr>
          <w:rtl w:val="0"/>
          <w:lang w:val="de-DE"/>
        </w:rPr>
        <w:t xml:space="preserve">Main, P., </w:t>
      </w:r>
      <w:r>
        <w:rPr>
          <w:rtl w:val="0"/>
        </w:rPr>
        <w:t>(</w:t>
      </w:r>
      <w:r>
        <w:rPr>
          <w:rtl w:val="0"/>
        </w:rPr>
        <w:t>2022</w:t>
      </w:r>
      <w:r>
        <w:rPr>
          <w:rtl w:val="0"/>
        </w:rPr>
        <w:t>)</w:t>
      </w:r>
      <w:r>
        <w:rPr>
          <w:rtl w:val="0"/>
        </w:rPr>
        <w:t xml:space="preserve">. </w:t>
      </w:r>
      <w:r>
        <w:rPr>
          <w:i w:val="1"/>
          <w:iCs w:val="1"/>
          <w:rtl w:val="0"/>
          <w:lang w:val="en-US"/>
        </w:rPr>
        <w:t>Strategies for Assessment for Learning</w:t>
      </w:r>
      <w:r>
        <w:rPr>
          <w:rtl w:val="0"/>
        </w:rPr>
        <w:t>. [online] Structural-learning.com. Available at: &lt;https://www.structural-learning.com/post/strategies-for-assessment-for-learning&gt; [Accessed 1 April 2022].</w:t>
      </w:r>
    </w:p>
    <w:p>
      <w:pPr>
        <w:pStyle w:val="Body"/>
        <w:bidi w:val="0"/>
      </w:pPr>
    </w:p>
    <w:p>
      <w:pPr>
        <w:pStyle w:val="Body"/>
        <w:bidi w:val="0"/>
      </w:pPr>
      <w:r>
        <w:rPr>
          <w:rtl w:val="0"/>
        </w:rPr>
        <w:t xml:space="preserve">NFER. </w:t>
      </w:r>
      <w:r>
        <w:rPr>
          <w:rtl w:val="0"/>
        </w:rPr>
        <w:t>(</w:t>
      </w:r>
      <w:r>
        <w:rPr>
          <w:rtl w:val="0"/>
        </w:rPr>
        <w:t>2022.</w:t>
      </w:r>
      <w:r>
        <w:rPr>
          <w:rtl w:val="0"/>
        </w:rPr>
        <w:t>)</w:t>
      </w:r>
      <w:r>
        <w:rPr>
          <w:rtl w:val="0"/>
        </w:rPr>
        <w:t xml:space="preserve"> </w:t>
      </w:r>
      <w:r>
        <w:rPr>
          <w:i w:val="1"/>
          <w:iCs w:val="1"/>
          <w:rtl w:val="0"/>
          <w:lang w:val="en-US"/>
        </w:rPr>
        <w:t>'Brushing up on assessment' Guides</w:t>
      </w:r>
      <w:r>
        <w:rPr>
          <w:rtl w:val="0"/>
        </w:rPr>
        <w:t>. [online] Available at: &lt;https://www.nfer.ac.uk/for-schools/free-resources-advice/assessment-hub/brushing-up-on-assessment-guides&gt; [Accessed 1 April 2022].</w:t>
      </w:r>
    </w:p>
    <w:p>
      <w:pPr>
        <w:pStyle w:val="Body"/>
        <w:bidi w:val="0"/>
      </w:pPr>
    </w:p>
    <w:p>
      <w:pPr>
        <w:pStyle w:val="Body"/>
        <w:bidi w:val="0"/>
      </w:pPr>
      <w:r>
        <w:rPr>
          <w:rtl w:val="0"/>
        </w:rPr>
        <w:t xml:space="preserve">Spenceley, P., n.d. </w:t>
      </w:r>
      <w:r>
        <w:rPr>
          <w:i w:val="1"/>
          <w:iCs w:val="1"/>
          <w:rtl w:val="0"/>
          <w:lang w:val="en-US"/>
        </w:rPr>
        <w:t>Demonstrating outstanding teaching and learning through AfL in the classroom</w:t>
      </w:r>
      <w:r>
        <w:rPr>
          <w:rtl w:val="0"/>
        </w:rPr>
        <w:t>. [ebook] Available at: &lt;https://my.optimus-education.com/sites/optimus-education.com/files/session_1b_-_paul_spenceley.pdf&gt; [Accessed 1 April 2022].</w:t>
      </w:r>
    </w:p>
    <w:p>
      <w:pPr>
        <w:pStyle w:val="Body"/>
        <w:bidi w:val="0"/>
      </w:pPr>
    </w:p>
    <w:p>
      <w:pPr>
        <w:pStyle w:val="Body"/>
        <w:bidi w:val="0"/>
      </w:pPr>
      <w:r>
        <w:rPr>
          <w:rtl w:val="0"/>
        </w:rPr>
        <w:t xml:space="preserve">Twinkl.co.uk. </w:t>
      </w:r>
      <w:r>
        <w:rPr>
          <w:rtl w:val="0"/>
        </w:rPr>
        <w:t>(</w:t>
      </w:r>
      <w:r>
        <w:rPr>
          <w:rtl w:val="0"/>
        </w:rPr>
        <w:t>2022.</w:t>
      </w:r>
      <w:r>
        <w:rPr>
          <w:rtl w:val="0"/>
        </w:rPr>
        <w:t>)</w:t>
      </w:r>
      <w:r>
        <w:rPr>
          <w:rtl w:val="0"/>
        </w:rPr>
        <w:t xml:space="preserve"> </w:t>
      </w:r>
      <w:r>
        <w:rPr>
          <w:i w:val="1"/>
          <w:iCs w:val="1"/>
          <w:rtl w:val="0"/>
          <w:lang w:val="en-US"/>
        </w:rPr>
        <w:t>Curriculum for Wales Pedagogical Principles</w:t>
      </w:r>
      <w:r>
        <w:rPr>
          <w:rtl w:val="0"/>
        </w:rPr>
        <w:t>. [online] Available at: &lt;https://www.twinkl.co.uk/teaching-wiki/curriculum-for-wales-pedagogical-principles&gt; [Accessed 1 April 2022].</w:t>
      </w:r>
    </w:p>
    <w:p>
      <w:pPr>
        <w:pStyle w:val="Body"/>
        <w:bidi w:val="0"/>
      </w:pPr>
    </w:p>
    <w:p>
      <w:pPr>
        <w:pStyle w:val="Body"/>
        <w:bidi w:val="0"/>
      </w:pPr>
      <w:r>
        <w:rPr>
          <w:rtl w:val="0"/>
          <w:lang w:val="es-ES_tradnl"/>
        </w:rPr>
        <w:t xml:space="preserve">Yambi, T., </w:t>
      </w:r>
      <w:r>
        <w:rPr>
          <w:rtl w:val="0"/>
        </w:rPr>
        <w:t>(</w:t>
      </w:r>
      <w:r>
        <w:rPr>
          <w:rtl w:val="0"/>
        </w:rPr>
        <w:t>2018</w:t>
      </w:r>
      <w:r>
        <w:rPr>
          <w:rtl w:val="0"/>
        </w:rPr>
        <w:t>)</w:t>
      </w:r>
      <w:r>
        <w:rPr>
          <w:rtl w:val="0"/>
        </w:rPr>
        <w:t xml:space="preserve">. </w:t>
      </w:r>
      <w:r>
        <w:rPr>
          <w:i w:val="1"/>
          <w:iCs w:val="1"/>
          <w:rtl w:val="0"/>
          <w:lang w:val="de-DE"/>
        </w:rPr>
        <w:t>ASSESSMENT AND EVALUATION IN EDUCATION</w:t>
      </w:r>
      <w:r>
        <w:rPr>
          <w:rtl w:val="0"/>
        </w:rPr>
        <w:t>. [ebook] Available at: &lt;https://www.researchgate.net/publication/342918149_ASSESSMENT_AND_EVALUATION_IN_EDUCATION&gt; [Accessed 1 April 2022].</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Fonts w:ascii="Helvetica" w:cs="Helvetica" w:hAnsi="Helvetica" w:eastAsia="Helvetica"/>
          <w:outline w:val="0"/>
          <w:color w:val="656565"/>
          <w:sz w:val="26"/>
          <w:szCs w:val="26"/>
          <w:shd w:val="clear" w:color="auto" w:fill="fefffe"/>
          <w:rtl w:val="0"/>
          <w14:textFill>
            <w14:solidFill>
              <w14:srgbClr w14:val="666666"/>
            </w14:solidFill>
          </w14:textFill>
        </w:rPr>
      </w:pPr>
    </w:p>
    <w:p>
      <w:pPr>
        <w:pStyle w:val="Default"/>
        <w:bidi w:val="0"/>
        <w:spacing w:before="0" w:line="240" w:lineRule="auto"/>
        <w:ind w:left="0" w:right="0" w:firstLine="0"/>
        <w:jc w:val="left"/>
        <w:rPr>
          <w:rtl w:val="0"/>
        </w:rPr>
      </w:pPr>
      <w:r>
        <w:rPr>
          <w:rFonts w:ascii="Helvetica" w:cs="Helvetica" w:hAnsi="Helvetica" w:eastAsia="Helvetica"/>
          <w:outline w:val="0"/>
          <w:color w:val="656565"/>
          <w:sz w:val="26"/>
          <w:szCs w:val="26"/>
          <w:shd w:val="clear" w:color="auto" w:fill="fefffe"/>
          <w:rtl w:val="0"/>
          <w14:textFill>
            <w14:solidFill>
              <w14:srgbClr w14:val="666666"/>
            </w14:solidFill>
          </w14:textFill>
        </w:rPr>
      </w:r>
    </w:p>
    <w:sectPr>
      <w:headerReference w:type="default" r:id="rId4"/>
      <w:footerReference w:type="default" r:id="rId5"/>
      <w:pgSz w:w="11906" w:h="16838" w:orient="portrait"/>
      <w:pgMar w:top="1134" w:right="1134" w:bottom="1417"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ECAD6008</w:t>
    </w:r>
    <w:r>
      <w:tab/>
      <w:tab/>
    </w:r>
    <w:r>
      <w:rPr>
        <w:rtl w:val="0"/>
        <w:lang w:val="en-US"/>
      </w:rPr>
      <w:t>Cerys Baker 1804840</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1">
      <w:start w:val="1"/>
      <w:numFmt w:val="bullet"/>
      <w:suff w:val="tab"/>
      <w:lvlText w:val="-"/>
      <w:lvlJc w:val="left"/>
      <w:pPr>
        <w:ind w:left="5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2">
      <w:start w:val="1"/>
      <w:numFmt w:val="bullet"/>
      <w:suff w:val="tab"/>
      <w:lvlText w:val="-"/>
      <w:lvlJc w:val="left"/>
      <w:pPr>
        <w:ind w:left="7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3">
      <w:start w:val="1"/>
      <w:numFmt w:val="bullet"/>
      <w:suff w:val="tab"/>
      <w:lvlText w:val="-"/>
      <w:lvlJc w:val="left"/>
      <w:pPr>
        <w:ind w:left="10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4">
      <w:start w:val="1"/>
      <w:numFmt w:val="bullet"/>
      <w:suff w:val="tab"/>
      <w:lvlText w:val="-"/>
      <w:lvlJc w:val="left"/>
      <w:pPr>
        <w:ind w:left="126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5">
      <w:start w:val="1"/>
      <w:numFmt w:val="bullet"/>
      <w:suff w:val="tab"/>
      <w:lvlText w:val="-"/>
      <w:lvlJc w:val="left"/>
      <w:pPr>
        <w:ind w:left="15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6">
      <w:start w:val="1"/>
      <w:numFmt w:val="bullet"/>
      <w:suff w:val="tab"/>
      <w:lvlText w:val="-"/>
      <w:lvlJc w:val="left"/>
      <w:pPr>
        <w:ind w:left="17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7">
      <w:start w:val="1"/>
      <w:numFmt w:val="bullet"/>
      <w:suff w:val="tab"/>
      <w:lvlText w:val="-"/>
      <w:lvlJc w:val="left"/>
      <w:pPr>
        <w:ind w:left="19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8">
      <w:start w:val="1"/>
      <w:numFmt w:val="bullet"/>
      <w:suff w:val="tab"/>
      <w:lvlText w:val="-"/>
      <w:lvlJc w:val="left"/>
      <w:pPr>
        <w:ind w:left="22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abstractNum>
  <w:abstractNum w:abstractNumId="1">
    <w:multiLevelType w:val="hybridMultilevel"/>
    <w:numStyleLink w:val="Dash"/>
  </w:abstractNum>
  <w:abstractNum w:abstractNumId="2">
    <w:multiLevelType w:val="hybridMultilevel"/>
    <w:styleLink w:val="Dash"/>
    <w:lvl w:ilvl="0">
      <w:start w:val="1"/>
      <w:numFmt w:val="bullet"/>
      <w:suff w:val="tab"/>
      <w:lvlText w:val="-"/>
      <w:lvlJc w:val="left"/>
      <w:pPr>
        <w:ind w:left="32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1">
      <w:start w:val="1"/>
      <w:numFmt w:val="bullet"/>
      <w:suff w:val="tab"/>
      <w:lvlText w:val="-"/>
      <w:lvlJc w:val="left"/>
      <w:pPr>
        <w:ind w:left="56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2">
      <w:start w:val="1"/>
      <w:numFmt w:val="bullet"/>
      <w:suff w:val="tab"/>
      <w:lvlText w:val="-"/>
      <w:lvlJc w:val="left"/>
      <w:pPr>
        <w:ind w:left="80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3">
      <w:start w:val="1"/>
      <w:numFmt w:val="bullet"/>
      <w:suff w:val="tab"/>
      <w:lvlText w:val="-"/>
      <w:lvlJc w:val="left"/>
      <w:pPr>
        <w:ind w:left="104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4">
      <w:start w:val="1"/>
      <w:numFmt w:val="bullet"/>
      <w:suff w:val="tab"/>
      <w:lvlText w:val="-"/>
      <w:lvlJc w:val="left"/>
      <w:pPr>
        <w:ind w:left="128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5">
      <w:start w:val="1"/>
      <w:numFmt w:val="bullet"/>
      <w:suff w:val="tab"/>
      <w:lvlText w:val="-"/>
      <w:lvlJc w:val="left"/>
      <w:pPr>
        <w:ind w:left="152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6">
      <w:start w:val="1"/>
      <w:numFmt w:val="bullet"/>
      <w:suff w:val="tab"/>
      <w:lvlText w:val="-"/>
      <w:lvlJc w:val="left"/>
      <w:pPr>
        <w:ind w:left="176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7">
      <w:start w:val="1"/>
      <w:numFmt w:val="bullet"/>
      <w:suff w:val="tab"/>
      <w:lvlText w:val="-"/>
      <w:lvlJc w:val="left"/>
      <w:pPr>
        <w:ind w:left="200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lvl w:ilvl="8">
      <w:start w:val="1"/>
      <w:numFmt w:val="bullet"/>
      <w:suff w:val="tab"/>
      <w:lvlText w:val="-"/>
      <w:lvlJc w:val="left"/>
      <w:pPr>
        <w:ind w:left="2247" w:hanging="327"/>
      </w:pPr>
      <w:rPr>
        <w:rFonts w:hAnsi="Arial Unicode MS"/>
        <w:b w:val="1"/>
        <w:bCs w:val="1"/>
        <w:caps w:val="0"/>
        <w:smallCaps w:val="0"/>
        <w:strike w:val="0"/>
        <w:dstrike w:val="0"/>
        <w:outline w:val="0"/>
        <w:emboss w:val="0"/>
        <w:imprint w:val="0"/>
        <w:spacing w:val="0"/>
        <w:w w:val="100"/>
        <w:kern w:val="0"/>
        <w:position w:val="4"/>
        <w:sz w:val="36"/>
        <w:szCs w:val="36"/>
        <w:highlight w:val="none"/>
        <w:vertAlign w:val="baseline"/>
      </w:rPr>
    </w:lvl>
  </w:abstractNum>
  <w:abstractNum w:abstractNumId="3">
    <w:multiLevelType w:val="hybridMultilevel"/>
    <w:numStyleLink w:val="Numbered"/>
  </w:abstractNum>
  <w:abstractNum w:abstractNumId="4">
    <w:multiLevelType w:val="hybridMultilevel"/>
    <w:styleLink w:val="Numbered"/>
    <w:lvl w:ilvl="0">
      <w:start w:val="1"/>
      <w:numFmt w:val="decimal"/>
      <w:suff w:val="tab"/>
      <w:lvlText w:val="%1."/>
      <w:lvlJc w:val="left"/>
      <w:pPr>
        <w:ind w:left="53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97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19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41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163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185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07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2293" w:hanging="313"/>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0"/>
      <w:szCs w:val="3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0"/>
      <w:szCs w:val="30"/>
      <w:u w:val="single"/>
      <w:shd w:val="nil" w:color="auto" w:fill="auto"/>
      <w:vertAlign w:val="baseline"/>
      <w14:textOutline>
        <w14:noFill/>
      </w14:textOutline>
      <w14:textFill>
        <w14:solidFill>
          <w14:srgbClr w14:val="000000"/>
        </w14:solidFill>
      </w14:textFill>
    </w:rPr>
  </w:style>
  <w:style w:type="numbering" w:styleId="Dash">
    <w:name w:val="Dash"/>
    <w:pPr>
      <w:numPr>
        <w:numId w:val="2"/>
      </w:numPr>
    </w:pPr>
  </w:style>
  <w:style w:type="numbering" w:styleId="Numbered">
    <w:name w:val="Numbered"/>
    <w:pPr>
      <w:numPr>
        <w:numId w:val="4"/>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50000"/>
          </a:lnSpc>
          <a:spcBef>
            <a:spcPts val="0"/>
          </a:spcBef>
          <a:spcAft>
            <a:spcPts val="0"/>
          </a:spcAft>
          <a:buClrTx/>
          <a:buSzTx/>
          <a:buFontTx/>
          <a:buNone/>
          <a:tabLst/>
          <a:defRPr b="0" baseline="0" cap="none" i="0" spc="0" strike="noStrike" sz="10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