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both"/>
        <w:rPr>
          <w:b w:val="1"/>
        </w:rPr>
      </w:pPr>
      <w:r w:rsidDel="00000000" w:rsidR="00000000" w:rsidRPr="00000000">
        <w:rPr>
          <w:b w:val="1"/>
          <w:rtl w:val="0"/>
        </w:rPr>
        <w:t xml:space="preserve">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 Include in your assignment a rationale for your choice of intervention taking into consideration any ethical issues that may arise. </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Every child has the right to learn how to communicate effectively their wants and needs (Goldbart and Ware, 2015). Bunning (2009: 48) defines effective communication as “two or more people working together and coordinating their actions in an ongoing response to each other and the context”. Communication is multi-modal, meaning that a range of different verbal and non-verbal styles are adopted when communicating with another person. The style of communication method used will depend on the situation, although often people use both throughout a conversation (Battye, 2017). Non-verbal communication is an important mode of communication, 93% of our conversations being made up of non-verbal methods (Battye, 2017). Communication attempts may be intentional or pre-intentional (Bradley, 1998), communication being able to take place before speech has been acquired (Siegler et al, 2006). For children with Profound and Multiple Learning Difficulties (PMLD), the two way process of communication can present as a challenge. Children with PMLD are often non-verbal, meaning that they rely on methods of communication which may be different to those around them (Goldbart and Caton, 2010). Non-verbal cues such as body language, gestures or vocalisations may be used to communicate wants and needs to a communicative partner instead of spoken language. Children with PMLD rely upon the communicative partner to interpret their choices and needs. Even so their communicative attempts can sometimes appear ambiguous and can be misinterpreted. Communication is, nevertheless, often most effective when communicating with a person who is familiar and understands the child (Goldbart and Caton, 2010).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development of communication is vital to a child with PMLD (Imray and Hinchcliffe, 2014; Goldbart and Ware, 2015). All children should have the opportunity to access a range of interventions and Alternative and Augmentative Communication (AAC) methods to establish a means of communication which is appropriate to the individual.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This essay will discuss early communication development, the barriers to developing communication for children with PMLD and interventions which could be implemented to support these learners. Furthermore, this essay presents a case study of a six year old child with PMLD, exploring assessment methods and identifying an approach which could be implemented to support the development of communication skills for this individual. Based on assessments and information about the child presented in the case study, Intensive Interaction will be the main intervention of focus throughout this essay.</w:t>
      </w:r>
    </w:p>
    <w:p w:rsidR="00000000" w:rsidDel="00000000" w:rsidP="00000000" w:rsidRDefault="00000000" w:rsidRPr="00000000">
      <w:pPr>
        <w:spacing w:line="360" w:lineRule="auto"/>
        <w:contextualSpacing w:val="0"/>
        <w:jc w:val="both"/>
        <w:rPr>
          <w:b w:val="1"/>
        </w:rPr>
      </w:pPr>
      <w:r w:rsidDel="00000000" w:rsidR="00000000" w:rsidRPr="00000000">
        <w:rPr>
          <w:rtl w:val="0"/>
        </w:rPr>
      </w:r>
    </w:p>
    <w:p w:rsidR="00000000" w:rsidDel="00000000" w:rsidP="00000000" w:rsidRDefault="00000000" w:rsidRPr="00000000">
      <w:pPr>
        <w:spacing w:line="360" w:lineRule="auto"/>
        <w:contextualSpacing w:val="0"/>
        <w:jc w:val="both"/>
        <w:rPr>
          <w:b w:val="1"/>
          <w:i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Early language and communication development has been researched by a plethora of researchers, with a significant growth in research occurring over the last 20-25 years (Coupe O’Kane and Goldbart, 1998). Early research into the field of language and communication has led to the development of a range of interventions which are still used in recent practice.  </w:t>
      </w:r>
    </w:p>
    <w:p w:rsidR="00000000" w:rsidDel="00000000" w:rsidP="00000000" w:rsidRDefault="00000000" w:rsidRPr="00000000">
      <w:pPr>
        <w:spacing w:line="360" w:lineRule="auto"/>
        <w:contextualSpacing w:val="0"/>
        <w:jc w:val="both"/>
        <w:rPr>
          <w:color w:val="ff0000"/>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Two theoretical approaches to language learning have emerged, the Psycholinguistic approach and the Sociolinguistic approach, both having an influence over the development of current research, practice and development of interventions (Coupe O’Kane and Goldbart, 1998). Although these theories explore early language development in terms of a typically development infant, they are still relevant when considering development for children with PMLD. </w:t>
      </w:r>
      <w:r w:rsidDel="00000000" w:rsidR="00000000" w:rsidRPr="00000000">
        <w:rPr>
          <w:rtl w:val="0"/>
        </w:rPr>
        <w:t xml:space="preserve">It is important to note that children with PMLD may not always follow a linear trajectory of learning (Atkin and Perlman Lorch, 2014) and may remain fixed in one stage of development.</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psycholinguistic approach suggests that a level of cognitive awareness is necessary for intentional communication to develop (Coupe O’Kane and Goldbart, 1998). This approach incorporates the theories from early researchers such as Piaget and Vygotsky, each inferring the importance of the role of cognition for language to develop (Close, 2010).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psycholinguistic theory emphasises the importance of play and exploration in the development of early communication skills (Elks and McLachlan, 2007).  Research by Piaget surrounding the sensorimotor stage has formed the basis of the six stages of development considered within this theory (Coupe O’Kane and Goldbart, 1998), highlighting the cognitive, semantic and symbolic development expected at each stage. Piaget suggests that it is through this sensorimotor stage that children develop their cognitive awareness through sensory and motor interactions with the surrounding environment (Siegler et al, 2006).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Thus, it can be inferred that this development of cognitive awareness influences the development of early communication skills during this period.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b w:val="1"/>
          <w:color w:val="741b47"/>
        </w:rPr>
      </w:pPr>
      <w:r w:rsidDel="00000000" w:rsidR="00000000" w:rsidRPr="00000000">
        <w:rPr>
          <w:rtl w:val="0"/>
        </w:rPr>
        <w:t xml:space="preserve">For the majority of children with PMLD, it is within this sensorimotor stage where the level of communication skills will remain. Children with PMLD have a lower level of cognitive awareness compared to their typically developing peers. Following the perspective of the psycholinguistic approach, it could reasonably be inferred that the challenges faced by these children in communicating and acquiring language could be due to their levels of cognition. If communication and cognition are linked, then each child will be working at a communication stage which is inline with their level of cognition, explaining why children and adults with PMLD may never progress any further than this sensorimotor stage. </w:t>
      </w:r>
      <w:r w:rsidDel="00000000" w:rsidR="00000000" w:rsidRPr="00000000">
        <w:rPr>
          <w:rtl w:val="0"/>
        </w:rPr>
      </w:r>
    </w:p>
    <w:p w:rsidR="00000000" w:rsidDel="00000000" w:rsidP="00000000" w:rsidRDefault="00000000" w:rsidRPr="00000000">
      <w:pPr>
        <w:spacing w:line="360" w:lineRule="auto"/>
        <w:contextualSpacing w:val="0"/>
        <w:jc w:val="both"/>
        <w:rPr>
          <w:b w:val="1"/>
          <w:i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sociolinguistic approach suggests that language will only be developed if the child has a reason to communicate (Coupe O’Kane and Goldbart, 1998). It emphasises the importance of interactions between a language learner and a competent language user, suggesting that language is learnt through social interactions and highlighting the need for ‘turns’ in conversation between each communicating person involved (Bradley, 1998).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i w:val="1"/>
        </w:rPr>
      </w:pPr>
      <w:r w:rsidDel="00000000" w:rsidR="00000000" w:rsidRPr="00000000">
        <w:rPr>
          <w:rtl w:val="0"/>
        </w:rPr>
        <w:t xml:space="preserve">This theory views the child as an active participant in learning how to communicate, bringing their own set of behaviours for the communicative partner to respond to. Similar to the psycholinguistic approach, the sociolinguistic approach suggests that a certain level of cognitive awareness is necessary. It could be suggested that the thinking of Bruner fits with the sociolinguistic approach to communication development, his thinking highlighting the importance of adult and child interactions as being social and fun to support early communication development (Pound, 2008). It could be inferred that interventions such as TACPAC and Intensive Interaction are based upon the sociolinguistic approach, with the importance of the child as the active participant being the basis to these interventions. These interventions will be further discussed later within this essay. </w:t>
      </w:r>
      <w:r w:rsidDel="00000000" w:rsidR="00000000" w:rsidRPr="00000000">
        <w:rPr>
          <w:rtl w:val="0"/>
        </w:rPr>
      </w:r>
    </w:p>
    <w:p w:rsidR="00000000" w:rsidDel="00000000" w:rsidP="00000000" w:rsidRDefault="00000000" w:rsidRPr="00000000">
      <w:pPr>
        <w:spacing w:line="360" w:lineRule="auto"/>
        <w:contextualSpacing w:val="0"/>
        <w:jc w:val="both"/>
        <w:rPr>
          <w:i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We communicate for a range of different reasons, often referred to as ‘communicative functions’ (Battye, 2017), some of these reasons being functional or social. Communication does not need to be intentional to be considered as communication (Bradley, 1998). Many children and adults with PMLD will be working at a level where their communication is at the pre-intentional level, but they are still able to engage in communicative interactions with other people (Battye, 2017).</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Intentional communication involves the communicator purposefully sending a communicative message to another person, whether by verbal or non-verbal means. Intentional communicators will have an understanding of the world and of previously experienced events, being able to use this information to communicate purposefully their choices, likes and dislikes (Elks and McLachlan, 2007). This could be through words or through varying non-verbal cues.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Conversely, pre-intentional communication is where the person does not realise that they have sent a communicative message (Battye, 2017). At this level of communication, the child may still cry if they are hungry or smile if they are content, for example, however they either do not have the awareness of making these responses or the understanding that these reactions are communicating a message and so will result in a response.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Children functioning at this level are reliant upon a responsive communicative partner to give meaning to their reactions and to respond consistently to these reactions (Coupe O’Kane and Goldbart, 1998).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Consistent and careful observations of the child’s behaviours in response to events, situations and stimuli will mean that the communicative partner will be able to identify any consistent responses to form a clearer interpretation of what these behaviours are signalling (Coupe O’Kane and Goldbart, 1998). Constant and consistent reinforcement of these behaviours may then support the child into developing an understanding that if they make a specific reaction, a specific consequence will occur as a result (Barber, 2001).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Typically developing infants will eventually form the link that if they make a reaction then it will result in a response from a caregiver. For children with PMLD, this connection may take time and reinforcement to develop or they be unable to develop the skills necessary to develop intentional communication and so may remain as pre-intentional communicators (Elks and McLachlan, 2007).</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Children with PMLD are faced with many barriers to their learning which could impact on their development of communication skills. These children may have physical, visual or hearing difficulties.</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Children with physical difficulties rely on another person to take them to different places and to give them opportunities to explore their environment. This may mean that they have limited opportunities to explore their senses and so will impact on the development of their awareness and understanding. Physical difficulties may also prevent children from being able to make different signs / gestures or to form different speech sounds (Bradley, 1998)</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Children with hearing impairments may not be able to distinguish between different sounds in speech, or indeed be able to hear speech at all. That could impact on the child’s development of communication, particularly if the child has not reached the cognitive level whereby they have an understanding of symbols and signs.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Visual impairments may prevent children from noticing gestures, body language and facial expressions from their caregivers (Hennessey et al, 2011) and thus could limit their understanding of spoken language. Children may respond differently to stimuli. Their responses could be misinterpreted as a lack of response towards a stimulus, meaning that the caregiver may stop engaging in these interactions with the child (RNIB, 2014).</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Nind and Hewett (2005) suggest a difference in interaction style between a caregiver and a child PMLD when compared to that of a typically developing child. This could be due to a number of reasons. Children with PMLD may not appear to be as responsive and caregivers may find it struggle to read communicative signals (Nind and Hewett, 2005). This may then result in a decrease of responsiveness from the caregiver to the child’s communicative attempts (Elks and McLachlan, 2007), thus resulting in a further barrier to the development of communication skills.</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Additionally, some children with PMLD may be tactile defensive and so meaning that they are resistant to certain textures or they may reject being touch (Bradley, 1998). This could lead to a parent withdrawing from interacting with their child as a result of consistent negative responses. The caregiver may read these responses as rejection or the child not wanting to react, leading to a decrease in parent-child interaction. Tactile defensiveness may also hinder the child in exploring their environment and developing their sensory awareness, therefore limiting their understanding  and experiences of the world.</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Communication attempts may be ambiguous, difficult to interpret or missed. This could leave the child feeling frustrated and could lead to the child either ceasing to communicate or displaying what would appear to be negative behaviours. These behaviours in themselves could cause a barrier to communication development as they may prevent a person from wanting to interact with the child.</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wide array of interventions and AAC methods have been created as a means to promote early communication development for children with PMLD.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Communication passports are often used for children with PMLD. Although these are not a direct intervention for the child themselves, they can support any person the child may have contact with in interpreting the child’s non-verbal communication cues (Goldbart and Caton, 2010). Communication passports are written by adults familiar to the child, providing important information about the child and how they communicate. Having this information readily accessible means that those who are less familiar to the child are more able to interpret communicative attempts, meaning that the child’s signals are being consistently responded to.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AAC methods are those that provide additional or alternative support to spoken language (Communication Matters, 2013). These methods could be aided (involving the use of equipment) or unaided (not involving equipment, for example, signing), low tech (non-electronic) or high tech (electronic, for example, eye gaze technology). The use of some AAC methods may be restrictive for children with physical, auditory or visual impairments (Norburn et al, 2016). It is important that the individual needs of the child are taken into consideration when choosing the appropriate form of AAC.</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Picture Exchange Communication System (PECS) was created by Bondy and Frost and is based upon Skinner’s theory of ‘Operant conditioning’ (Bondy and Frost 2001). ‘Operant Conditioning’ is a behaviourist approach, following the idea of changing behaviour through positive reinforcement (David, 2015). Through a consistent response to a behaviour, the child will make a link between their behaviour and the consequence, in turn resulting in a modification of the behaviour (David, 2015). Similarly, through PECS training sessions, a child is taught to initiate communication through being consistently rewarded with a desired item in exchange for a picture or symbol (Elks and McLachlan, 2007).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PECS provides a framework of six stages, moving from early communication skills through to making comments. PECS training sessions begin with the child learning to exchange a symbol/picture for a desired object. Children then move through the stages, developing spontaneity and persistence skills, discrimination skills and building sentence structure. PECS is thought to be a beneficial approach for children with Autism, providing a structured approach to developing communication skills (Charlop-Christy et al, 2002).</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Signing, symbols and objects of reference all provide the child with visual cues to develop anticipation as to what will happen next. They provide children with a means by which they can express their choices, likes and dislikes as well as providing a visual support to spoken language (Communication Matters, 2017). Signs and symbols may not be beneficial to children with PMLD as they may not have reached the cognitive level where they are able to understand their meaning. Children may move in and out of stages of alertness, with their attention often being fleeting, meaning they may easily miss a presented symbol or sign (RNIB, 2014).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Objects of reference are objects that represent a specific meaning (Elks and McLachlan, 2007), providing a more concrete representation for the child (RNIB, 2014). They can be visual, auditory, tactile, scents or a taste, reducing the barriers for children with additional impairments. These objects could be used as part of a physical exchange, following similar principles to that of PECS, enabling the child to request and make choices (Bondy and Frost, 2002, cited in RNIB, 2014).  It is important that these objects are used consistently for them to be effective (Elks and McLachlan, 2007), allowing the child to develop an awareness that when this cue is presented, a consistent response will occur (RNIB, 2014).</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High tech AAC devices such as Eye Gaze, Switches and speech generating devices can provide children with a means to express their choices, likes and dislikes. Through these methods of communication, communicative attempts may be less ambiguous and so the chances of misinterpretation are reduced. This could lead to a decrease in frustration (Norburn et al, 2016), reduce negative behaviours and may encourage further engagement in the interactive process.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There are some disadvantages to using more high tech communication aids. Some users can find these methods of AAC tiring to use, meaning that children may either not use them to their full extent or find them hard work to use (Curry and Woodwood, 2007). Further training may be needed to use the devices effectively, although funding is not always readily available to provide this training (Baxter et al, 2012). Technology, such as eye gaze, can often take a long time to set up and the child is limited to the information the adult puts onto it. The devices can sometimes be unreliable: they may breakdown or not work as fast as they should (Inclusive Technology 2018). </w:t>
      </w:r>
    </w:p>
    <w:p w:rsidR="00000000" w:rsidDel="00000000" w:rsidP="00000000" w:rsidRDefault="00000000" w:rsidRPr="00000000">
      <w:pPr>
        <w:spacing w:line="360" w:lineRule="auto"/>
        <w:contextualSpacing w:val="0"/>
        <w:jc w:val="both"/>
        <w:rPr>
          <w:i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Tacpac is a multi-sensory approach based around the senses of touch and sound. The child will hear a piece of music and will feel the corresponding stimulus that goes with this music. For the session to be effective, the stimulus must be moved on the child’s body to the beat of the music in order to align the senses of touch and sound (Tacpac, 2016). This approach encourages the development of social interaction skills, anticipation and eye contact through one to one interaction between a caregiver and the child. </w:t>
      </w:r>
    </w:p>
    <w:p w:rsidR="00000000" w:rsidDel="00000000" w:rsidP="00000000" w:rsidRDefault="00000000" w:rsidRPr="00000000">
      <w:pPr>
        <w:spacing w:line="360" w:lineRule="auto"/>
        <w:contextualSpacing w:val="0"/>
        <w:jc w:val="both"/>
        <w:rPr>
          <w:b w:val="1"/>
          <w:i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Intensive Interaction is an approach created specifically to develop early communication skills for people with severe to profound learning difficulties, communication delays and those exhibiting distressed behaviour (Caldwell, 2006). It is often used for children who are withdrawn or who often engage in repetitive behaviours (Caldwell, 2003, cited in Barber, 2008).</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key purpose is to teach and develop the ‘Fundamentals of Communication’ (Hewett, 2018) through using an enjoyable and interactive approach (Hewett, 2007). The approach recognises the importance of the two way process of interaction between a child and their caregiver, highlighting the importance of the child as an active participant in the learning process (Kellett, 2003; Nind and Hewett, 2005). The approach is child led, with the adult forming their responses based around the child’s own behaviour and/or vocalisations. </w:t>
      </w:r>
    </w:p>
    <w:p w:rsidR="00000000" w:rsidDel="00000000" w:rsidP="00000000" w:rsidRDefault="00000000" w:rsidRPr="00000000">
      <w:pPr>
        <w:spacing w:line="360" w:lineRule="auto"/>
        <w:contextualSpacing w:val="0"/>
        <w:jc w:val="both"/>
        <w:rPr>
          <w:b w:val="1"/>
          <w:i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Intensive Interaction is based upon the initial caregiver-infant interaction which is seen between a carer and their child during the first months of infancy (Nind and Hewett, 2005). Through these interactions, the infant makes a sound or movement and the mother copies back the same sound or movement to the child. The child and the mother engage in a ‘turn-taking’ style of interaction, encouraging the child to repeat their responses and eventually make the connection between their actions and the response that they bring (thus developing anticipation and intentional communication skills).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Children with PMLD will often develop their own internal way of interacting with themselves, providing themselves with familiar feedback and self-confirmation (Caldwell, 2013). This could be due to the child becoming locked into themselves due to a limitation in communication skills. </w:t>
      </w:r>
    </w:p>
    <w:p w:rsidR="00000000" w:rsidDel="00000000" w:rsidP="00000000" w:rsidRDefault="00000000" w:rsidRPr="00000000">
      <w:pPr>
        <w:spacing w:line="360" w:lineRule="auto"/>
        <w:contextualSpacing w:val="0"/>
        <w:jc w:val="both"/>
        <w:rPr/>
      </w:pPr>
      <w:r w:rsidDel="00000000" w:rsidR="00000000" w:rsidRPr="00000000">
        <w:rPr>
          <w:rtl w:val="0"/>
        </w:rPr>
        <w:t xml:space="preserve">Intensive Interaction involves imitating the child’s own behaviours and sounds in order to gain the child’s attention and bring them out of their internal world (Caldwell, 2013). The child will recognise responses as being familiar to them, resulting in the child gaining interest. Once the child engages in the interacting process, adult responses can progress from imitation of the child’s behaviour to extending and altering their responses. It is this difference in this response that will lead the child to become more engaged in the interaction process (Caldwell, 2013).  </w:t>
      </w:r>
    </w:p>
    <w:p w:rsidR="00000000" w:rsidDel="00000000" w:rsidP="00000000" w:rsidRDefault="00000000" w:rsidRPr="00000000">
      <w:pPr>
        <w:spacing w:line="360" w:lineRule="auto"/>
        <w:contextualSpacing w:val="0"/>
        <w:jc w:val="both"/>
        <w:rPr>
          <w:b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One of the key components to the approach is the mutual enjoyment between both of the people involved through the engagement in interactive games (Nind and Hewett, 1994, cited in Barber, 2005). This, along with the ‘turn-taking’ nature of the approach, is in line with the sociolinguistic approach to early language development. Evidence from various researchers (e.g. Nind and Hewett, 2005; Kellett, 2001) suggest the benefits of Intensive Interaction in terms of developing social interaction skills, eye contact, joint attention skills and the reduction of repetitive behaviours.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b w:val="1"/>
        </w:rPr>
      </w:pPr>
      <w:r w:rsidDel="00000000" w:rsidR="00000000" w:rsidRPr="00000000">
        <w:rPr>
          <w:b w:val="1"/>
          <w:rtl w:val="0"/>
        </w:rPr>
        <w:t xml:space="preserve">Case Study</w:t>
      </w:r>
    </w:p>
    <w:p w:rsidR="00000000" w:rsidDel="00000000" w:rsidP="00000000" w:rsidRDefault="00000000" w:rsidRPr="00000000">
      <w:pPr>
        <w:spacing w:line="360" w:lineRule="auto"/>
        <w:contextualSpacing w:val="0"/>
        <w:jc w:val="both"/>
        <w:rPr/>
      </w:pPr>
      <w:r w:rsidDel="00000000" w:rsidR="00000000" w:rsidRPr="00000000">
        <w:rPr>
          <w:rtl w:val="0"/>
        </w:rPr>
        <w:t xml:space="preserve">Child A (A) is a six year old child with profound and multiple learning difficulties. A has a diagnosis of Global Developmental Delay, Speech and Language Delay and Epilepsy.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has both physical and visual impairments. A is partially sighted and wears glasses, however it is unknown how severe the child’s visual impairment is.  A cannot walk independently but has access to both a wheelchair and a walker. A is able to walk when being supported by an adult, but has poor balance, walking on tiptoes (due to a tightness in ankles). A is, however, able to move around independently by bouncing on knees. A can hold objects in a palmer grip in both hands, but control is limited. </w:t>
      </w:r>
    </w:p>
    <w:p w:rsidR="00000000" w:rsidDel="00000000" w:rsidP="00000000" w:rsidRDefault="00000000" w:rsidRPr="00000000">
      <w:pPr>
        <w:spacing w:line="360" w:lineRule="auto"/>
        <w:contextualSpacing w:val="0"/>
        <w:jc w:val="both"/>
        <w:rPr>
          <w:b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is non-verbal, with limited understanding of spoken language. A will communicate needs, likes and dislikes by a range of vocalisations, facial expressions and body movement, but is reliant upon an adult to interpret these communication signals.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will often show enjoyment through laughing, smiling, bouncing and arm flapping. Discomfort, dislikes, refusal, tiredness, hunger and frustration are often displayed through crying, screaming, flailing arm movements, hitting and biting. A can become quickly frustrated and distressed when presented with something unwanted (whether this be food, object, work etc) or disliked.  A can find it difficult to self soothe once in this state but will also often refuse any physical contact or touch as a method of calming.</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majority of A’s responses occur after an event has occurred, for example screaming after an unwanted taste or after hands are placed on a disliked texture. However, some anticipatory behaviour is beginning to show for repeatedly presented stimuli.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A’s communicative signals can sometimes appear ambiguous, even to a familiar adult. A’s responses to stimuli can vary from day to day and are often dependent upon mood. This can make it difficult to determine whether an experience is disliked or whether it is just unwanted at that particular time.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A’s eye contact is fleeting, however will often smile in response to the voice of a familiar adult if the adult is nearby. A has limited play and social skills, preferring to play in isolation. A will frequently engage in repetitive behaviours, including: vocalising repetitive strings of sounds to self, flapping objects, hitting hand on chin, arm flapping.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appears to lack motivation for objects and toys, making it difficult to find things of interest. A’s current motivators involve the wind machine and food.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appears not to notice other peers in the class, often moving over them or pushing past them if they are where A wants to be. A displays no obvious signs to initiate communication with peers, however will very occasionally approach an adult and repetitively pat them on the back or leg, smiling when given a response.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Regular assessments conducted and the child’s statement provide support towards A’s significant delay in communication skills.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general assessment using B-Squared is carried out on a termly basis, the most recent assessment taken at the beginning of December. This assessment revealed A to be working within the P2(ii) of the P-levels for English (expressive and receptive skills), achieving 48% of this level. A has made slow progress within this level, making 3% progress over the last year.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Communicating Steps, devised by Elklan and McLachlan (2007), links communication levels to the P Levels. These suggest A is working at the ‘anticipatory’ level of communication, the stage between pre-intentional and intentional communication. At this level, the child will show a response to changes in themselves and their environment. They can make a response before an event occurs, showing an understanding of familiar events and routine. Vocalisations and other non-verbal communication cues are used to signal choices, likes and dislikes.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From observations and assessments of A, A is currently working between the stages of pre-intentional and anticipatory communication. A is beginning to show an awareness of familiar routines and is becoming more competent at signalling wants, likes and dislikes. However, A will often only make a response before an event occurs and is not always able to anticipate within familiar routines.</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is also regularly assessed using the Routes for Learning route map. A is currently working towards ‘Changes behaviour in response to an interesting event nearby’ (RFL 25) and has been working towards this objective throughout this school term. The Routes for learning assessment tool has been designed for children with PMLD, focussing on assessing early communication and cognition skills. It is a process-based assessment which focuses on the relationship between the child and their environment (Welsh Assembly Government, 2006).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follows an individual communication and cognition plan which is based upon the Routes for Learning route map. Observations are taken daily and assessments are carried out on a termly basis (along with the B-Squared assessment).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A’s level of communication was recently assessed using the Communication Matrix. This matrix is an assessment tool developed for children with severe to profound learning difficulties, focussing on early communication skills. Verbal communication, non-verbal communication, and AAC methods are considered within the assessment, focussing on the reasons why a child communicates and the behaviours used during this communication (Rowland, 2012). Assessment using this matrix suggests that Child A is working within Stage 2: Intentional Behaviour. At this communication level, the child is able to control their behaviour but has not yet developed the awareness to use it to communicate intentionally. At this stage the child still relies upon a caregiver to interpret their non-verbal communication cues.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Based on regular assessments and observations of A throughout the school year, a variety of interventions have been implemented within the classroom in order to develop communication skills.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Objects of reference are currently being used for A to aid understanding of spoken language and routines. A is beginning to show signs of anticipation through laughing and waving arms when shown a coat (for home time) and apron (for lunchtime). The same objects are used each day, with these same objects having been consistently used since A joined the class at age 4.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takes part in daily Tacpac sessions to develop anticipation, social interaction skills, and to develop differing reactions in response to stimuli. A’s engagement in Tacpac can be variable and very much depends on the child’s mood. During these sessions A will often quickly disengage and move away from the staff member or will fall asleep. For now, A’s progress within this intervention is limited.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Lack of motivation has also made the implementation of switches difficult. A would prefer to engage in isolated play through own repetitive behaviours, meaning that the behaviourist approach of ‘operant conditioning’, often used when developing skills in switch use, can present  a challenge.</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review of recent literature, assessments and observations of the child has led to the consideration of Intensive Interaction as an appropriate method of developing communication skills for child A. As a practitioner I feel it would be beneficial to explore the approach further before implementation for it to be used in the most effective and optimum way.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 will often in engage in isolated play, familiar and repetitive behaviours and will often exhibit negative behaviours due to high levels of frustration. Caldwell (2006) suggested Intensive Interaction as an effective approach to encourage learners to move from their own inner world to the outside world through imitating and shaping the child’s own behaviour. Research by SoHyun et al (2007, cited in Hutchinson and Bodicoat, 2015) suggests that the engagement in repetitive behaviours is linked to difficulties in social inclusion. This could suggest that Intensive Interaction, an approach which incorporates social inclusion, could be an effective method to reducing A’s repetitive behaviours. A development in social interaction skills and enjoyment in interaction will then have an impact on A’s behaviour, leading to a reduction in negative behaviours and distress through giving the child a means to communicate and be responded to.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Based on this, I believe that Intensive Interaction would be a beneficial approach for child A, looking to reduce frustrated behaviour, to unlock A from repetitive behaviours and to begin to develop an understanding of the ‘fundamentals of communication’.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Ethical guidelines must be considered prior to commencing research. The child involved in the research is vulnerable. A delay in cognitive and communication skills will have an impact on the child’s ability to give informed consent to the research and their understanding of the purpose of it. Parental consent for participation and use of observations and video recording will be gained prior to commencing the research.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Parents will be made aware of the purpose of the research and the theory behind it. They will also be made aware of their right to withdraw their child at any point before or after the research. Research will be stopped if the child begins to show signs of distress or indications of refusal to be involved.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Any observations, assessments and information linked to the child will be kept in a secure place. Any memory sticks, laptops or portable hard drives used will be encrypted or password protected to ensure that the child’s right to privacy and anonymity is maintained (BERA, 2011). Any personal information surrounding the child will be eliminated from the research to protect the child’s anonymity.</w:t>
      </w:r>
    </w:p>
    <w:p w:rsidR="00000000" w:rsidDel="00000000" w:rsidP="00000000" w:rsidRDefault="00000000" w:rsidRPr="00000000">
      <w:pPr>
        <w:spacing w:line="360" w:lineRule="auto"/>
        <w:contextualSpacing w:val="0"/>
        <w:jc w:val="both"/>
        <w:rPr>
          <w:b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Prior to the introduction of Intensive Interaction, subjective and objective observations will be made of the child (Nind and Hewett, 2005), an important element to the approach (Barber, 2005). This is to allow time to get to know the child, to note any particular behaviours they may display/things they may enjoy. </w:t>
      </w:r>
    </w:p>
    <w:p w:rsidR="00000000" w:rsidDel="00000000" w:rsidP="00000000" w:rsidRDefault="00000000" w:rsidRPr="00000000">
      <w:pPr>
        <w:spacing w:line="360" w:lineRule="auto"/>
        <w:contextualSpacing w:val="0"/>
        <w:jc w:val="both"/>
        <w:rPr/>
      </w:pPr>
      <w:r w:rsidDel="00000000" w:rsidR="00000000" w:rsidRPr="00000000">
        <w:rPr>
          <w:rtl w:val="0"/>
        </w:rPr>
        <w:t xml:space="preserve">The Intensive Interaction approach recognises the importance of accepting the child for who they are, embracing their chosen behaviours (Nind and Hewett, 2005). Observations will be written after each session including photographic and video evidence which could be particularly useful when analysing interactions after the session and assessing progress made. </w:t>
      </w:r>
    </w:p>
    <w:p w:rsidR="00000000" w:rsidDel="00000000" w:rsidP="00000000" w:rsidRDefault="00000000" w:rsidRPr="00000000">
      <w:pPr>
        <w:spacing w:line="360" w:lineRule="auto"/>
        <w:contextualSpacing w:val="0"/>
        <w:jc w:val="both"/>
        <w:rPr>
          <w:b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One of the advantages of Intensive Interaction is that it does not involve any specific equipment, only the communicative partner, the child, and any additional resources that the child may engage with during these sessions. There are no set structures for observations to be recorded, although Affective Communication Assessment (Coupe O’Kane and Goldbart, 1998) or the 7 Point Interaction Scale (Laurie, 2017) could be used. </w:t>
      </w:r>
    </w:p>
    <w:p w:rsidR="00000000" w:rsidDel="00000000" w:rsidP="00000000" w:rsidRDefault="00000000" w:rsidRPr="00000000">
      <w:pPr>
        <w:spacing w:line="360" w:lineRule="auto"/>
        <w:contextualSpacing w:val="0"/>
        <w:jc w:val="both"/>
        <w:rPr>
          <w:b w:val="1"/>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Intensive Interaction sessions will take place daily in a familiar environment, involving the child and a familiar member of staff. They will be child-led, the structure of the session following the direction in which the child takes it. Objectives and aims for the session can be identified, albeit one cannot predict the direction the session may take (Nind and Hewett, 2005).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During these sessions, the staff member will continually respond and interpret the child’s behaviour (Barber, 2005). The adult must shape and react to responses to gain the child’s attention. The adult must tune in to any gestures, movements or sounds that the child is making, such as jumping up and down, flapping their hands, or simply focussing on the pattern of their own breathing (Caldwell, 2013). To imitate, shape and respond to the child’s behaviour, the adult must consider how the child may feel when they are engaged in these behaviours (Caldwell, 2018).</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The early stages of Intensive Interaction sessions may involve behaviour purely being imitated by the adult. However, to develop this further the adult must make a slight change to the behaviour they are imitating, maybe by adding a new sound, adding an element of surprise. This element of surprise will then further gain the child’s interest, encouraging them to continue to want engage in the interactive process (Caldwell, 2006).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When considering the effectiveness of Intensive Interaction for child A, it is also beneficial to consider the views of other practitioners. Research by Barber (2007) found that school staff reported difficulties in remembering to differentiate their responses during interactions with the child.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Samuel et al (2008) and Kellett (2003) found some issues in implementing Intensive Interaction in a school setting. Both researchers suggested the importance of Intensive Interaction as a whole school approach for there to be consistency of use with the child. Training for staff on Intensive Interaction was also suggested as beneficial to ensure that the approach is being used consistently and effectively.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Nind and Hewett (2005) highlighted the importance of working as team. I feel this is crucial to ensure all staff are responding to a child’s communication attempts consistently and purposefully. These factors should be fully considered before the ACC method is introduced to the child.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In conclusion, Intensive Interaction is an enjoyable approach to developing early communication skills. It allows children to communicate through their own language, recognising the active role the child plays in the interaction process. Intensive Interaction sessions develop the child’s self-esteem by giving them ownership of the session and by a responsive adult valuing their actions and responses. It allows the child to build their trust with a familiar adult and take part in social turn taking games. Social communication skills are established and the child develops an awareness of their surrounding environment and the benefits to interacting with another person (Nind and Hewett, 2005).</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As no research has yet been conducted, it is unknown whether Intensive Interaction is an  intervention for Child A. However, from the research surrounding the approach, I feel that it could have a beneficial impact in developing early communication skills for A.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t xml:space="preserve">Brown (in Wyman, 1996, cited in Welsh Assembly Government, 2006: 28) states ‘Communication is a dynamic process not a static situation so we should never “arrive” at a definitive programme for a child.’ It is thus reasonable to infer that a variety of different AAC methods should be implemented to give children with PMLD the best and most effective opportunities for developing communication skills.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bookmarkStart w:colFirst="0" w:colLast="0" w:name="_30j0zll" w:id="0"/>
      <w:bookmarkEnd w:id="0"/>
      <w:r w:rsidDel="00000000" w:rsidR="00000000" w:rsidRPr="00000000">
        <w:rPr>
          <w:rtl w:val="0"/>
        </w:rPr>
        <w:t xml:space="preserve">Developing early communication skills involves an active process between both learner and communicating adult. All adults involved with working with the child should be responsive to the child’s communicative attempts, take time to interpret their signals and get to know the child. Children with PMLD may always remain at the level of preintentional communication, however it is important that these children are given opportunities to engage in interactive conversations, play activities and ‘turn-taking’ games to encourage children to interact through their own means. </w:t>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rPr>
          <w:rtl w:val="0"/>
        </w:rPr>
      </w:r>
    </w:p>
    <w:p w:rsidR="00000000" w:rsidDel="00000000" w:rsidP="00000000" w:rsidRDefault="00000000" w:rsidRPr="00000000">
      <w:pPr>
        <w:spacing w:line="360" w:lineRule="auto"/>
        <w:contextualSpacing w:val="0"/>
        <w:jc w:val="both"/>
        <w:rPr/>
      </w:pPr>
      <w:r w:rsidDel="00000000" w:rsidR="00000000" w:rsidRPr="00000000">
        <w:br w:type="page"/>
      </w:r>
      <w:r w:rsidDel="00000000" w:rsidR="00000000" w:rsidRPr="00000000">
        <w:rPr>
          <w:rtl w:val="0"/>
        </w:rPr>
      </w:r>
    </w:p>
    <w:p w:rsidR="00000000" w:rsidDel="00000000" w:rsidP="00000000" w:rsidRDefault="00000000" w:rsidRPr="00000000">
      <w:pPr>
        <w:spacing w:line="276" w:lineRule="auto"/>
        <w:contextualSpacing w:val="0"/>
        <w:jc w:val="center"/>
        <w:rPr>
          <w:b w:val="1"/>
          <w:highlight w:val="white"/>
        </w:rPr>
      </w:pPr>
      <w:r w:rsidDel="00000000" w:rsidR="00000000" w:rsidRPr="00000000">
        <w:rPr>
          <w:b w:val="1"/>
          <w:highlight w:val="white"/>
          <w:rtl w:val="0"/>
        </w:rPr>
        <w:t xml:space="preserve">References</w:t>
      </w:r>
    </w:p>
    <w:p w:rsidR="00000000" w:rsidDel="00000000" w:rsidP="00000000" w:rsidRDefault="00000000" w:rsidRPr="00000000">
      <w:pPr>
        <w:spacing w:line="276" w:lineRule="auto"/>
        <w:contextualSpacing w:val="0"/>
        <w:jc w:val="center"/>
        <w:rPr>
          <w:b w:val="1"/>
          <w:highlight w:val="white"/>
        </w:rPr>
      </w:pPr>
      <w:r w:rsidDel="00000000" w:rsidR="00000000" w:rsidRPr="00000000">
        <w:rPr>
          <w:rtl w:val="0"/>
        </w:rPr>
      </w:r>
    </w:p>
    <w:p w:rsidR="00000000" w:rsidDel="00000000" w:rsidP="00000000" w:rsidRDefault="00000000" w:rsidRPr="00000000">
      <w:pPr>
        <w:spacing w:line="276" w:lineRule="auto"/>
        <w:contextualSpacing w:val="0"/>
        <w:jc w:val="center"/>
        <w:rPr>
          <w:b w:val="1"/>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Atkin, K. and Perlman Lorch, M. (2014) ‘An ecological method for the sampling of nonverbal signalling behaviours of young children with profound and multiple learning disabilities (PMLD)’, </w:t>
      </w:r>
      <w:r w:rsidDel="00000000" w:rsidR="00000000" w:rsidRPr="00000000">
        <w:rPr>
          <w:i w:val="1"/>
          <w:highlight w:val="white"/>
          <w:rtl w:val="0"/>
        </w:rPr>
        <w:t xml:space="preserve">Developmental Rehabilitation, </w:t>
      </w:r>
      <w:r w:rsidDel="00000000" w:rsidR="00000000" w:rsidRPr="00000000">
        <w:rPr>
          <w:highlight w:val="white"/>
          <w:rtl w:val="0"/>
        </w:rPr>
        <w:t xml:space="preserve">pp.1-50, [online]. Available at: </w:t>
      </w:r>
      <w:hyperlink r:id="rId6">
        <w:r w:rsidDel="00000000" w:rsidR="00000000" w:rsidRPr="00000000">
          <w:rPr>
            <w:color w:val="1155cc"/>
            <w:highlight w:val="white"/>
            <w:u w:val="single"/>
            <w:rtl w:val="0"/>
          </w:rPr>
          <w:t xml:space="preserve">http://eprints.bbk.ac.uk/9971/1/9971.pdf</w:t>
        </w:r>
      </w:hyperlink>
      <w:r w:rsidDel="00000000" w:rsidR="00000000" w:rsidRPr="00000000">
        <w:rPr>
          <w:highlight w:val="white"/>
          <w:rtl w:val="0"/>
        </w:rPr>
        <w:t xml:space="preserve"> [Accessed: 7th January 2018]</w:t>
      </w:r>
    </w:p>
    <w:p w:rsidR="00000000" w:rsidDel="00000000" w:rsidP="00000000" w:rsidRDefault="00000000" w:rsidRPr="00000000">
      <w:pPr>
        <w:spacing w:line="276" w:lineRule="auto"/>
        <w:contextualSpacing w:val="0"/>
        <w:jc w:val="center"/>
        <w:rPr>
          <w:b w:val="1"/>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Baxter, S., Enderby, P., Evans, P., Judge, S. (2012) ‘High-Technology Communication Devices: A State of the Art Review’, </w:t>
      </w:r>
      <w:r w:rsidDel="00000000" w:rsidR="00000000" w:rsidRPr="00000000">
        <w:rPr>
          <w:i w:val="1"/>
          <w:highlight w:val="white"/>
          <w:rtl w:val="0"/>
        </w:rPr>
        <w:t xml:space="preserve">Folia Phoniatr Logop, </w:t>
      </w:r>
      <w:r w:rsidDel="00000000" w:rsidR="00000000" w:rsidRPr="00000000">
        <w:rPr>
          <w:highlight w:val="white"/>
          <w:rtl w:val="0"/>
        </w:rPr>
        <w:t xml:space="preserve">64, pp.137-144, [online]. Available at: </w:t>
      </w:r>
      <w:hyperlink r:id="rId7">
        <w:r w:rsidDel="00000000" w:rsidR="00000000" w:rsidRPr="00000000">
          <w:rPr>
            <w:color w:val="1155cc"/>
            <w:highlight w:val="white"/>
            <w:u w:val="single"/>
            <w:rtl w:val="0"/>
          </w:rPr>
          <w:t xml:space="preserve">https://www.communicationmatters.org.uk/sites/default/files/downloads/projects/aac_evidence_base/2013_interventions_using_high_technology.pdf</w:t>
        </w:r>
      </w:hyperlink>
      <w:r w:rsidDel="00000000" w:rsidR="00000000" w:rsidRPr="00000000">
        <w:rPr>
          <w:highlight w:val="white"/>
          <w:rtl w:val="0"/>
        </w:rPr>
        <w:t xml:space="preserve"> [Accessed: 6th January 2018]</w:t>
      </w:r>
    </w:p>
    <w:p w:rsidR="00000000" w:rsidDel="00000000" w:rsidP="00000000" w:rsidRDefault="00000000" w:rsidRPr="00000000">
      <w:pPr>
        <w:spacing w:line="276" w:lineRule="auto"/>
        <w:contextualSpacing w:val="0"/>
        <w:rPr>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Barber, M. (2001) ‘Affective Communication Assessment: An Owners Manual’, </w:t>
      </w:r>
      <w:r w:rsidDel="00000000" w:rsidR="00000000" w:rsidRPr="00000000">
        <w:rPr>
          <w:i w:val="1"/>
          <w:highlight w:val="white"/>
          <w:rtl w:val="0"/>
        </w:rPr>
        <w:t xml:space="preserve"> PMLD LINK,</w:t>
      </w:r>
      <w:r w:rsidDel="00000000" w:rsidR="00000000" w:rsidRPr="00000000">
        <w:rPr>
          <w:highlight w:val="white"/>
          <w:rtl w:val="0"/>
        </w:rPr>
        <w:t xml:space="preserve"> 13(2), 39, pp.16-19, [online].  Available at: </w:t>
      </w:r>
      <w:hyperlink r:id="rId8">
        <w:r w:rsidDel="00000000" w:rsidR="00000000" w:rsidRPr="00000000">
          <w:rPr>
            <w:highlight w:val="white"/>
            <w:u w:val="single"/>
            <w:rtl w:val="0"/>
          </w:rPr>
          <w:t xml:space="preserve">http://drmarkbarber.co.uk/ACAOWNERSMANUAL.pdf</w:t>
        </w:r>
      </w:hyperlink>
      <w:r w:rsidDel="00000000" w:rsidR="00000000" w:rsidRPr="00000000">
        <w:rPr>
          <w:highlight w:val="white"/>
          <w:rtl w:val="0"/>
        </w:rPr>
        <w:t xml:space="preserve"> [Accessed: 6th January 2018]</w:t>
      </w:r>
    </w:p>
    <w:p w:rsidR="00000000" w:rsidDel="00000000" w:rsidP="00000000" w:rsidRDefault="00000000" w:rsidRPr="00000000">
      <w:pPr>
        <w:spacing w:line="276" w:lineRule="auto"/>
        <w:contextualSpacing w:val="0"/>
        <w:rPr>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Barber, M. (2005) ‘Intensive Interaction: Some practical issues’ Available at: </w:t>
      </w:r>
      <w:hyperlink r:id="rId9">
        <w:r w:rsidDel="00000000" w:rsidR="00000000" w:rsidRPr="00000000">
          <w:rPr>
            <w:color w:val="1155cc"/>
            <w:highlight w:val="white"/>
            <w:u w:val="single"/>
            <w:rtl w:val="0"/>
          </w:rPr>
          <w:t xml:space="preserve">http://drmarkbarber.co.uk/intensiveinteractionpractical.pdf</w:t>
        </w:r>
      </w:hyperlink>
      <w:r w:rsidDel="00000000" w:rsidR="00000000" w:rsidRPr="00000000">
        <w:rPr>
          <w:highlight w:val="white"/>
          <w:rtl w:val="0"/>
        </w:rPr>
        <w:t xml:space="preserve"> [Accessed: 6th January 2018]</w:t>
      </w:r>
    </w:p>
    <w:p w:rsidR="00000000" w:rsidDel="00000000" w:rsidP="00000000" w:rsidRDefault="00000000" w:rsidRPr="00000000">
      <w:pPr>
        <w:spacing w:line="276" w:lineRule="auto"/>
        <w:contextualSpacing w:val="0"/>
        <w:rPr>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Barber, M. (2007) ‘Imitation, interaction and dialogue using Intensive Interaction: tea party rules’, </w:t>
      </w:r>
      <w:r w:rsidDel="00000000" w:rsidR="00000000" w:rsidRPr="00000000">
        <w:rPr>
          <w:i w:val="1"/>
          <w:highlight w:val="white"/>
          <w:rtl w:val="0"/>
        </w:rPr>
        <w:t xml:space="preserve">Support for Learning, </w:t>
      </w:r>
      <w:r w:rsidDel="00000000" w:rsidR="00000000" w:rsidRPr="00000000">
        <w:rPr>
          <w:highlight w:val="white"/>
          <w:rtl w:val="0"/>
        </w:rPr>
        <w:t xml:space="preserve">22(3), pp.124-130</w:t>
      </w:r>
    </w:p>
    <w:p w:rsidR="00000000" w:rsidDel="00000000" w:rsidP="00000000" w:rsidRDefault="00000000" w:rsidRPr="00000000">
      <w:pPr>
        <w:spacing w:line="276" w:lineRule="auto"/>
        <w:contextualSpacing w:val="0"/>
        <w:rPr>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Barber, M. (2008) ‘Using Intensive Interaction to add to the palette of interactive possibilities in teacher–pupil communication’,</w:t>
      </w:r>
      <w:r w:rsidDel="00000000" w:rsidR="00000000" w:rsidRPr="00000000">
        <w:rPr>
          <w:i w:val="1"/>
          <w:highlight w:val="white"/>
          <w:rtl w:val="0"/>
        </w:rPr>
        <w:t xml:space="preserve"> European Journal of Special Needs Education, </w:t>
      </w:r>
      <w:r w:rsidDel="00000000" w:rsidR="00000000" w:rsidRPr="00000000">
        <w:rPr>
          <w:highlight w:val="white"/>
          <w:rtl w:val="0"/>
        </w:rPr>
        <w:t xml:space="preserve">23(4), November, pp.393-402.</w:t>
      </w:r>
    </w:p>
    <w:p w:rsidR="00000000" w:rsidDel="00000000" w:rsidP="00000000" w:rsidRDefault="00000000" w:rsidRPr="00000000">
      <w:pPr>
        <w:spacing w:line="276" w:lineRule="auto"/>
        <w:contextualSpacing w:val="0"/>
        <w:rPr>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Battye, A. (2017) </w:t>
      </w:r>
      <w:r w:rsidDel="00000000" w:rsidR="00000000" w:rsidRPr="00000000">
        <w:rPr>
          <w:i w:val="1"/>
          <w:highlight w:val="white"/>
          <w:rtl w:val="0"/>
        </w:rPr>
        <w:t xml:space="preserve">Who's Afraid of AAC?: The UK Guide to Augmentative and Alternative.</w:t>
        <w:br w:type="textWrapping"/>
      </w:r>
      <w:r w:rsidDel="00000000" w:rsidR="00000000" w:rsidRPr="00000000">
        <w:rPr>
          <w:highlight w:val="white"/>
          <w:rtl w:val="0"/>
        </w:rPr>
        <w:t xml:space="preserve">London and New York: Routledge.</w:t>
      </w:r>
    </w:p>
    <w:p w:rsidR="00000000" w:rsidDel="00000000" w:rsidP="00000000" w:rsidRDefault="00000000" w:rsidRPr="00000000">
      <w:pPr>
        <w:spacing w:line="276" w:lineRule="auto"/>
        <w:contextualSpacing w:val="0"/>
        <w:rPr>
          <w:highlight w:val="white"/>
        </w:rPr>
      </w:pPr>
      <w:r w:rsidDel="00000000" w:rsidR="00000000" w:rsidRPr="00000000">
        <w:rPr>
          <w:rtl w:val="0"/>
        </w:rPr>
      </w:r>
    </w:p>
    <w:p w:rsidR="00000000" w:rsidDel="00000000" w:rsidP="00000000" w:rsidRDefault="00000000" w:rsidRPr="00000000">
      <w:pPr>
        <w:spacing w:line="276" w:lineRule="auto"/>
        <w:contextualSpacing w:val="0"/>
        <w:rPr>
          <w:highlight w:val="white"/>
        </w:rPr>
      </w:pPr>
      <w:r w:rsidDel="00000000" w:rsidR="00000000" w:rsidRPr="00000000">
        <w:rPr>
          <w:highlight w:val="white"/>
          <w:rtl w:val="0"/>
        </w:rPr>
        <w:t xml:space="preserve">Bondy, A. and Frost, L. (2001) ‘The Picture Exchange Communication System’, </w:t>
      </w:r>
      <w:r w:rsidDel="00000000" w:rsidR="00000000" w:rsidRPr="00000000">
        <w:rPr>
          <w:i w:val="1"/>
          <w:highlight w:val="white"/>
          <w:rtl w:val="0"/>
        </w:rPr>
        <w:t xml:space="preserve">Behavior Modification, </w:t>
      </w:r>
      <w:r w:rsidDel="00000000" w:rsidR="00000000" w:rsidRPr="00000000">
        <w:rPr>
          <w:highlight w:val="white"/>
          <w:rtl w:val="0"/>
        </w:rPr>
        <w:t xml:space="preserve">25(5), pp.725-744, [online]. Available at: </w:t>
      </w:r>
      <w:hyperlink r:id="rId10">
        <w:r w:rsidDel="00000000" w:rsidR="00000000" w:rsidRPr="00000000">
          <w:rPr>
            <w:color w:val="1155cc"/>
            <w:highlight w:val="white"/>
            <w:u w:val="single"/>
            <w:rtl w:val="0"/>
          </w:rPr>
          <w:t xml:space="preserve">http://journals.sagepub.com.ezproxy.uwtsd.ac.uk/doi/pdf/10.1177/0145445501255004</w:t>
        </w:r>
      </w:hyperlink>
      <w:r w:rsidDel="00000000" w:rsidR="00000000" w:rsidRPr="00000000">
        <w:rPr>
          <w:highlight w:val="white"/>
          <w:rtl w:val="0"/>
        </w:rPr>
        <w:t xml:space="preserve"> [Accessed: 6th January 2018]</w:t>
        <w:br w:type="textWrapping"/>
      </w:r>
    </w:p>
    <w:p w:rsidR="00000000" w:rsidDel="00000000" w:rsidP="00000000" w:rsidRDefault="00000000" w:rsidRPr="00000000">
      <w:pPr>
        <w:spacing w:line="276" w:lineRule="auto"/>
        <w:contextualSpacing w:val="0"/>
        <w:rPr/>
      </w:pPr>
      <w:r w:rsidDel="00000000" w:rsidR="00000000" w:rsidRPr="00000000">
        <w:rPr>
          <w:highlight w:val="white"/>
          <w:rtl w:val="0"/>
        </w:rPr>
        <w:t xml:space="preserve">British Educational Research Association (BERA) (2011) </w:t>
      </w:r>
      <w:r w:rsidDel="00000000" w:rsidR="00000000" w:rsidRPr="00000000">
        <w:rPr>
          <w:i w:val="1"/>
          <w:highlight w:val="white"/>
          <w:rtl w:val="0"/>
        </w:rPr>
        <w:t xml:space="preserve">Ethical guidelines for educational research</w:t>
      </w:r>
      <w:r w:rsidDel="00000000" w:rsidR="00000000" w:rsidRPr="00000000">
        <w:rPr>
          <w:highlight w:val="white"/>
          <w:rtl w:val="0"/>
        </w:rPr>
        <w:t xml:space="preserve">. Available at: </w:t>
      </w:r>
      <w:hyperlink r:id="rId11">
        <w:r w:rsidDel="00000000" w:rsidR="00000000" w:rsidRPr="00000000">
          <w:rPr>
            <w:highlight w:val="white"/>
            <w:u w:val="single"/>
            <w:rtl w:val="0"/>
          </w:rPr>
          <w:t xml:space="preserve">https://www.bera.ac.uk/researchers-resources/publications/ethical-guidelines-for-educational-research-2011</w:t>
        </w:r>
      </w:hyperlink>
      <w:r w:rsidDel="00000000" w:rsidR="00000000" w:rsidRPr="00000000">
        <w:rPr>
          <w:highlight w:val="white"/>
          <w:rtl w:val="0"/>
        </w:rPr>
        <w:t xml:space="preserve"> [Accessed: 4th January 2018]. </w:t>
      </w: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Bradley, H. ‘Assessing and Developing Successful Communication’ in Lacey, P., and Ouvry, C. (eds), (1998) </w:t>
      </w:r>
      <w:r w:rsidDel="00000000" w:rsidR="00000000" w:rsidRPr="00000000">
        <w:rPr>
          <w:i w:val="1"/>
          <w:rtl w:val="0"/>
        </w:rPr>
        <w:t xml:space="preserve">People with Profound and Multiple Learning Disabilities. A Collaborative Approach to Meeting Complex Needs. </w:t>
      </w:r>
      <w:r w:rsidDel="00000000" w:rsidR="00000000" w:rsidRPr="00000000">
        <w:rPr>
          <w:rtl w:val="0"/>
        </w:rPr>
        <w:t xml:space="preserve">London: David Fulton Publishers, pp.50-65.</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Bunning, K. ‘Making sense of communication’ in Pawlyn, J., and Carnaby, S. (eds), (2009) </w:t>
      </w:r>
      <w:r w:rsidDel="00000000" w:rsidR="00000000" w:rsidRPr="00000000">
        <w:rPr>
          <w:i w:val="1"/>
          <w:rtl w:val="0"/>
        </w:rPr>
        <w:t xml:space="preserve">Profound Intellectual and Multiple Disabilities: Nursing Complex Needs. </w:t>
      </w:r>
      <w:r w:rsidDel="00000000" w:rsidR="00000000" w:rsidRPr="00000000">
        <w:rPr>
          <w:rtl w:val="0"/>
        </w:rPr>
        <w:t xml:space="preserve">Oxford: Wiley Blackwell, pp.46-61.</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Caldwell, P. (2006) ‘Speaking the Other’s Language: Imitation as a Gateway to Relationship’, </w:t>
      </w:r>
      <w:r w:rsidDel="00000000" w:rsidR="00000000" w:rsidRPr="00000000">
        <w:rPr>
          <w:i w:val="1"/>
          <w:rtl w:val="0"/>
        </w:rPr>
        <w:t xml:space="preserve">Infant and Child Development Infant Child Development, </w:t>
      </w:r>
      <w:r w:rsidDel="00000000" w:rsidR="00000000" w:rsidRPr="00000000">
        <w:rPr>
          <w:rtl w:val="0"/>
        </w:rPr>
        <w:t xml:space="preserve">15, pp.275-282.</w:t>
      </w:r>
    </w:p>
    <w:p w:rsidR="00000000" w:rsidDel="00000000" w:rsidP="00000000" w:rsidRDefault="00000000" w:rsidRPr="00000000">
      <w:pPr>
        <w:spacing w:line="276" w:lineRule="auto"/>
        <w:contextualSpacing w:val="0"/>
        <w:rPr>
          <w:i w:val="1"/>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Caldwell, P. (2013) ‘Intensive Interaction: Using Body Language to Communicate’, </w:t>
      </w:r>
      <w:r w:rsidDel="00000000" w:rsidR="00000000" w:rsidRPr="00000000">
        <w:rPr>
          <w:i w:val="1"/>
          <w:rtl w:val="0"/>
        </w:rPr>
        <w:t xml:space="preserve">Journal on Developmental Disabilities, </w:t>
      </w:r>
      <w:r w:rsidDel="00000000" w:rsidR="00000000" w:rsidRPr="00000000">
        <w:rPr>
          <w:rtl w:val="0"/>
        </w:rPr>
        <w:t xml:space="preserve">19(1), pp.33-39.</w:t>
      </w:r>
    </w:p>
    <w:p w:rsidR="00000000" w:rsidDel="00000000" w:rsidP="00000000" w:rsidRDefault="00000000" w:rsidRPr="00000000">
      <w:pPr>
        <w:spacing w:line="276" w:lineRule="auto"/>
        <w:contextualSpacing w:val="0"/>
        <w:rPr>
          <w:i w:val="1"/>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Caldwell, P. (2018) ‘Intensive Interaction’ Available at: </w:t>
      </w:r>
    </w:p>
    <w:p w:rsidR="00000000" w:rsidDel="00000000" w:rsidP="00000000" w:rsidRDefault="00000000" w:rsidRPr="00000000">
      <w:pPr>
        <w:spacing w:line="276" w:lineRule="auto"/>
        <w:contextualSpacing w:val="0"/>
        <w:rPr/>
      </w:pPr>
      <w:hyperlink r:id="rId12">
        <w:r w:rsidDel="00000000" w:rsidR="00000000" w:rsidRPr="00000000">
          <w:rPr>
            <w:u w:val="single"/>
            <w:rtl w:val="0"/>
          </w:rPr>
          <w:t xml:space="preserve">http://www.phoebecaldwell.co.uk/work.asp</w:t>
        </w:r>
      </w:hyperlink>
      <w:r w:rsidDel="00000000" w:rsidR="00000000" w:rsidRPr="00000000">
        <w:rPr>
          <w:rtl w:val="0"/>
        </w:rPr>
        <w:t xml:space="preserve"> [Accessed: 3rd January 2018] </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Charlop-Christy, M., Carpenter, M., Loc, L., Leblanc, L.A., and Kellet, K. (2002). ‘Using the Picture Exchange Communication System (PECS) with children with Autism: Assessment of PECS acquisition, speech, social-communicative behavior, and problem behavior’. </w:t>
      </w:r>
      <w:r w:rsidDel="00000000" w:rsidR="00000000" w:rsidRPr="00000000">
        <w:rPr>
          <w:i w:val="1"/>
          <w:rtl w:val="0"/>
        </w:rPr>
        <w:t xml:space="preserve">Journal of applied behavior analysis, </w:t>
      </w:r>
      <w:r w:rsidDel="00000000" w:rsidR="00000000" w:rsidRPr="00000000">
        <w:rPr>
          <w:rtl w:val="0"/>
        </w:rPr>
        <w:t xml:space="preserve">35, pp.213-231, [online]. Available at: </w:t>
      </w:r>
      <w:hyperlink r:id="rId13">
        <w:r w:rsidDel="00000000" w:rsidR="00000000" w:rsidRPr="00000000">
          <w:rPr>
            <w:color w:val="1155cc"/>
            <w:u w:val="single"/>
            <w:rtl w:val="0"/>
          </w:rPr>
          <w:t xml:space="preserve">https://www.ncbi.nlm.nih.gov/pmc/articles/PMC1284381/pdf/12365736.pdf</w:t>
        </w:r>
      </w:hyperlink>
      <w:r w:rsidDel="00000000" w:rsidR="00000000" w:rsidRPr="00000000">
        <w:rPr>
          <w:rtl w:val="0"/>
        </w:rPr>
        <w:t xml:space="preserve">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Close, N. (2010) ‘Language Development’ Available at: </w:t>
      </w:r>
      <w:hyperlink r:id="rId14">
        <w:r w:rsidDel="00000000" w:rsidR="00000000" w:rsidRPr="00000000">
          <w:rPr>
            <w:u w:val="single"/>
            <w:rtl w:val="0"/>
          </w:rPr>
          <w:t xml:space="preserve">https://gb.education.com/download-pdf/reference/22872/</w:t>
        </w:r>
      </w:hyperlink>
      <w:r w:rsidDel="00000000" w:rsidR="00000000" w:rsidRPr="00000000">
        <w:rPr>
          <w:rtl w:val="0"/>
        </w:rPr>
        <w:t xml:space="preserve"> [Accessed: 5th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i w:val="1"/>
        </w:rPr>
      </w:pPr>
      <w:r w:rsidDel="00000000" w:rsidR="00000000" w:rsidRPr="00000000">
        <w:rPr>
          <w:rtl w:val="0"/>
        </w:rPr>
        <w:t xml:space="preserve">Coupe O’Kane, J., and Goldbart, J. (1998) </w:t>
      </w:r>
      <w:r w:rsidDel="00000000" w:rsidR="00000000" w:rsidRPr="00000000">
        <w:rPr>
          <w:i w:val="1"/>
          <w:rtl w:val="0"/>
        </w:rPr>
        <w:t xml:space="preserve">Communication Before Speech. (2nd ed) London: David Fulton Publishers</w:t>
      </w:r>
    </w:p>
    <w:p w:rsidR="00000000" w:rsidDel="00000000" w:rsidP="00000000" w:rsidRDefault="00000000" w:rsidRPr="00000000">
      <w:pPr>
        <w:spacing w:line="276" w:lineRule="auto"/>
        <w:contextualSpacing w:val="0"/>
        <w:rPr>
          <w:i w:val="1"/>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Communication Matters (2013) </w:t>
      </w:r>
      <w:r w:rsidDel="00000000" w:rsidR="00000000" w:rsidRPr="00000000">
        <w:rPr>
          <w:i w:val="1"/>
          <w:rtl w:val="0"/>
        </w:rPr>
        <w:t xml:space="preserve">Shining a light on augmentative and alternative communication. </w:t>
      </w:r>
      <w:r w:rsidDel="00000000" w:rsidR="00000000" w:rsidRPr="00000000">
        <w:rPr>
          <w:rtl w:val="0"/>
        </w:rPr>
        <w:t xml:space="preserve">Research Matters: an AAC Evidence Base research project – final report</w:t>
      </w:r>
      <w:r w:rsidDel="00000000" w:rsidR="00000000" w:rsidRPr="00000000">
        <w:rPr>
          <w:i w:val="1"/>
          <w:rtl w:val="0"/>
        </w:rPr>
        <w:t xml:space="preserve">. </w:t>
      </w:r>
      <w:r w:rsidDel="00000000" w:rsidR="00000000" w:rsidRPr="00000000">
        <w:rPr>
          <w:rtl w:val="0"/>
        </w:rPr>
        <w:t xml:space="preserve">Available at: </w:t>
      </w:r>
      <w:hyperlink r:id="rId15">
        <w:r w:rsidDel="00000000" w:rsidR="00000000" w:rsidRPr="00000000">
          <w:rPr>
            <w:color w:val="1155cc"/>
            <w:u w:val="single"/>
            <w:rtl w:val="0"/>
          </w:rPr>
          <w:t xml:space="preserve">http://www.communicationmatters.org.uk/sites/default/files/downloads/projects/aac_evidence_base/2013_Shining_a_Light_on_AAC.pdf</w:t>
        </w:r>
      </w:hyperlink>
      <w:r w:rsidDel="00000000" w:rsidR="00000000" w:rsidRPr="00000000">
        <w:rPr>
          <w:rtl w:val="0"/>
        </w:rPr>
        <w:t xml:space="preserve">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spacing w:line="240" w:lineRule="auto"/>
        <w:contextualSpacing w:val="0"/>
        <w:rPr>
          <w:highlight w:val="white"/>
        </w:rPr>
      </w:pPr>
      <w:r w:rsidDel="00000000" w:rsidR="00000000" w:rsidRPr="00000000">
        <w:rPr>
          <w:highlight w:val="white"/>
          <w:rtl w:val="0"/>
        </w:rPr>
        <w:t xml:space="preserve">Curry, H.,  and Woodward, S. (2007)  Using an eye gaze system with two primary-school pupils with severe accessing difficulties. </w:t>
      </w:r>
      <w:r w:rsidDel="00000000" w:rsidR="00000000" w:rsidRPr="00000000">
        <w:rPr>
          <w:i w:val="1"/>
          <w:highlight w:val="white"/>
          <w:rtl w:val="0"/>
        </w:rPr>
        <w:t xml:space="preserve">Communication Matters</w:t>
      </w:r>
      <w:r w:rsidDel="00000000" w:rsidR="00000000" w:rsidRPr="00000000">
        <w:rPr>
          <w:highlight w:val="white"/>
          <w:rtl w:val="0"/>
        </w:rPr>
        <w:t xml:space="preserve"> [online] 21(3), 2–4, Available at:</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spacing w:line="240" w:lineRule="auto"/>
        <w:contextualSpacing w:val="0"/>
        <w:rPr/>
      </w:pPr>
      <w:hyperlink r:id="rId16">
        <w:r w:rsidDel="00000000" w:rsidR="00000000" w:rsidRPr="00000000">
          <w:rPr>
            <w:highlight w:val="white"/>
            <w:u w:val="single"/>
            <w:rtl w:val="0"/>
          </w:rPr>
          <w:t xml:space="preserve">http://www.communicationmatters.org.uk/sites/default/files/downloads/cmjournals/cmj_vol_21_no_3.pdf</w:t>
        </w:r>
      </w:hyperlink>
      <w:r w:rsidDel="00000000" w:rsidR="00000000" w:rsidRPr="00000000">
        <w:rPr>
          <w:highlight w:val="white"/>
          <w:rtl w:val="0"/>
        </w:rPr>
        <w:t xml:space="preserve">  [Accessed: 6th January 2018]</w:t>
      </w: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David, L. (2015) ‘Classical and Operant conditioning (Skinner)’ Available at: </w:t>
      </w:r>
      <w:hyperlink r:id="rId17">
        <w:r w:rsidDel="00000000" w:rsidR="00000000" w:rsidRPr="00000000">
          <w:rPr>
            <w:color w:val="1155cc"/>
            <w:u w:val="single"/>
            <w:rtl w:val="0"/>
          </w:rPr>
          <w:t xml:space="preserve">https://www.learning-theories.com/operant-conditioning-skinner.html</w:t>
        </w:r>
      </w:hyperlink>
      <w:r w:rsidDel="00000000" w:rsidR="00000000" w:rsidRPr="00000000">
        <w:rPr>
          <w:rtl w:val="0"/>
        </w:rPr>
        <w:t xml:space="preserve">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Elks, L., and McLachlan, H. (2007) </w:t>
      </w:r>
      <w:r w:rsidDel="00000000" w:rsidR="00000000" w:rsidRPr="00000000">
        <w:rPr>
          <w:i w:val="1"/>
          <w:rtl w:val="0"/>
        </w:rPr>
        <w:t xml:space="preserve">Language Builders for Complex Needs. </w:t>
      </w:r>
      <w:r w:rsidDel="00000000" w:rsidR="00000000" w:rsidRPr="00000000">
        <w:rPr>
          <w:rtl w:val="0"/>
        </w:rPr>
        <w:t xml:space="preserve">Cornwall: Elklan</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Goldbart, J., and Caton, S. (2010)</w:t>
      </w:r>
      <w:r w:rsidDel="00000000" w:rsidR="00000000" w:rsidRPr="00000000">
        <w:rPr>
          <w:i w:val="1"/>
          <w:rtl w:val="0"/>
        </w:rPr>
        <w:t xml:space="preserve"> Communication and people with the most complex needs: What works and why this is essential. </w:t>
      </w:r>
      <w:r w:rsidDel="00000000" w:rsidR="00000000" w:rsidRPr="00000000">
        <w:rPr>
          <w:rtl w:val="0"/>
        </w:rPr>
        <w:t xml:space="preserve">Manchester: Mencap. Available at:</w:t>
      </w:r>
    </w:p>
    <w:p w:rsidR="00000000" w:rsidDel="00000000" w:rsidP="00000000" w:rsidRDefault="00000000" w:rsidRPr="00000000">
      <w:pPr>
        <w:spacing w:line="276" w:lineRule="auto"/>
        <w:contextualSpacing w:val="0"/>
        <w:rPr/>
      </w:pPr>
      <w:hyperlink r:id="rId18">
        <w:r w:rsidDel="00000000" w:rsidR="00000000" w:rsidRPr="00000000">
          <w:rPr>
            <w:u w:val="single"/>
            <w:rtl w:val="0"/>
          </w:rPr>
          <w:t xml:space="preserve">http://www.pmldlink.org.uk/wp-content/uploads/2017/10/1488642010_Communication_guide.pdf</w:t>
        </w:r>
      </w:hyperlink>
      <w:r w:rsidDel="00000000" w:rsidR="00000000" w:rsidRPr="00000000">
        <w:rPr>
          <w:rtl w:val="0"/>
        </w:rPr>
        <w:t xml:space="preserve"> [Accessed 2nd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Goldbart, J., and Ware, J. ‘Communication’ in Lacey, P., Ashdown, R., Jones, P., Lawson, H., and Pipe, M. (eds), (2015) </w:t>
      </w:r>
      <w:r w:rsidDel="00000000" w:rsidR="00000000" w:rsidRPr="00000000">
        <w:rPr>
          <w:i w:val="1"/>
          <w:rtl w:val="0"/>
        </w:rPr>
        <w:t xml:space="preserve">The routledge companion to severe, profound and multiple learning difficulties. </w:t>
      </w:r>
      <w:r w:rsidDel="00000000" w:rsidR="00000000" w:rsidRPr="00000000">
        <w:rPr>
          <w:rtl w:val="0"/>
        </w:rPr>
        <w:t xml:space="preserve">London and New York: Routledge, pp.258-270 [ebook] Available at: </w:t>
      </w:r>
      <w:hyperlink r:id="rId19">
        <w:r w:rsidDel="00000000" w:rsidR="00000000" w:rsidRPr="00000000">
          <w:rPr>
            <w:u w:val="single"/>
            <w:rtl w:val="0"/>
          </w:rPr>
          <w:t xml:space="preserve">https://www-dawsonera-com.ezproxy.uwtsd.ac.uk/readonline/9781315717913</w:t>
        </w:r>
      </w:hyperlink>
      <w:r w:rsidDel="00000000" w:rsidR="00000000" w:rsidRPr="00000000">
        <w:rPr>
          <w:rtl w:val="0"/>
        </w:rPr>
        <w:t xml:space="preserve"> [Accessed: 4th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Hampson, J. (2014) ‘The use of objects of reference as part of a multi-sensory communication system’ Available at: </w:t>
      </w:r>
      <w:hyperlink r:id="rId20">
        <w:r w:rsidDel="00000000" w:rsidR="00000000" w:rsidRPr="00000000">
          <w:rPr>
            <w:color w:val="1155cc"/>
            <w:u w:val="single"/>
            <w:rtl w:val="0"/>
          </w:rPr>
          <w:t xml:space="preserve">http://www.aacsig.org.uk/sites/default/files/presentations/Poster%20OoR%20ISACC2014.pdf</w:t>
        </w:r>
      </w:hyperlink>
      <w:r w:rsidDel="00000000" w:rsidR="00000000" w:rsidRPr="00000000">
        <w:rPr>
          <w:rtl w:val="0"/>
        </w:rPr>
        <w:t xml:space="preserve">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Hennessey, S. (2011) ‘Assessing Early Language Development in Children with Vision Disability and Motor Disability’, </w:t>
      </w:r>
      <w:r w:rsidDel="00000000" w:rsidR="00000000" w:rsidRPr="00000000">
        <w:rPr>
          <w:i w:val="1"/>
          <w:rtl w:val="0"/>
        </w:rPr>
        <w:t xml:space="preserve">International Journal of Disability, </w:t>
      </w:r>
      <w:r w:rsidDel="00000000" w:rsidR="00000000" w:rsidRPr="00000000">
        <w:rPr>
          <w:rtl w:val="0"/>
        </w:rPr>
        <w:t xml:space="preserve">58(2), June, pp.169-187.</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Hewett, D. (2007) ‘Do touch: physical contact and people who have severe, profound and multiple learning difficulties’, </w:t>
      </w:r>
      <w:r w:rsidDel="00000000" w:rsidR="00000000" w:rsidRPr="00000000">
        <w:rPr>
          <w:i w:val="1"/>
          <w:rtl w:val="0"/>
        </w:rPr>
        <w:t xml:space="preserve">Support for Learning, </w:t>
      </w:r>
      <w:r w:rsidDel="00000000" w:rsidR="00000000" w:rsidRPr="00000000">
        <w:rPr>
          <w:rtl w:val="0"/>
        </w:rPr>
        <w:t xml:space="preserve">22(3), pp.116-123.</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Hewett, D. (2018) ‘A brief history’  Available at: </w:t>
      </w:r>
      <w:hyperlink r:id="rId21">
        <w:r w:rsidDel="00000000" w:rsidR="00000000" w:rsidRPr="00000000">
          <w:rPr>
            <w:u w:val="single"/>
            <w:rtl w:val="0"/>
          </w:rPr>
          <w:t xml:space="preserve">https://www.intensiveinteraction.org/find-out-more/about-intensive-interaction/history/</w:t>
        </w:r>
      </w:hyperlink>
      <w:r w:rsidDel="00000000" w:rsidR="00000000" w:rsidRPr="00000000">
        <w:rPr>
          <w:rtl w:val="0"/>
        </w:rPr>
        <w:t xml:space="preserve"> [Accessed: 5th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Hutchinson, N., and Bodicoat, A. (2015) ‘The Effectiveness of Intensive Interaction, A Systematic Literature Review’</w:t>
      </w:r>
      <w:r w:rsidDel="00000000" w:rsidR="00000000" w:rsidRPr="00000000">
        <w:rPr>
          <w:i w:val="1"/>
          <w:rtl w:val="0"/>
        </w:rPr>
        <w:t xml:space="preserve">, Journal of Applied Research in Intellectual Disabilities</w:t>
      </w:r>
      <w:r w:rsidDel="00000000" w:rsidR="00000000" w:rsidRPr="00000000">
        <w:rPr>
          <w:rtl w:val="0"/>
        </w:rPr>
        <w:t xml:space="preserve">, 28, pp.437–454.</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Imray, P., and Hinchcliffe, V. (2014) </w:t>
      </w:r>
      <w:r w:rsidDel="00000000" w:rsidR="00000000" w:rsidRPr="00000000">
        <w:rPr>
          <w:i w:val="1"/>
          <w:rtl w:val="0"/>
        </w:rPr>
        <w:t xml:space="preserve">Curricula for teaching children and young people with severe or profound multiple learning difficulties. Practical strategies for educational professionals. </w:t>
      </w:r>
      <w:r w:rsidDel="00000000" w:rsidR="00000000" w:rsidRPr="00000000">
        <w:rPr>
          <w:rtl w:val="0"/>
        </w:rPr>
        <w:t xml:space="preserve">London: Routledge/Nasen. </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Inclusive Technology (2018) ‘Alternative and Augmentative Communication’ Available at: http://www.inclusive.co.uk/articles/alternative-and-augmentative-communication-aac-a280#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color w:val="ff0000"/>
        </w:rPr>
      </w:pPr>
      <w:r w:rsidDel="00000000" w:rsidR="00000000" w:rsidRPr="00000000">
        <w:rPr>
          <w:rtl w:val="0"/>
        </w:rPr>
        <w:t xml:space="preserve">Kellett, M. (2003) ‘</w:t>
      </w:r>
      <w:r w:rsidDel="00000000" w:rsidR="00000000" w:rsidRPr="00000000">
        <w:rPr>
          <w:highlight w:val="white"/>
          <w:rtl w:val="0"/>
        </w:rPr>
        <w:t xml:space="preserve">Jacob's journey: developing sociability and communication in a young boy with severe and complex learning difficulties using the Intensive Interaction teaching approach’, </w:t>
      </w:r>
      <w:r w:rsidDel="00000000" w:rsidR="00000000" w:rsidRPr="00000000">
        <w:rPr>
          <w:i w:val="1"/>
          <w:highlight w:val="white"/>
          <w:rtl w:val="0"/>
        </w:rPr>
        <w:t xml:space="preserve">Journal of Research in Special Educational Needs, </w:t>
      </w:r>
      <w:r w:rsidDel="00000000" w:rsidR="00000000" w:rsidRPr="00000000">
        <w:rPr>
          <w:highlight w:val="white"/>
          <w:rtl w:val="0"/>
        </w:rPr>
        <w:t xml:space="preserve">3(1), [online]. Available at: </w:t>
      </w:r>
      <w:hyperlink r:id="rId22">
        <w:r w:rsidDel="00000000" w:rsidR="00000000" w:rsidRPr="00000000">
          <w:rPr>
            <w:u w:val="single"/>
            <w:rtl w:val="0"/>
          </w:rPr>
          <w:t xml:space="preserve">http://onlinelibrary.wiley.com.ezproxy.uwtsd.ac.uk/doi/10.1111/j.1471-3802.2003.00181.x/full</w:t>
        </w:r>
      </w:hyperlink>
      <w:r w:rsidDel="00000000" w:rsidR="00000000" w:rsidRPr="00000000">
        <w:rPr>
          <w:rtl w:val="0"/>
        </w:rPr>
        <w:t xml:space="preserve"> [Accessed: 14th December 2017]</w:t>
      </w: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Laurie, M. (2017) ‘Recording Intensive Interaction using the 7 point interaction scale’ Available at: </w:t>
      </w:r>
      <w:hyperlink r:id="rId23">
        <w:r w:rsidDel="00000000" w:rsidR="00000000" w:rsidRPr="00000000">
          <w:rPr>
            <w:color w:val="1155cc"/>
            <w:u w:val="single"/>
            <w:rtl w:val="0"/>
          </w:rPr>
          <w:t xml:space="preserve">http://mattlaurie.com/wp/wp-content/uploads/2017/04/Recording-Intensive-Interaction.pdf</w:t>
        </w:r>
      </w:hyperlink>
      <w:r w:rsidDel="00000000" w:rsidR="00000000" w:rsidRPr="00000000">
        <w:rPr>
          <w:rtl w:val="0"/>
        </w:rPr>
        <w:t xml:space="preserve"> [Accessed: 7th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Nind, M., and Hewett, D. (2005) </w:t>
      </w:r>
      <w:r w:rsidDel="00000000" w:rsidR="00000000" w:rsidRPr="00000000">
        <w:rPr>
          <w:i w:val="1"/>
          <w:rtl w:val="0"/>
        </w:rPr>
        <w:t xml:space="preserve">Access to Communication.</w:t>
      </w:r>
      <w:r w:rsidDel="00000000" w:rsidR="00000000" w:rsidRPr="00000000">
        <w:rPr>
          <w:rtl w:val="0"/>
        </w:rPr>
        <w:t xml:space="preserve"> (2nd ed) London: David Fulton Publishers.</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Norburn, K., Levin, A., Morgan, S., and Harding, C. (2016)  A survey of augmentative and alternative communication used in an inner city special school. </w:t>
      </w:r>
      <w:r w:rsidDel="00000000" w:rsidR="00000000" w:rsidRPr="00000000">
        <w:rPr>
          <w:i w:val="1"/>
          <w:rtl w:val="0"/>
        </w:rPr>
        <w:t xml:space="preserve">British Journal of Special Education </w:t>
      </w:r>
      <w:r w:rsidDel="00000000" w:rsidR="00000000" w:rsidRPr="00000000">
        <w:rPr>
          <w:rtl w:val="0"/>
        </w:rPr>
        <w:t xml:space="preserve">[online] 43 (3), 289-306. Available at:  </w:t>
      </w:r>
      <w:hyperlink r:id="rId24">
        <w:r w:rsidDel="00000000" w:rsidR="00000000" w:rsidRPr="00000000">
          <w:rPr>
            <w:color w:val="1155cc"/>
            <w:u w:val="single"/>
            <w:rtl w:val="0"/>
          </w:rPr>
          <w:t xml:space="preserve">https://www.researchgate.net/publication/308898858_A_survey_of_AAC_used_in_an_inner_city_special_school</w:t>
        </w:r>
      </w:hyperlink>
      <w:r w:rsidDel="00000000" w:rsidR="00000000" w:rsidRPr="00000000">
        <w:rPr>
          <w:rtl w:val="0"/>
        </w:rPr>
        <w:t xml:space="preserve">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Pound, L. (2008) </w:t>
      </w:r>
      <w:r w:rsidDel="00000000" w:rsidR="00000000" w:rsidRPr="00000000">
        <w:rPr>
          <w:i w:val="1"/>
          <w:rtl w:val="0"/>
        </w:rPr>
        <w:t xml:space="preserve">How children learn. </w:t>
      </w:r>
      <w:r w:rsidDel="00000000" w:rsidR="00000000" w:rsidRPr="00000000">
        <w:rPr>
          <w:rtl w:val="0"/>
        </w:rPr>
        <w:t xml:space="preserve">London: Step forward publishing.</w:t>
      </w:r>
    </w:p>
    <w:p w:rsidR="00000000" w:rsidDel="00000000" w:rsidP="00000000" w:rsidRDefault="00000000" w:rsidRPr="00000000">
      <w:pPr>
        <w:spacing w:line="276" w:lineRule="auto"/>
        <w:contextualSpacing w:val="0"/>
        <w:rPr/>
      </w:pPr>
      <w:r w:rsidDel="00000000" w:rsidR="00000000" w:rsidRPr="00000000">
        <w:rPr>
          <w:rtl w:val="0"/>
        </w:rPr>
        <w:t xml:space="preserve">RNIB (2014) Available at: chrome-extension://bpmcpldpdmajfigpchkicefoigmkfalc/views/app.html [Accessed: 5th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Rowland, C. (2012) ‘Communication Matrix: Description, Research Basis and Data’ Available at: </w:t>
      </w:r>
      <w:hyperlink r:id="rId25">
        <w:r w:rsidDel="00000000" w:rsidR="00000000" w:rsidRPr="00000000">
          <w:rPr>
            <w:color w:val="1155cc"/>
            <w:u w:val="single"/>
            <w:rtl w:val="0"/>
          </w:rPr>
          <w:t xml:space="preserve">https://communicationmatrix.org/Uploads/Pdfs/CommunicationMatrixDataandResearchBasis.pdf</w:t>
        </w:r>
      </w:hyperlink>
      <w:r w:rsidDel="00000000" w:rsidR="00000000" w:rsidRPr="00000000">
        <w:rPr>
          <w:rtl w:val="0"/>
        </w:rPr>
        <w:t xml:space="preserve">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Samuel, J., Nind, M., Volans, A., and Scriven, A. (2008)  ‘An evaluation of Intensive Interaction in community living settings for adults with profound intellectual disabilities’, </w:t>
      </w:r>
      <w:r w:rsidDel="00000000" w:rsidR="00000000" w:rsidRPr="00000000">
        <w:rPr>
          <w:i w:val="1"/>
          <w:rtl w:val="0"/>
        </w:rPr>
        <w:t xml:space="preserve">Journal of Intellectual Disabilities, </w:t>
      </w:r>
      <w:r w:rsidDel="00000000" w:rsidR="00000000" w:rsidRPr="00000000">
        <w:rPr>
          <w:rtl w:val="0"/>
        </w:rPr>
        <w:t xml:space="preserve">12(2), pp.111-126, [online]. Available at:  </w:t>
      </w:r>
      <w:hyperlink r:id="rId26">
        <w:r w:rsidDel="00000000" w:rsidR="00000000" w:rsidRPr="00000000">
          <w:rPr>
            <w:color w:val="1155cc"/>
            <w:u w:val="single"/>
            <w:rtl w:val="0"/>
          </w:rPr>
          <w:t xml:space="preserve">http://journals.sagepub.com/doi/pdf/10.1177/1744629508090983</w:t>
        </w:r>
      </w:hyperlink>
      <w:r w:rsidDel="00000000" w:rsidR="00000000" w:rsidRPr="00000000">
        <w:rPr>
          <w:rtl w:val="0"/>
        </w:rPr>
        <w:t xml:space="preserve"> [Accessed: 7th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Siegler, R., Deloache, J., and Eisenberg, N. (2006) </w:t>
      </w:r>
      <w:r w:rsidDel="00000000" w:rsidR="00000000" w:rsidRPr="00000000">
        <w:rPr>
          <w:i w:val="1"/>
          <w:rtl w:val="0"/>
        </w:rPr>
        <w:t xml:space="preserve">How Children Develop</w:t>
      </w:r>
      <w:r w:rsidDel="00000000" w:rsidR="00000000" w:rsidRPr="00000000">
        <w:rPr>
          <w:rtl w:val="0"/>
        </w:rPr>
        <w:t xml:space="preserve">. (2nd ed) New York: Worth Publishers.</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Tacpac (2016) ‘What is Tacpac?’ Available at: </w:t>
      </w:r>
      <w:hyperlink r:id="rId27">
        <w:r w:rsidDel="00000000" w:rsidR="00000000" w:rsidRPr="00000000">
          <w:rPr>
            <w:color w:val="1155cc"/>
            <w:u w:val="single"/>
            <w:rtl w:val="0"/>
          </w:rPr>
          <w:t xml:space="preserve">http://tacpac.co.uk/what-is-tacpac/</w:t>
        </w:r>
      </w:hyperlink>
      <w:r w:rsidDel="00000000" w:rsidR="00000000" w:rsidRPr="00000000">
        <w:rPr>
          <w:rtl w:val="0"/>
        </w:rPr>
        <w:t xml:space="preserve"> [Accessed: 6th January 2018]</w:t>
      </w:r>
    </w:p>
    <w:p w:rsidR="00000000" w:rsidDel="00000000" w:rsidP="00000000" w:rsidRDefault="00000000" w:rsidRPr="00000000">
      <w:pPr>
        <w:spacing w:line="276" w:lineRule="auto"/>
        <w:contextualSpacing w:val="0"/>
        <w:rPr/>
      </w:pPr>
      <w:r w:rsidDel="00000000" w:rsidR="00000000" w:rsidRPr="00000000">
        <w:rPr>
          <w:rtl w:val="0"/>
        </w:rPr>
      </w:r>
    </w:p>
    <w:p w:rsidR="00000000" w:rsidDel="00000000" w:rsidP="00000000" w:rsidRDefault="00000000" w:rsidRPr="00000000">
      <w:pPr>
        <w:spacing w:line="276" w:lineRule="auto"/>
        <w:contextualSpacing w:val="0"/>
        <w:rPr/>
      </w:pPr>
      <w:r w:rsidDel="00000000" w:rsidR="00000000" w:rsidRPr="00000000">
        <w:rPr>
          <w:rtl w:val="0"/>
        </w:rPr>
        <w:t xml:space="preserve">Welsh Assembly Government (2006) </w:t>
      </w:r>
      <w:r w:rsidDel="00000000" w:rsidR="00000000" w:rsidRPr="00000000">
        <w:rPr>
          <w:i w:val="1"/>
          <w:rtl w:val="0"/>
        </w:rPr>
        <w:t xml:space="preserve">Routes for Learning. Additional Guidance. </w:t>
      </w:r>
      <w:r w:rsidDel="00000000" w:rsidR="00000000" w:rsidRPr="00000000">
        <w:rPr>
          <w:rtl w:val="0"/>
        </w:rPr>
        <w:t xml:space="preserve">Cardiff: Welsh Assembly Government. Available at: </w:t>
      </w:r>
      <w:hyperlink r:id="rId28">
        <w:r w:rsidDel="00000000" w:rsidR="00000000" w:rsidRPr="00000000">
          <w:rPr>
            <w:color w:val="1155cc"/>
            <w:u w:val="single"/>
            <w:rtl w:val="0"/>
          </w:rPr>
          <w:t xml:space="preserve">http://learning.gov.wales/docs/learningwales/publications/121115routeslearningadditionalen.pdf</w:t>
        </w:r>
      </w:hyperlink>
      <w:r w:rsidDel="00000000" w:rsidR="00000000" w:rsidRPr="00000000">
        <w:rPr>
          <w:rtl w:val="0"/>
        </w:rPr>
        <w:t xml:space="preserve"> [Accessed: 6th January 2018]</w:t>
      </w:r>
    </w:p>
    <w:p w:rsidR="00000000" w:rsidDel="00000000" w:rsidP="00000000" w:rsidRDefault="00000000" w:rsidRPr="00000000">
      <w:pPr>
        <w:spacing w:line="360" w:lineRule="auto"/>
        <w:contextualSpacing w:val="0"/>
        <w:jc w:val="both"/>
        <w:rPr/>
      </w:pPr>
      <w:r w:rsidDel="00000000" w:rsidR="00000000" w:rsidRPr="00000000">
        <w:rPr>
          <w:rtl w:val="0"/>
        </w:rPr>
      </w:r>
    </w:p>
    <w:sectPr>
      <w:footerReference r:id="rId29" w:type="default"/>
      <w:pgSz w:h="15840" w:w="12240"/>
      <w:pgMar w:bottom="1440" w:top="1440" w:left="1440" w:right="1440" w:header="36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aacsig.org.uk/sites/default/files/presentations/Poster%20OoR%20ISACC2014.pdf" TargetMode="External"/><Relationship Id="rId22" Type="http://schemas.openxmlformats.org/officeDocument/2006/relationships/hyperlink" Target="http://onlinelibrary.wiley.com.ezproxy.uwtsd.ac.uk/doi/10.1111/j.1471-3802.2003.00181.x/full" TargetMode="External"/><Relationship Id="rId21" Type="http://schemas.openxmlformats.org/officeDocument/2006/relationships/hyperlink" Target="https://www.intensiveinteraction.org/find-out-more/about-intensive-interaction/history/" TargetMode="External"/><Relationship Id="rId24" Type="http://schemas.openxmlformats.org/officeDocument/2006/relationships/hyperlink" Target="https://www.researchgate.net/publication/308898858_A_survey_of_AAC_used_in_an_inner_city_special_school" TargetMode="External"/><Relationship Id="rId23" Type="http://schemas.openxmlformats.org/officeDocument/2006/relationships/hyperlink" Target="http://mattlaurie.com/wp/wp-content/uploads/2017/04/Recording-Intensive-Interactio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drmarkbarber.co.uk/intensiveinteractionpractical.pdf" TargetMode="External"/><Relationship Id="rId26" Type="http://schemas.openxmlformats.org/officeDocument/2006/relationships/hyperlink" Target="http://journals.sagepub.com/doi/pdf/10.1177/1744629508090983" TargetMode="External"/><Relationship Id="rId25" Type="http://schemas.openxmlformats.org/officeDocument/2006/relationships/hyperlink" Target="https://communicationmatrix.org/Uploads/Pdfs/CommunicationMatrixDataandResearchBasis.pdf" TargetMode="External"/><Relationship Id="rId28" Type="http://schemas.openxmlformats.org/officeDocument/2006/relationships/hyperlink" Target="http://learning.gov.wales/docs/learningwales/publications/121115routeslearningadditionalen.pdf" TargetMode="External"/><Relationship Id="rId27" Type="http://schemas.openxmlformats.org/officeDocument/2006/relationships/hyperlink" Target="http://tacpac.co.uk/what-is-tacpac/" TargetMode="External"/><Relationship Id="rId5" Type="http://schemas.openxmlformats.org/officeDocument/2006/relationships/styles" Target="styles.xml"/><Relationship Id="rId6" Type="http://schemas.openxmlformats.org/officeDocument/2006/relationships/hyperlink" Target="http://eprints.bbk.ac.uk/9971/1/9971.pdf" TargetMode="External"/><Relationship Id="rId29" Type="http://schemas.openxmlformats.org/officeDocument/2006/relationships/footer" Target="footer1.xml"/><Relationship Id="rId7" Type="http://schemas.openxmlformats.org/officeDocument/2006/relationships/hyperlink" Target="https://www.communicationmatters.org.uk/sites/default/files/downloads/projects/aac_evidence_base/2013_interventions_using_high_technology.pdf" TargetMode="External"/><Relationship Id="rId8" Type="http://schemas.openxmlformats.org/officeDocument/2006/relationships/hyperlink" Target="http://drmarkbarber.co.uk/ACAOWNERSMANUAL.pdf" TargetMode="External"/><Relationship Id="rId11" Type="http://schemas.openxmlformats.org/officeDocument/2006/relationships/hyperlink" Target="https://www.bera.ac.uk/researchers-resources/publications/ethical-guidelines-for-educational-research-2011" TargetMode="External"/><Relationship Id="rId10" Type="http://schemas.openxmlformats.org/officeDocument/2006/relationships/hyperlink" Target="http://journals.sagepub.com.ezproxy.uwtsd.ac.uk/doi/pdf/10.1177/0145445501255004" TargetMode="External"/><Relationship Id="rId13" Type="http://schemas.openxmlformats.org/officeDocument/2006/relationships/hyperlink" Target="https://www.ncbi.nlm.nih.gov/pmc/articles/PMC1284381/pdf/12365736.pdf" TargetMode="External"/><Relationship Id="rId12" Type="http://schemas.openxmlformats.org/officeDocument/2006/relationships/hyperlink" Target="http://www.phoebecaldwell.co.uk/work.asp" TargetMode="External"/><Relationship Id="rId15" Type="http://schemas.openxmlformats.org/officeDocument/2006/relationships/hyperlink" Target="http://www.communicationmatters.org.uk/sites/default/files/downloads/projects/aac_evidence_base/2013_Shining_a_Light_on_AAC.pdf" TargetMode="External"/><Relationship Id="rId14" Type="http://schemas.openxmlformats.org/officeDocument/2006/relationships/hyperlink" Target="https://gb.education.com/download-pdf/reference/22872/" TargetMode="External"/><Relationship Id="rId17" Type="http://schemas.openxmlformats.org/officeDocument/2006/relationships/hyperlink" Target="https://www.learning-theories.com/operant-conditioning-skinner.html" TargetMode="External"/><Relationship Id="rId16" Type="http://schemas.openxmlformats.org/officeDocument/2006/relationships/hyperlink" Target="http://www.communicationmatters.org.uk/sites/default/files/downloads/cmjournals/cmj_vol_21_no_3.pdf" TargetMode="External"/><Relationship Id="rId19" Type="http://schemas.openxmlformats.org/officeDocument/2006/relationships/hyperlink" Target="https://www-dawsonera-com.ezproxy.uwtsd.ac.uk/readonline/9781315717913" TargetMode="External"/><Relationship Id="rId18" Type="http://schemas.openxmlformats.org/officeDocument/2006/relationships/hyperlink" Target="http://www.pmldlink.org.uk/wp-content/uploads/2017/10/1488642010_Communication_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