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8B7DE" w14:textId="77777777" w:rsidR="00C558B0" w:rsidRPr="00594FAC" w:rsidRDefault="00C558B0" w:rsidP="00594FAC">
      <w:pPr>
        <w:rPr>
          <w:rFonts w:cs="Arial"/>
          <w:szCs w:val="24"/>
        </w:rPr>
      </w:pPr>
      <w:r w:rsidRPr="00594FAC">
        <w:rPr>
          <w:rFonts w:cs="Arial"/>
          <w:noProof/>
        </w:rPr>
        <w:drawing>
          <wp:anchor distT="0" distB="0" distL="114300" distR="114300" simplePos="0" relativeHeight="251659264" behindDoc="0" locked="0" layoutInCell="1" allowOverlap="1" wp14:anchorId="7BBAAC29" wp14:editId="436BADFC">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072C4B9" w14:textId="77777777" w:rsidR="00C558B0" w:rsidRPr="00594FAC" w:rsidRDefault="00C558B0" w:rsidP="00594FAC">
      <w:pPr>
        <w:rPr>
          <w:rFonts w:cs="Arial"/>
          <w:szCs w:val="24"/>
        </w:rPr>
      </w:pPr>
    </w:p>
    <w:p w14:paraId="1DF1B777" w14:textId="77777777" w:rsidR="00C558B0" w:rsidRPr="00594FAC" w:rsidRDefault="00C558B0" w:rsidP="00594FAC">
      <w:pPr>
        <w:rPr>
          <w:rFonts w:cs="Arial"/>
          <w:szCs w:val="24"/>
        </w:rPr>
      </w:pPr>
    </w:p>
    <w:p w14:paraId="5D1803EE" w14:textId="77777777" w:rsidR="00C558B0" w:rsidRPr="00594FAC" w:rsidRDefault="00C558B0" w:rsidP="00594FAC">
      <w:pPr>
        <w:rPr>
          <w:rFonts w:cs="Arial"/>
          <w:szCs w:val="24"/>
        </w:rPr>
      </w:pPr>
    </w:p>
    <w:p w14:paraId="7D5BA809" w14:textId="77777777" w:rsidR="00C558B0" w:rsidRDefault="00C558B0" w:rsidP="00594FAC">
      <w:pPr>
        <w:tabs>
          <w:tab w:val="left" w:pos="6540"/>
        </w:tabs>
        <w:rPr>
          <w:rFonts w:cs="Arial"/>
          <w:sz w:val="28"/>
          <w:szCs w:val="28"/>
        </w:rPr>
      </w:pPr>
    </w:p>
    <w:p w14:paraId="46F67FDE" w14:textId="77777777" w:rsidR="00BB6FA0" w:rsidRPr="00594FAC" w:rsidRDefault="00BB6FA0" w:rsidP="00594FAC">
      <w:pPr>
        <w:tabs>
          <w:tab w:val="left" w:pos="6540"/>
        </w:tabs>
        <w:rPr>
          <w:rFonts w:cs="Arial"/>
          <w:sz w:val="28"/>
          <w:szCs w:val="28"/>
        </w:rPr>
      </w:pPr>
    </w:p>
    <w:p w14:paraId="5C53DBD3" w14:textId="2A4960AF" w:rsidR="00BB6FA0" w:rsidRPr="00594FAC" w:rsidRDefault="00BB6FA0" w:rsidP="00BB6FA0">
      <w:pPr>
        <w:tabs>
          <w:tab w:val="left" w:pos="6540"/>
        </w:tabs>
        <w:rPr>
          <w:rFonts w:cs="Arial"/>
          <w:sz w:val="28"/>
          <w:szCs w:val="28"/>
          <w:lang w:val="nl-NL"/>
        </w:rPr>
      </w:pPr>
      <w:r w:rsidRPr="00594FAC">
        <w:rPr>
          <w:rFonts w:cs="Arial"/>
          <w:b/>
          <w:bCs/>
          <w:sz w:val="28"/>
          <w:szCs w:val="28"/>
          <w:lang w:val="nl-NL"/>
        </w:rPr>
        <w:t>Student name</w:t>
      </w:r>
      <w:r w:rsidRPr="00594FAC">
        <w:rPr>
          <w:rFonts w:cs="Arial"/>
          <w:sz w:val="28"/>
          <w:szCs w:val="28"/>
          <w:lang w:val="nl-NL"/>
        </w:rPr>
        <w:t>:</w:t>
      </w:r>
      <w:r w:rsidR="00392D32">
        <w:rPr>
          <w:rFonts w:cs="Arial"/>
          <w:sz w:val="28"/>
          <w:szCs w:val="28"/>
          <w:lang w:val="nl-NL"/>
        </w:rPr>
        <w:t xml:space="preserve"> Marie France Aurelie BODO BODO</w:t>
      </w:r>
    </w:p>
    <w:p w14:paraId="182522FE" w14:textId="46616C53" w:rsidR="00BB6FA0" w:rsidRPr="00594FAC" w:rsidRDefault="00BB6FA0" w:rsidP="00BB6FA0">
      <w:pPr>
        <w:tabs>
          <w:tab w:val="left" w:pos="6540"/>
        </w:tabs>
        <w:rPr>
          <w:rFonts w:cs="Arial"/>
          <w:sz w:val="28"/>
          <w:szCs w:val="28"/>
          <w:lang w:val="nl-NL"/>
        </w:rPr>
      </w:pPr>
      <w:r w:rsidRPr="00594FAC">
        <w:rPr>
          <w:rFonts w:cs="Arial"/>
          <w:b/>
          <w:bCs/>
          <w:sz w:val="28"/>
          <w:szCs w:val="28"/>
          <w:lang w:val="nl-NL"/>
        </w:rPr>
        <w:t>Student ID</w:t>
      </w:r>
      <w:r w:rsidRPr="00594FAC">
        <w:rPr>
          <w:rFonts w:cs="Arial"/>
          <w:sz w:val="28"/>
          <w:szCs w:val="28"/>
          <w:lang w:val="nl-NL"/>
        </w:rPr>
        <w:t>:</w:t>
      </w:r>
      <w:r w:rsidR="00392D32">
        <w:rPr>
          <w:rFonts w:cs="Arial"/>
          <w:sz w:val="28"/>
          <w:szCs w:val="28"/>
          <w:lang w:val="nl-NL"/>
        </w:rPr>
        <w:t xml:space="preserve"> 2426167</w:t>
      </w:r>
    </w:p>
    <w:p w14:paraId="63BC2EFB" w14:textId="77777777" w:rsidR="00BB6FA0" w:rsidRPr="00594FAC" w:rsidRDefault="00BB6FA0" w:rsidP="00BB6FA0">
      <w:pPr>
        <w:tabs>
          <w:tab w:val="left" w:pos="6540"/>
        </w:tabs>
        <w:rPr>
          <w:rFonts w:cs="Arial"/>
          <w:sz w:val="28"/>
          <w:szCs w:val="28"/>
          <w:lang w:val="nl-NL"/>
        </w:rPr>
      </w:pPr>
    </w:p>
    <w:p w14:paraId="456342AD" w14:textId="77777777" w:rsidR="00BB6FA0" w:rsidRDefault="00BB6FA0" w:rsidP="00BB6FA0">
      <w:pPr>
        <w:tabs>
          <w:tab w:val="left" w:pos="6540"/>
        </w:tabs>
        <w:rPr>
          <w:rFonts w:cs="Arial"/>
          <w:b/>
          <w:bCs/>
          <w:sz w:val="28"/>
          <w:szCs w:val="28"/>
          <w:lang w:val="nl-NL"/>
        </w:rPr>
      </w:pPr>
      <w:r w:rsidRPr="00594FAC">
        <w:rPr>
          <w:rFonts w:cs="Arial"/>
          <w:b/>
          <w:bCs/>
          <w:sz w:val="28"/>
          <w:szCs w:val="28"/>
          <w:lang w:val="nl-NL"/>
        </w:rPr>
        <w:t>Module name</w:t>
      </w:r>
      <w:r w:rsidRPr="00594FAC">
        <w:rPr>
          <w:rFonts w:cs="Arial"/>
          <w:sz w:val="28"/>
          <w:szCs w:val="28"/>
          <w:lang w:val="nl-NL"/>
        </w:rPr>
        <w:t xml:space="preserve">: </w:t>
      </w:r>
      <w:r w:rsidRPr="00887FBB">
        <w:rPr>
          <w:rFonts w:cs="Arial"/>
          <w:b/>
          <w:bCs/>
          <w:sz w:val="28"/>
          <w:szCs w:val="28"/>
          <w:lang w:val="nl-NL"/>
        </w:rPr>
        <w:t>Principles of Health and Social Care Practice</w:t>
      </w:r>
    </w:p>
    <w:p w14:paraId="0C01CB7B" w14:textId="77777777" w:rsidR="00BB6FA0" w:rsidRPr="00594FAC" w:rsidRDefault="00BB6FA0" w:rsidP="00BB6FA0">
      <w:pPr>
        <w:tabs>
          <w:tab w:val="left" w:pos="6540"/>
        </w:tabs>
        <w:rPr>
          <w:rFonts w:cs="Arial"/>
          <w:sz w:val="28"/>
          <w:szCs w:val="28"/>
          <w:lang w:val="nl-NL"/>
        </w:rPr>
      </w:pPr>
      <w:r>
        <w:rPr>
          <w:rFonts w:cs="Arial"/>
          <w:b/>
          <w:bCs/>
          <w:sz w:val="28"/>
          <w:szCs w:val="28"/>
          <w:lang w:val="nl-NL"/>
        </w:rPr>
        <w:t>Component: 1</w:t>
      </w:r>
    </w:p>
    <w:p w14:paraId="3BE7DEFD" w14:textId="77777777" w:rsidR="00BB6FA0" w:rsidRPr="00594FAC" w:rsidRDefault="00BB6FA0" w:rsidP="00BB6FA0">
      <w:pPr>
        <w:tabs>
          <w:tab w:val="left" w:pos="6540"/>
        </w:tabs>
        <w:rPr>
          <w:rFonts w:cs="Arial"/>
          <w:sz w:val="28"/>
          <w:szCs w:val="28"/>
        </w:rPr>
      </w:pPr>
      <w:r w:rsidRPr="00594FAC">
        <w:rPr>
          <w:rFonts w:cs="Arial"/>
          <w:b/>
          <w:bCs/>
          <w:sz w:val="28"/>
          <w:szCs w:val="28"/>
        </w:rPr>
        <w:t>Module code</w:t>
      </w:r>
      <w:r w:rsidRPr="00594FAC">
        <w:rPr>
          <w:rFonts w:cs="Arial"/>
          <w:sz w:val="28"/>
          <w:szCs w:val="28"/>
        </w:rPr>
        <w:t>:</w:t>
      </w:r>
      <w:r>
        <w:rPr>
          <w:rFonts w:cs="Arial"/>
          <w:sz w:val="28"/>
          <w:szCs w:val="28"/>
        </w:rPr>
        <w:t xml:space="preserve"> </w:t>
      </w:r>
      <w:r w:rsidRPr="00887FBB">
        <w:rPr>
          <w:rFonts w:cs="Arial"/>
          <w:b/>
          <w:bCs/>
          <w:sz w:val="28"/>
          <w:szCs w:val="28"/>
        </w:rPr>
        <w:t xml:space="preserve">BMHP5016 </w:t>
      </w:r>
    </w:p>
    <w:p w14:paraId="49625751" w14:textId="2AAC2D2E" w:rsidR="00BB6FA0" w:rsidRPr="00594FAC" w:rsidRDefault="00BB6FA0" w:rsidP="00BB6FA0">
      <w:pPr>
        <w:tabs>
          <w:tab w:val="left" w:pos="6540"/>
        </w:tabs>
        <w:rPr>
          <w:rFonts w:cs="Arial"/>
          <w:sz w:val="28"/>
          <w:szCs w:val="28"/>
        </w:rPr>
      </w:pPr>
      <w:r w:rsidRPr="00594FAC">
        <w:rPr>
          <w:rFonts w:cs="Arial"/>
          <w:b/>
          <w:bCs/>
          <w:sz w:val="28"/>
          <w:szCs w:val="28"/>
        </w:rPr>
        <w:t>Lecturer name</w:t>
      </w:r>
      <w:r w:rsidRPr="00594FAC">
        <w:rPr>
          <w:rFonts w:cs="Arial"/>
          <w:sz w:val="28"/>
          <w:szCs w:val="28"/>
        </w:rPr>
        <w:t>:</w:t>
      </w:r>
      <w:r w:rsidR="00392D32">
        <w:rPr>
          <w:rFonts w:cs="Arial"/>
          <w:sz w:val="28"/>
          <w:szCs w:val="28"/>
        </w:rPr>
        <w:t xml:space="preserve"> Dr </w:t>
      </w:r>
      <w:r w:rsidR="003F5651">
        <w:rPr>
          <w:rFonts w:cs="Arial"/>
          <w:sz w:val="28"/>
          <w:szCs w:val="28"/>
        </w:rPr>
        <w:t>Itse Olaoye</w:t>
      </w:r>
    </w:p>
    <w:p w14:paraId="11849CC0" w14:textId="77777777" w:rsidR="006D2F2D" w:rsidRPr="00594FAC" w:rsidRDefault="006D2F2D" w:rsidP="00594FAC">
      <w:pPr>
        <w:rPr>
          <w:rFonts w:cs="Arial"/>
        </w:rPr>
      </w:pPr>
      <w:r w:rsidRPr="00594FAC">
        <w:rPr>
          <w:rFonts w:cs="Arial"/>
        </w:rPr>
        <w:br w:type="page"/>
      </w:r>
    </w:p>
    <w:p w14:paraId="277E22D4" w14:textId="77777777" w:rsidR="004602CF" w:rsidRPr="006E58FF" w:rsidRDefault="003849F4">
      <w:pPr>
        <w:keepNext/>
        <w:spacing w:before="200" w:after="120"/>
        <w:jc w:val="center"/>
        <w:rPr>
          <w:color w:val="000000" w:themeColor="text1"/>
        </w:rPr>
      </w:pPr>
      <w:r w:rsidRPr="006E58FF">
        <w:rPr>
          <w:b/>
          <w:color w:val="000000" w:themeColor="text1"/>
          <w:sz w:val="24"/>
        </w:rPr>
        <w:lastRenderedPageBreak/>
        <w:t>Table of contents</w:t>
      </w:r>
    </w:p>
    <w:p w14:paraId="2D0AF7E2" w14:textId="77777777" w:rsidR="004602CF" w:rsidRDefault="003849F4">
      <w:pPr>
        <w:tabs>
          <w:tab w:val="right" w:leader="dot" w:pos="8787"/>
        </w:tabs>
      </w:pPr>
      <w:r>
        <w:t>Task 1: Principles of Health and Social Care</w:t>
      </w:r>
      <w:r>
        <w:tab/>
        <w:t>3</w:t>
      </w:r>
    </w:p>
    <w:p w14:paraId="18D45CEA" w14:textId="77777777" w:rsidR="004602CF" w:rsidRDefault="003849F4">
      <w:pPr>
        <w:tabs>
          <w:tab w:val="right" w:leader="dot" w:pos="8787"/>
        </w:tabs>
      </w:pPr>
      <w:r>
        <w:t>Task 2: Type 2 Diabetes Practice Example</w:t>
      </w:r>
      <w:r>
        <w:tab/>
        <w:t>4</w:t>
      </w:r>
    </w:p>
    <w:p w14:paraId="25FD3F3F" w14:textId="38EF2E8D" w:rsidR="004602CF" w:rsidRDefault="003849F4">
      <w:pPr>
        <w:tabs>
          <w:tab w:val="right" w:leader="dot" w:pos="8787"/>
        </w:tabs>
      </w:pPr>
      <w:r>
        <w:t>Task 3: Critical Reflection Using Gibbs' Cycle</w:t>
      </w:r>
      <w:r>
        <w:tab/>
      </w:r>
      <w:r w:rsidR="006E58FF">
        <w:t>6</w:t>
      </w:r>
    </w:p>
    <w:p w14:paraId="7F701D3D" w14:textId="19906556" w:rsidR="004602CF" w:rsidRDefault="003849F4">
      <w:pPr>
        <w:tabs>
          <w:tab w:val="right" w:leader="dot" w:pos="8787"/>
        </w:tabs>
      </w:pPr>
      <w:r>
        <w:t>Conclusion</w:t>
      </w:r>
      <w:r>
        <w:tab/>
      </w:r>
      <w:r w:rsidR="006E58FF">
        <w:t>8</w:t>
      </w:r>
    </w:p>
    <w:p w14:paraId="0B1EA6B3" w14:textId="5CB4320B" w:rsidR="004602CF" w:rsidRDefault="003849F4">
      <w:pPr>
        <w:tabs>
          <w:tab w:val="right" w:leader="dot" w:pos="8787"/>
        </w:tabs>
      </w:pPr>
      <w:r>
        <w:t>References</w:t>
      </w:r>
      <w:r>
        <w:tab/>
      </w:r>
      <w:r w:rsidR="006E58FF">
        <w:t>9</w:t>
      </w:r>
    </w:p>
    <w:p w14:paraId="31EDC61E" w14:textId="77777777" w:rsidR="004602CF" w:rsidRDefault="003849F4">
      <w:r>
        <w:br w:type="page"/>
      </w:r>
    </w:p>
    <w:p w14:paraId="09D6435F" w14:textId="77777777" w:rsidR="004602CF" w:rsidRDefault="003849F4">
      <w:pPr>
        <w:keepNext/>
        <w:spacing w:before="200" w:after="120"/>
        <w:rPr>
          <w:rFonts w:ascii="Times New Roman" w:hAnsi="Times New Roman" w:cs="Times New Roman"/>
          <w:b/>
          <w:color w:val="000000" w:themeColor="text1"/>
          <w:sz w:val="24"/>
          <w:szCs w:val="24"/>
        </w:rPr>
      </w:pPr>
      <w:r w:rsidRPr="005A1B93">
        <w:rPr>
          <w:rFonts w:ascii="Times New Roman" w:hAnsi="Times New Roman" w:cs="Times New Roman"/>
          <w:b/>
          <w:color w:val="000000" w:themeColor="text1"/>
          <w:sz w:val="24"/>
          <w:szCs w:val="24"/>
        </w:rPr>
        <w:lastRenderedPageBreak/>
        <w:t>Task 1: Reflection on the Importance of Principles of Health and Social Care</w:t>
      </w:r>
    </w:p>
    <w:p w14:paraId="0B423C26" w14:textId="77777777" w:rsidR="00207609" w:rsidRPr="005A1B93" w:rsidRDefault="00207609">
      <w:pPr>
        <w:keepNext/>
        <w:spacing w:before="200" w:after="120"/>
        <w:rPr>
          <w:rFonts w:ascii="Times New Roman" w:hAnsi="Times New Roman" w:cs="Times New Roman"/>
          <w:color w:val="000000" w:themeColor="text1"/>
          <w:sz w:val="24"/>
          <w:szCs w:val="24"/>
        </w:rPr>
      </w:pPr>
    </w:p>
    <w:p w14:paraId="7BE33826"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Person-centred care</w:t>
      </w:r>
    </w:p>
    <w:p w14:paraId="56EE0330" w14:textId="6C33AE89"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Person-centred care treats the individual as an active partner whose values, abilities, culture and desired outcomes shape care, rather than as a diagnosis to be managed. McCormack and McCance (2017) place respectful relationships and shared decision-making at the centre of practice, while Entwistle and Watt (2013) argue that care should support a person's capabilities to live well. This approach can improve dignity, engagement and self-management because the care plan becomes meaningful to the person. Maslow's (1943) hierarchy is useful in showing why physiological safety, belonging, esteem and fulfilment may all influence health; however, its fixed hierarchy can oversimplify needs that are culturally shaped and may occur simultaneously. Consequently, person-centred practice requires enquiry rather than assuming that a professional knows which need comes first. It also does not mean agreeing to every request: preferences must be balanced with evidence</w:t>
      </w:r>
      <w:r w:rsidR="00FD55C3" w:rsidRPr="005A1B93">
        <w:rPr>
          <w:rFonts w:ascii="Times New Roman" w:hAnsi="Times New Roman" w:cs="Times New Roman"/>
          <w:sz w:val="24"/>
          <w:szCs w:val="24"/>
        </w:rPr>
        <w:t xml:space="preserve"> and resources, and avoidable harm,</w:t>
      </w:r>
      <w:r w:rsidRPr="005A1B93">
        <w:rPr>
          <w:rFonts w:ascii="Times New Roman" w:hAnsi="Times New Roman" w:cs="Times New Roman"/>
          <w:sz w:val="24"/>
          <w:szCs w:val="24"/>
        </w:rPr>
        <w:t xml:space="preserve"> through shared decision-making (NICE, 2021).</w:t>
      </w:r>
    </w:p>
    <w:p w14:paraId="03FD2C2C"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Partnership working</w:t>
      </w:r>
    </w:p>
    <w:p w14:paraId="22943E65" w14:textId="20EAACDC" w:rsidR="004602CF"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Partnership working is purposeful collaboration among the person, family or carers, practitioners and organisations to agree goals, coordinate contributions and share responsibility. It is essential </w:t>
      </w:r>
      <w:r w:rsidR="00BB6FA0" w:rsidRPr="005A1B93">
        <w:rPr>
          <w:rFonts w:ascii="Times New Roman" w:hAnsi="Times New Roman" w:cs="Times New Roman"/>
          <w:sz w:val="24"/>
          <w:szCs w:val="24"/>
        </w:rPr>
        <w:t>that</w:t>
      </w:r>
      <w:r w:rsidRPr="005A1B93">
        <w:rPr>
          <w:rFonts w:ascii="Times New Roman" w:hAnsi="Times New Roman" w:cs="Times New Roman"/>
          <w:sz w:val="24"/>
          <w:szCs w:val="24"/>
        </w:rPr>
        <w:t xml:space="preserve"> needs cross primary care, community health</w:t>
      </w:r>
      <w:r w:rsidR="00BB6FA0" w:rsidRPr="005A1B93">
        <w:rPr>
          <w:rFonts w:ascii="Times New Roman" w:hAnsi="Times New Roman" w:cs="Times New Roman"/>
          <w:sz w:val="24"/>
          <w:szCs w:val="24"/>
        </w:rPr>
        <w:t xml:space="preserve">, and social care, because no single practitioner holds all the </w:t>
      </w:r>
      <w:r w:rsidRPr="005A1B93">
        <w:rPr>
          <w:rFonts w:ascii="Times New Roman" w:hAnsi="Times New Roman" w:cs="Times New Roman"/>
          <w:sz w:val="24"/>
          <w:szCs w:val="24"/>
        </w:rPr>
        <w:t xml:space="preserve">relevant knowledge. The Care Act 2014 promotes wellbeing and cooperation, while the Health and Care Act 2022 </w:t>
      </w:r>
      <w:r w:rsidR="00207609" w:rsidRPr="005A1B93">
        <w:rPr>
          <w:rFonts w:ascii="Times New Roman" w:hAnsi="Times New Roman" w:cs="Times New Roman"/>
          <w:sz w:val="24"/>
          <w:szCs w:val="24"/>
        </w:rPr>
        <w:t>strengthen</w:t>
      </w:r>
      <w:r w:rsidRPr="005A1B93">
        <w:rPr>
          <w:rFonts w:ascii="Times New Roman" w:hAnsi="Times New Roman" w:cs="Times New Roman"/>
          <w:sz w:val="24"/>
          <w:szCs w:val="24"/>
        </w:rPr>
        <w:t xml:space="preserve"> integrated working across NHS and local-authority services. </w:t>
      </w:r>
      <w:r w:rsidR="00BB6FA0" w:rsidRPr="005A1B93">
        <w:rPr>
          <w:rFonts w:ascii="Times New Roman" w:hAnsi="Times New Roman" w:cs="Times New Roman"/>
          <w:sz w:val="24"/>
          <w:szCs w:val="24"/>
        </w:rPr>
        <w:t xml:space="preserve">An effective partnership can reduce </w:t>
      </w:r>
      <w:r w:rsidR="00FD55C3" w:rsidRPr="005A1B93">
        <w:rPr>
          <w:rFonts w:ascii="Times New Roman" w:hAnsi="Times New Roman" w:cs="Times New Roman"/>
          <w:sz w:val="24"/>
          <w:szCs w:val="24"/>
        </w:rPr>
        <w:t>assessment duplication</w:t>
      </w:r>
      <w:r w:rsidR="00BB6FA0" w:rsidRPr="005A1B93">
        <w:rPr>
          <w:rFonts w:ascii="Times New Roman" w:hAnsi="Times New Roman" w:cs="Times New Roman"/>
          <w:sz w:val="24"/>
          <w:szCs w:val="24"/>
        </w:rPr>
        <w:t>, conflicting advice,</w:t>
      </w:r>
      <w:r w:rsidRPr="005A1B93">
        <w:rPr>
          <w:rFonts w:ascii="Times New Roman" w:hAnsi="Times New Roman" w:cs="Times New Roman"/>
          <w:sz w:val="24"/>
          <w:szCs w:val="24"/>
        </w:rPr>
        <w:t xml:space="preserve"> and unsafe transitions; it also combines professional expertise with the person's lived experience. Nevertheless, collaboration is not automatically equal. Professional dominance, incompatible records, time pressure and unclear accountability can silence the person or create gaps in care (Glasby and Dickinson, 2014). Quality</w:t>
      </w:r>
      <w:r w:rsidR="00BB6FA0" w:rsidRPr="005A1B93">
        <w:rPr>
          <w:rFonts w:ascii="Times New Roman" w:hAnsi="Times New Roman" w:cs="Times New Roman"/>
          <w:sz w:val="24"/>
          <w:szCs w:val="24"/>
        </w:rPr>
        <w:t>, therefore,</w:t>
      </w:r>
      <w:r w:rsidRPr="005A1B93">
        <w:rPr>
          <w:rFonts w:ascii="Times New Roman" w:hAnsi="Times New Roman" w:cs="Times New Roman"/>
          <w:sz w:val="24"/>
          <w:szCs w:val="24"/>
        </w:rPr>
        <w:t xml:space="preserve"> depends on informed consent, proportionate information-sharing, a named coordinator, documented decisions and respectful challenge. Partnership is valuable not because many professionals attend, but because their contributions produce a coherent plan owned by the individual.</w:t>
      </w:r>
    </w:p>
    <w:p w14:paraId="2E535A58" w14:textId="77777777" w:rsidR="00207609" w:rsidRPr="005A1B93" w:rsidRDefault="00207609">
      <w:pPr>
        <w:ind w:firstLine="340"/>
        <w:jc w:val="both"/>
        <w:rPr>
          <w:rFonts w:ascii="Times New Roman" w:hAnsi="Times New Roman" w:cs="Times New Roman"/>
          <w:sz w:val="24"/>
          <w:szCs w:val="24"/>
        </w:rPr>
      </w:pPr>
    </w:p>
    <w:p w14:paraId="2C2A7B30"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lastRenderedPageBreak/>
        <w:t>Ethics</w:t>
      </w:r>
    </w:p>
    <w:p w14:paraId="74C4B9C0" w14:textId="33E15139" w:rsidR="004602CF"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Ethics provides a reasoned basis for deciding what ought to be done when values or duties conflict. Beauchamp and Childress (2019) identify autonomy, beneficence, non-maleficence and justice: practitioners should respect informed choices, promote benefit, prevent harm and distribute care fairly. These principles reinforce person-centred partnership but may also expose tensions. For example, respecting a </w:t>
      </w:r>
      <w:r w:rsidR="00207609" w:rsidRPr="005A1B93">
        <w:rPr>
          <w:rFonts w:ascii="Times New Roman" w:hAnsi="Times New Roman" w:cs="Times New Roman"/>
          <w:sz w:val="24"/>
          <w:szCs w:val="24"/>
        </w:rPr>
        <w:t>capacities</w:t>
      </w:r>
      <w:r w:rsidRPr="005A1B93">
        <w:rPr>
          <w:rFonts w:ascii="Times New Roman" w:hAnsi="Times New Roman" w:cs="Times New Roman"/>
          <w:sz w:val="24"/>
          <w:szCs w:val="24"/>
        </w:rPr>
        <w:t xml:space="preserve"> person's decision to accept risk may conflict with a practitioner's wish to protect them. The Mental Capacity Act 2005 prevents an unwise decision from being treated as incapacity and requires the least restrictive option when capacity is absent. Equality and non-discrimination under the Equality Act 2010 also require reasonable adjustments so that communication or disability does not become </w:t>
      </w:r>
      <w:r w:rsidR="00BB6FA0" w:rsidRPr="005A1B93">
        <w:rPr>
          <w:rFonts w:ascii="Times New Roman" w:hAnsi="Times New Roman" w:cs="Times New Roman"/>
          <w:sz w:val="24"/>
          <w:szCs w:val="24"/>
        </w:rPr>
        <w:t>a barrier to inclusion</w:t>
      </w:r>
      <w:r w:rsidRPr="005A1B93">
        <w:rPr>
          <w:rFonts w:ascii="Times New Roman" w:hAnsi="Times New Roman" w:cs="Times New Roman"/>
          <w:sz w:val="24"/>
          <w:szCs w:val="24"/>
        </w:rPr>
        <w:t>. The NMC Code requires practitioners to prioritise people, practise effectively, preserve safety and promote trust (NMC, 2018). Ethical quality is therefore more than rule-following: it requires transparent reasoning, attention to power and accountability. Recording the person's wishes, alternatives, foreseeable risks and agreed safeguards makes decisions defensible while preserving dignity.</w:t>
      </w:r>
    </w:p>
    <w:p w14:paraId="1EDCE2EB" w14:textId="77777777" w:rsidR="00207609" w:rsidRDefault="00207609">
      <w:pPr>
        <w:ind w:firstLine="340"/>
        <w:jc w:val="both"/>
        <w:rPr>
          <w:rFonts w:ascii="Times New Roman" w:hAnsi="Times New Roman" w:cs="Times New Roman"/>
          <w:sz w:val="24"/>
          <w:szCs w:val="24"/>
        </w:rPr>
      </w:pPr>
    </w:p>
    <w:p w14:paraId="06AF7274" w14:textId="77777777" w:rsidR="00207609" w:rsidRPr="005A1B93" w:rsidRDefault="00207609">
      <w:pPr>
        <w:ind w:firstLine="340"/>
        <w:jc w:val="both"/>
        <w:rPr>
          <w:rFonts w:ascii="Times New Roman" w:hAnsi="Times New Roman" w:cs="Times New Roman"/>
          <w:sz w:val="24"/>
          <w:szCs w:val="24"/>
        </w:rPr>
      </w:pPr>
    </w:p>
    <w:p w14:paraId="3A16E85F" w14:textId="77777777" w:rsidR="004602CF" w:rsidRPr="00207609" w:rsidRDefault="003849F4">
      <w:pPr>
        <w:keepNext/>
        <w:spacing w:before="200" w:after="120"/>
        <w:rPr>
          <w:rFonts w:ascii="Times New Roman" w:hAnsi="Times New Roman" w:cs="Times New Roman"/>
          <w:color w:val="000000" w:themeColor="text1"/>
          <w:sz w:val="24"/>
          <w:szCs w:val="24"/>
        </w:rPr>
      </w:pPr>
      <w:r w:rsidRPr="00207609">
        <w:rPr>
          <w:rFonts w:ascii="Times New Roman" w:hAnsi="Times New Roman" w:cs="Times New Roman"/>
          <w:b/>
          <w:color w:val="000000" w:themeColor="text1"/>
          <w:sz w:val="24"/>
          <w:szCs w:val="24"/>
        </w:rPr>
        <w:t>Task 2: Practical Application in a Type 2 Diabetes Case</w:t>
      </w:r>
    </w:p>
    <w:p w14:paraId="1BDD5476"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Practice example</w:t>
      </w:r>
    </w:p>
    <w:p w14:paraId="4126218E" w14:textId="4FFE6E2A" w:rsidR="00207609" w:rsidRDefault="003849F4" w:rsidP="00207609">
      <w:pPr>
        <w:ind w:firstLine="340"/>
        <w:jc w:val="both"/>
        <w:rPr>
          <w:rFonts w:ascii="Times New Roman" w:hAnsi="Times New Roman" w:cs="Times New Roman"/>
          <w:sz w:val="24"/>
          <w:szCs w:val="24"/>
        </w:rPr>
      </w:pPr>
      <w:r w:rsidRPr="005A1B93">
        <w:rPr>
          <w:rFonts w:ascii="Times New Roman" w:hAnsi="Times New Roman" w:cs="Times New Roman"/>
          <w:sz w:val="24"/>
          <w:szCs w:val="24"/>
        </w:rPr>
        <w:t>This anonymised example adapts Morris's (2022) published UK primary-care scenario. 'Mr A' is 78, has long-standing Type 2 diabetes and a previous myocardial infarction, lives alone, walks with a stick and receives practical help from his daughter. He reports shakiness and sweating after gardening and dizziness on standing while taking several medicines; his HbA1c is 51 mmol/mol. These signs require assessment rather than an assumption, but they raise concern about hypoglycaemia, postural hypotension, falls and treatment burden. NICE (2026) requires individualised diabetes care and particular clinical judgement for people with frailty. The first conversation should therefore ask what matters to Mr A - for example, remaining independent and continuing to garden - and explore symptoms, meals, medicine use, understanding and willingness to involve his daughter. Information should be accessible, and teach-back should confirm understanding. This converts a target-focused review into a shared assessment of safety and quality of life.</w:t>
      </w:r>
    </w:p>
    <w:p w14:paraId="0351BF2B" w14:textId="77777777" w:rsidR="00207609" w:rsidRPr="005A1B93" w:rsidRDefault="00207609" w:rsidP="00207609">
      <w:pPr>
        <w:ind w:firstLine="340"/>
        <w:jc w:val="both"/>
        <w:rPr>
          <w:rFonts w:ascii="Times New Roman" w:hAnsi="Times New Roman" w:cs="Times New Roman"/>
          <w:sz w:val="24"/>
          <w:szCs w:val="24"/>
        </w:rPr>
      </w:pPr>
    </w:p>
    <w:p w14:paraId="702379F8"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lastRenderedPageBreak/>
        <w:t>Applying the three principles</w:t>
      </w:r>
    </w:p>
    <w:p w14:paraId="1C0B0898" w14:textId="00F57456" w:rsidR="004602CF"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With Mr A's consent, the GP and diabetes specialist nurse would coordinate capillary-glucose review and an individualised HbA1c goal; the pharmacist would reconcile medicines, identify agents associated with hypoglycaemia or hypotension and advise the prescriber on simplification. A dietitian could relate food and activity to symptoms, while a falls or social-care assessment could consider mobility, nutrition, home safety and support under the Care Act 2014. His daughter should contribute observations only within </w:t>
      </w:r>
      <w:r w:rsidR="00BB6FA0" w:rsidRPr="005A1B93">
        <w:rPr>
          <w:rFonts w:ascii="Times New Roman" w:hAnsi="Times New Roman" w:cs="Times New Roman"/>
          <w:sz w:val="24"/>
          <w:szCs w:val="24"/>
        </w:rPr>
        <w:t xml:space="preserve">the </w:t>
      </w:r>
      <w:r w:rsidRPr="005A1B93">
        <w:rPr>
          <w:rFonts w:ascii="Times New Roman" w:hAnsi="Times New Roman" w:cs="Times New Roman"/>
          <w:sz w:val="24"/>
          <w:szCs w:val="24"/>
        </w:rPr>
        <w:t>boundaries agreed by Mr A. A named coordinator and shared care plan would record goals, warning signs, actions during suspected hypoglycaemia and follow-up. This reflects integrated working under the Health and Care Act 2022 and the NMC (2018) duties to communicate, preserve safety and work cooperatively.</w:t>
      </w:r>
    </w:p>
    <w:p w14:paraId="3E41FDEE" w14:textId="77777777" w:rsidR="00207609" w:rsidRPr="005A1B93" w:rsidRDefault="00207609">
      <w:pPr>
        <w:ind w:firstLine="340"/>
        <w:jc w:val="both"/>
        <w:rPr>
          <w:rFonts w:ascii="Times New Roman" w:hAnsi="Times New Roman" w:cs="Times New Roman"/>
          <w:sz w:val="24"/>
          <w:szCs w:val="24"/>
        </w:rPr>
      </w:pPr>
    </w:p>
    <w:p w14:paraId="6E557F77"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Critical appraisal</w:t>
      </w:r>
    </w:p>
    <w:p w14:paraId="6107E6AC" w14:textId="3AF0A567"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Ethically, autonomy supports Mr A's decision to live at home; beneficence and non-maleficence justify reviewing potentially burdensome treatment; justice requires equal access to specialist, social and preventive support. Capacity should be presumed and assessed only if there is a decision-specific concern (Mental Capacity Act 2005). Confidentiality means that living alone does not</w:t>
      </w:r>
      <w:r w:rsidR="00BB6FA0" w:rsidRPr="005A1B93">
        <w:rPr>
          <w:rFonts w:ascii="Times New Roman" w:hAnsi="Times New Roman" w:cs="Times New Roman"/>
          <w:sz w:val="24"/>
          <w:szCs w:val="24"/>
        </w:rPr>
        <w:t>, in itself,</w:t>
      </w:r>
      <w:r w:rsidRPr="005A1B93">
        <w:rPr>
          <w:rFonts w:ascii="Times New Roman" w:hAnsi="Times New Roman" w:cs="Times New Roman"/>
          <w:sz w:val="24"/>
          <w:szCs w:val="24"/>
        </w:rPr>
        <w:t xml:space="preserve"> justify unrestricted disclosure to his daughter. The likely benefits are fewer adverse events, greater confidence and a plan aligned with his priorities. However, fragmented records, delayed referrals, workforce pressure and professional emphasis on numerical targets could weaken delivery. These risks can be reduced through one documented plan, explicit consent, safety-netting, timely review and escalation criteria. Outcomes should be evaluated with Mr A after </w:t>
      </w:r>
      <w:r w:rsidR="00BB6FA0" w:rsidRPr="005A1B93">
        <w:rPr>
          <w:rFonts w:ascii="Times New Roman" w:hAnsi="Times New Roman" w:cs="Times New Roman"/>
          <w:sz w:val="24"/>
          <w:szCs w:val="24"/>
        </w:rPr>
        <w:t>1 week and again after 4 weeks, considering symptom frequency, falls, treatment burden, confidence,</w:t>
      </w:r>
      <w:r w:rsidRPr="005A1B93">
        <w:rPr>
          <w:rFonts w:ascii="Times New Roman" w:hAnsi="Times New Roman" w:cs="Times New Roman"/>
          <w:sz w:val="24"/>
          <w:szCs w:val="24"/>
        </w:rPr>
        <w:t xml:space="preserve"> and whether he can continue valued activities, not HbA1c alone. If symptoms persist or circumstances change, the team should revisit the plan rather than treating consent as a one-off event. Evidence suggests </w:t>
      </w:r>
      <w:r w:rsidR="00BB6FA0" w:rsidRPr="005A1B93">
        <w:rPr>
          <w:rFonts w:ascii="Times New Roman" w:hAnsi="Times New Roman" w:cs="Times New Roman"/>
          <w:sz w:val="24"/>
          <w:szCs w:val="24"/>
        </w:rPr>
        <w:t xml:space="preserve">that personalised care planning can improve aspects of physical and psychological health and self-management, although effects vary and the quality of implementation </w:t>
      </w:r>
      <w:r w:rsidRPr="005A1B93">
        <w:rPr>
          <w:rFonts w:ascii="Times New Roman" w:hAnsi="Times New Roman" w:cs="Times New Roman"/>
          <w:sz w:val="24"/>
          <w:szCs w:val="24"/>
        </w:rPr>
        <w:t>matters (Coulter et al., 2015). The example therefore shows that the three principles are interdependent: person-centred goals direct the partnership, while ethics determines how risk, information and power are managed.</w:t>
      </w:r>
    </w:p>
    <w:p w14:paraId="2B67DB77" w14:textId="77777777" w:rsidR="005A1B93" w:rsidRPr="005A1B93" w:rsidRDefault="005A1B93">
      <w:pPr>
        <w:ind w:firstLine="340"/>
        <w:jc w:val="both"/>
        <w:rPr>
          <w:rFonts w:ascii="Times New Roman" w:hAnsi="Times New Roman" w:cs="Times New Roman"/>
          <w:sz w:val="24"/>
          <w:szCs w:val="24"/>
        </w:rPr>
      </w:pPr>
    </w:p>
    <w:p w14:paraId="27E7DB8B" w14:textId="77777777" w:rsidR="005A1B93" w:rsidRPr="005A1B93" w:rsidRDefault="005A1B93">
      <w:pPr>
        <w:ind w:firstLine="340"/>
        <w:jc w:val="both"/>
        <w:rPr>
          <w:rFonts w:ascii="Times New Roman" w:hAnsi="Times New Roman" w:cs="Times New Roman"/>
          <w:sz w:val="24"/>
          <w:szCs w:val="24"/>
        </w:rPr>
      </w:pPr>
    </w:p>
    <w:p w14:paraId="07294ACD" w14:textId="77777777" w:rsidR="004602CF" w:rsidRPr="00207609" w:rsidRDefault="003849F4">
      <w:pPr>
        <w:keepNext/>
        <w:spacing w:before="200" w:after="120"/>
        <w:rPr>
          <w:rFonts w:ascii="Times New Roman" w:hAnsi="Times New Roman" w:cs="Times New Roman"/>
          <w:color w:val="000000" w:themeColor="text1"/>
          <w:sz w:val="24"/>
          <w:szCs w:val="24"/>
        </w:rPr>
      </w:pPr>
      <w:r w:rsidRPr="00207609">
        <w:rPr>
          <w:rFonts w:ascii="Times New Roman" w:hAnsi="Times New Roman" w:cs="Times New Roman"/>
          <w:b/>
          <w:color w:val="000000" w:themeColor="text1"/>
          <w:sz w:val="24"/>
          <w:szCs w:val="24"/>
        </w:rPr>
        <w:lastRenderedPageBreak/>
        <w:t>Task 3: Critical Reflection Using Gibbs' Reflective Cycle</w:t>
      </w:r>
    </w:p>
    <w:p w14:paraId="562746AE"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Description</w:t>
      </w:r>
    </w:p>
    <w:p w14:paraId="3BCF617F" w14:textId="379F520C"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I used Gibbs' (1988) reflective cycle to examine how I would respond to Mr A in day-to-day practice. My initial plan was to recognise the </w:t>
      </w:r>
      <w:r w:rsidR="00BB6FA0" w:rsidRPr="005A1B93">
        <w:rPr>
          <w:rFonts w:ascii="Times New Roman" w:hAnsi="Times New Roman" w:cs="Times New Roman"/>
          <w:sz w:val="24"/>
          <w:szCs w:val="24"/>
        </w:rPr>
        <w:t>possibility of hypoglycaemia, inform a senior practitioner, arrange an urgent medicines review,</w:t>
      </w:r>
      <w:r w:rsidRPr="005A1B93">
        <w:rPr>
          <w:rFonts w:ascii="Times New Roman" w:hAnsi="Times New Roman" w:cs="Times New Roman"/>
          <w:sz w:val="24"/>
          <w:szCs w:val="24"/>
        </w:rPr>
        <w:t xml:space="preserve"> and involve the multidisciplinary team. I also considered contacting his daughter because he lives alone. The exercise revealed that I had moved rapidly from a clinical risk to a protective response before establishing Mr A's own priorities, capacity and consent. The key event for reflection is therefore not only the suspected adverse effect</w:t>
      </w:r>
      <w:r w:rsidR="00BB6FA0" w:rsidRPr="005A1B93">
        <w:rPr>
          <w:rFonts w:ascii="Times New Roman" w:hAnsi="Times New Roman" w:cs="Times New Roman"/>
          <w:sz w:val="24"/>
          <w:szCs w:val="24"/>
        </w:rPr>
        <w:t>, but also</w:t>
      </w:r>
      <w:r w:rsidRPr="005A1B93">
        <w:rPr>
          <w:rFonts w:ascii="Times New Roman" w:hAnsi="Times New Roman" w:cs="Times New Roman"/>
          <w:sz w:val="24"/>
          <w:szCs w:val="24"/>
        </w:rPr>
        <w:t xml:space="preserve"> the point at which safe practice could become paternalistic.</w:t>
      </w:r>
    </w:p>
    <w:p w14:paraId="1DDC0846"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Feelings</w:t>
      </w:r>
    </w:p>
    <w:p w14:paraId="1D3635AE" w14:textId="477EA5C9"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I </w:t>
      </w:r>
      <w:r w:rsidR="00BB6FA0" w:rsidRPr="005A1B93">
        <w:rPr>
          <w:rFonts w:ascii="Times New Roman" w:hAnsi="Times New Roman" w:cs="Times New Roman"/>
          <w:sz w:val="24"/>
          <w:szCs w:val="24"/>
        </w:rPr>
        <w:t xml:space="preserve">was concerned that a further episode might cause a fall or serious harm, which put pressure on me </w:t>
      </w:r>
      <w:r w:rsidRPr="005A1B93">
        <w:rPr>
          <w:rFonts w:ascii="Times New Roman" w:hAnsi="Times New Roman" w:cs="Times New Roman"/>
          <w:sz w:val="24"/>
          <w:szCs w:val="24"/>
        </w:rPr>
        <w:t xml:space="preserve">to act quickly. I also felt responsible for ensuring that information reached the right professionals. These feelings were appropriate signals of risk, but anxiety made family involvement appear automatically beneficial. On reflection, that assumption could undermine confidentiality and autonomy. I would need to tolerate some uncertainty, remain calm and explain why </w:t>
      </w:r>
      <w:r w:rsidR="00BB6FA0" w:rsidRPr="005A1B93">
        <w:rPr>
          <w:rFonts w:ascii="Times New Roman" w:hAnsi="Times New Roman" w:cs="Times New Roman"/>
          <w:sz w:val="24"/>
          <w:szCs w:val="24"/>
        </w:rPr>
        <w:t xml:space="preserve">the </w:t>
      </w:r>
      <w:r w:rsidRPr="005A1B93">
        <w:rPr>
          <w:rFonts w:ascii="Times New Roman" w:hAnsi="Times New Roman" w:cs="Times New Roman"/>
          <w:sz w:val="24"/>
          <w:szCs w:val="24"/>
        </w:rPr>
        <w:t>assessment is needed without frightening Mr A. I would also acknowledge the limits of my competence rather than presenting a medication change as my decision.</w:t>
      </w:r>
    </w:p>
    <w:p w14:paraId="43B61C4B"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Evaluation</w:t>
      </w:r>
    </w:p>
    <w:p w14:paraId="3C68390C" w14:textId="77777777"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My strengths were early recognition of warning signs, willingness to escalate, and awareness that medical, functional and social factors interact. I would listen without blame, use plain language and recognise Mr A's independence as an asset. These behaviours support the NMC (2018) expectations to prioritise people and preserve safety. However, I initially focused on glucose and medicines more than on bereavement, nutrition, mobility, confidence or his personal reason for gardening. I also assumed that an MDT referral itself demonstrated partnership. In reality, multiple referrals may burden Mr A unless one person coordinates them. My communication would also need stronger teach-back and clearer documentation of what may be shared with his daughter.</w:t>
      </w:r>
    </w:p>
    <w:p w14:paraId="056145FF"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Analysis</w:t>
      </w:r>
    </w:p>
    <w:p w14:paraId="7FC709CB" w14:textId="6815DBDD"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Person-centred analysis changes the central question from 'How do we correct the number?' to 'What outcome matters to Mr A, and what support makes it safely achievable?' His wish to remain active may </w:t>
      </w:r>
      <w:r w:rsidR="00BB6FA0" w:rsidRPr="005A1B93">
        <w:rPr>
          <w:rFonts w:ascii="Times New Roman" w:hAnsi="Times New Roman" w:cs="Times New Roman"/>
          <w:sz w:val="24"/>
          <w:szCs w:val="24"/>
        </w:rPr>
        <w:t>reflect physiological, social, and esteem needs simultaneously</w:t>
      </w:r>
      <w:r w:rsidRPr="005A1B93">
        <w:rPr>
          <w:rFonts w:ascii="Times New Roman" w:hAnsi="Times New Roman" w:cs="Times New Roman"/>
          <w:sz w:val="24"/>
          <w:szCs w:val="24"/>
        </w:rPr>
        <w:t xml:space="preserve">, illustrating both the relevance and the limits of Maslow's (1943) hierarchy. I should offer options and </w:t>
      </w:r>
      <w:r w:rsidRPr="005A1B93">
        <w:rPr>
          <w:rFonts w:ascii="Times New Roman" w:hAnsi="Times New Roman" w:cs="Times New Roman"/>
          <w:sz w:val="24"/>
          <w:szCs w:val="24"/>
        </w:rPr>
        <w:lastRenderedPageBreak/>
        <w:t xml:space="preserve">explain </w:t>
      </w:r>
      <w:r w:rsidR="00E273A6" w:rsidRPr="005A1B93">
        <w:rPr>
          <w:rFonts w:ascii="Times New Roman" w:hAnsi="Times New Roman" w:cs="Times New Roman"/>
          <w:sz w:val="24"/>
          <w:szCs w:val="24"/>
        </w:rPr>
        <w:t>the benefits, burdens, and uncertainties</w:t>
      </w:r>
      <w:r w:rsidRPr="005A1B93">
        <w:rPr>
          <w:rFonts w:ascii="Times New Roman" w:hAnsi="Times New Roman" w:cs="Times New Roman"/>
          <w:sz w:val="24"/>
          <w:szCs w:val="24"/>
        </w:rPr>
        <w:t>, consistent with NICE (2021), rather than directing him towards the professionally preferred option. If he understands and accepts residual risk, the Mental Capacity Act 2005 protects that choice even if I regard it as unwise. Autonomy is nevertheless relational: good explanation, time and support can expand a person's genuine ability to choose (Entwistle and Watt, 2013).</w:t>
      </w:r>
    </w:p>
    <w:p w14:paraId="11CFBFDD" w14:textId="436E4520"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Partnership working requires contribution, coordination and accountability. I would report objective observations, the person's account and immediate actions to the appropriate registered practitioner; the GP or prescriber would lead medication decisions, the diabetes nurse would support monitoring and education, and the pharmacist would examine interactions and treatment burden. Social-care or falls services could address risks that medication alone cannot resolve. I would confirm who is coordinating follow-up, because responsibility can otherwise become diffused. The Care Act 2014 and </w:t>
      </w:r>
      <w:r w:rsidR="00BB6FA0" w:rsidRPr="005A1B93">
        <w:rPr>
          <w:rFonts w:ascii="Times New Roman" w:hAnsi="Times New Roman" w:cs="Times New Roman"/>
          <w:sz w:val="24"/>
          <w:szCs w:val="24"/>
        </w:rPr>
        <w:t>the Health and Care Act 2022 support cooperation, but legislation cannot overcome poor communication on its own</w:t>
      </w:r>
      <w:r w:rsidRPr="005A1B93">
        <w:rPr>
          <w:rFonts w:ascii="Times New Roman" w:hAnsi="Times New Roman" w:cs="Times New Roman"/>
          <w:sz w:val="24"/>
          <w:szCs w:val="24"/>
        </w:rPr>
        <w:t>. A shared plan should state goals, consent boundaries, responsible professionals, timescales and escalation triggers. This would make the team answerable to Mr A rather than making him carry information between services.</w:t>
      </w:r>
    </w:p>
    <w:p w14:paraId="6A00325C" w14:textId="318BFDC2"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Ethically, my protective instinct reflects beneficence and non-maleficence, but it must not automatically override autonomy. I should presume capacity, provide reasonable adjustments and check understanding. If capacity were genuinely in doubt, assessment would relate to the specific decision and any best-interests process would consider Mr A's wishes and use the least restrictive option (Mental Capacity Act 2005). Justice also requires me to notice whether age, disability, digital exclusion or service thresholds limit access contrary to the spirit of the Equality Act 2010. Confidentiality is not a barrier to partnership; it defines </w:t>
      </w:r>
      <w:r w:rsidR="00BB6FA0" w:rsidRPr="005A1B93">
        <w:rPr>
          <w:rFonts w:ascii="Times New Roman" w:hAnsi="Times New Roman" w:cs="Times New Roman"/>
          <w:sz w:val="24"/>
          <w:szCs w:val="24"/>
        </w:rPr>
        <w:t xml:space="preserve">a </w:t>
      </w:r>
      <w:r w:rsidRPr="005A1B93">
        <w:rPr>
          <w:rFonts w:ascii="Times New Roman" w:hAnsi="Times New Roman" w:cs="Times New Roman"/>
          <w:sz w:val="24"/>
          <w:szCs w:val="24"/>
        </w:rPr>
        <w:t>trustworthy partnership. I should ask what Mr A is comfortable sharing, document consent and explain any exceptional safety basis for disclosure. This balanced reasoning is stronger than either ignoring risk or taking control.</w:t>
      </w:r>
    </w:p>
    <w:p w14:paraId="2498F2A7"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Conclusion</w:t>
      </w:r>
    </w:p>
    <w:p w14:paraId="1AA1B47B" w14:textId="0EFB51C6"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 xml:space="preserve">I learned that I am attentive to safety and comfortable seeking multidisciplinary help, but I need to slow my </w:t>
      </w:r>
      <w:r w:rsidR="00BB6FA0" w:rsidRPr="005A1B93">
        <w:rPr>
          <w:rFonts w:ascii="Times New Roman" w:hAnsi="Times New Roman" w:cs="Times New Roman"/>
          <w:sz w:val="24"/>
          <w:szCs w:val="24"/>
        </w:rPr>
        <w:t>thinking enough to prioritise the person's goals over</w:t>
      </w:r>
      <w:r w:rsidRPr="005A1B93">
        <w:rPr>
          <w:rFonts w:ascii="Times New Roman" w:hAnsi="Times New Roman" w:cs="Times New Roman"/>
          <w:sz w:val="24"/>
          <w:szCs w:val="24"/>
        </w:rPr>
        <w:t xml:space="preserve"> the service response. My main development needs are shared decision-making, decision-specific capacity assessment, consent-based information-sharing, diabetes-related hypoglycaemia awareness and confident coordination across organisational boundaries. In a similar situation</w:t>
      </w:r>
      <w:r w:rsidR="00BB6FA0" w:rsidRPr="005A1B93">
        <w:rPr>
          <w:rFonts w:ascii="Times New Roman" w:hAnsi="Times New Roman" w:cs="Times New Roman"/>
          <w:sz w:val="24"/>
          <w:szCs w:val="24"/>
        </w:rPr>
        <w:t>,</w:t>
      </w:r>
      <w:r w:rsidRPr="005A1B93">
        <w:rPr>
          <w:rFonts w:ascii="Times New Roman" w:hAnsi="Times New Roman" w:cs="Times New Roman"/>
          <w:sz w:val="24"/>
          <w:szCs w:val="24"/>
        </w:rPr>
        <w:t xml:space="preserve"> I would first address immediate safety, then ask what matters, establish consent and understanding, escalate within </w:t>
      </w:r>
      <w:r w:rsidRPr="005A1B93">
        <w:rPr>
          <w:rFonts w:ascii="Times New Roman" w:hAnsi="Times New Roman" w:cs="Times New Roman"/>
          <w:sz w:val="24"/>
          <w:szCs w:val="24"/>
        </w:rPr>
        <w:lastRenderedPageBreak/>
        <w:t xml:space="preserve">my competence, and agree </w:t>
      </w:r>
      <w:r w:rsidR="00BB6FA0" w:rsidRPr="005A1B93">
        <w:rPr>
          <w:rFonts w:ascii="Times New Roman" w:hAnsi="Times New Roman" w:cs="Times New Roman"/>
          <w:sz w:val="24"/>
          <w:szCs w:val="24"/>
        </w:rPr>
        <w:t xml:space="preserve">on </w:t>
      </w:r>
      <w:r w:rsidRPr="005A1B93">
        <w:rPr>
          <w:rFonts w:ascii="Times New Roman" w:hAnsi="Times New Roman" w:cs="Times New Roman"/>
          <w:sz w:val="24"/>
          <w:szCs w:val="24"/>
        </w:rPr>
        <w:t>who will do what by when. I would document both the clinical concern and the ethical reasoning.</w:t>
      </w:r>
    </w:p>
    <w:p w14:paraId="489594EC" w14:textId="77777777" w:rsidR="004602CF" w:rsidRPr="005A1B93" w:rsidRDefault="003849F4">
      <w:pPr>
        <w:keepNext/>
        <w:spacing w:before="120" w:after="120"/>
        <w:rPr>
          <w:rFonts w:ascii="Times New Roman" w:hAnsi="Times New Roman" w:cs="Times New Roman"/>
          <w:sz w:val="24"/>
          <w:szCs w:val="24"/>
        </w:rPr>
      </w:pPr>
      <w:r w:rsidRPr="005A1B93">
        <w:rPr>
          <w:rFonts w:ascii="Times New Roman" w:hAnsi="Times New Roman" w:cs="Times New Roman"/>
          <w:b/>
          <w:color w:val="1F4E79"/>
          <w:sz w:val="24"/>
          <w:szCs w:val="24"/>
        </w:rPr>
        <w:t>Action plan</w:t>
      </w:r>
    </w:p>
    <w:p w14:paraId="2D7EEB17" w14:textId="491D0C33"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Within four weeks, I will complete recognised learning on shared decision-making and practise open questions, option discussion and teach-back in at least three supervised interactions, obtaining feedback from a mentor. Within eight weeks, I will shadow or discuss one diabetes review with a nurse or pharmacist</w:t>
      </w:r>
      <w:r w:rsidR="00BB6FA0" w:rsidRPr="005A1B93">
        <w:rPr>
          <w:rFonts w:ascii="Times New Roman" w:hAnsi="Times New Roman" w:cs="Times New Roman"/>
          <w:sz w:val="24"/>
          <w:szCs w:val="24"/>
        </w:rPr>
        <w:t>, and map the local referral pathway for hypoglycaemia, falls, and social care</w:t>
      </w:r>
      <w:r w:rsidRPr="005A1B93">
        <w:rPr>
          <w:rFonts w:ascii="Times New Roman" w:hAnsi="Times New Roman" w:cs="Times New Roman"/>
          <w:sz w:val="24"/>
          <w:szCs w:val="24"/>
        </w:rPr>
        <w:t xml:space="preserve"> support. Within twelve weeks, I will complete training on the Mental Capacity Act, confidentiality and safeguarding, then analyse a case with my supervisor to test decision-specific reasoning. I will use Gibbs' cycle monthly and after complex encounters, recording what changed in my practice. After three months, I will review five anonymised care-plan entries against four criteria: the person's goal, consent boundaries, named responsibilities and follow-up date. If fewer than four meet all criteria, I will seek further supervision and repeat the review the following month. These actions are specific and measurable and should turn reflection into safer, more person-centred practice.</w:t>
      </w:r>
    </w:p>
    <w:p w14:paraId="595786C8" w14:textId="77777777" w:rsidR="005A1B93" w:rsidRPr="005A1B93" w:rsidRDefault="005A1B93">
      <w:pPr>
        <w:ind w:firstLine="340"/>
        <w:jc w:val="both"/>
        <w:rPr>
          <w:rFonts w:ascii="Times New Roman" w:hAnsi="Times New Roman" w:cs="Times New Roman"/>
          <w:sz w:val="24"/>
          <w:szCs w:val="24"/>
        </w:rPr>
      </w:pPr>
    </w:p>
    <w:p w14:paraId="3C5F4F30" w14:textId="77777777" w:rsidR="005A1B93" w:rsidRPr="005A1B93" w:rsidRDefault="005A1B93">
      <w:pPr>
        <w:ind w:firstLine="340"/>
        <w:jc w:val="both"/>
        <w:rPr>
          <w:rFonts w:ascii="Times New Roman" w:hAnsi="Times New Roman" w:cs="Times New Roman"/>
          <w:sz w:val="24"/>
          <w:szCs w:val="24"/>
        </w:rPr>
      </w:pPr>
    </w:p>
    <w:p w14:paraId="790DA486" w14:textId="4EEC8495" w:rsidR="004602CF" w:rsidRPr="00207609" w:rsidRDefault="003849F4" w:rsidP="005A1B93">
      <w:pPr>
        <w:keepNext/>
        <w:spacing w:before="200" w:after="120"/>
        <w:ind w:left="2160" w:firstLine="720"/>
        <w:rPr>
          <w:rFonts w:ascii="Times New Roman" w:hAnsi="Times New Roman" w:cs="Times New Roman"/>
          <w:color w:val="000000" w:themeColor="text1"/>
          <w:sz w:val="24"/>
          <w:szCs w:val="24"/>
        </w:rPr>
      </w:pPr>
      <w:r w:rsidRPr="00207609">
        <w:rPr>
          <w:rFonts w:ascii="Times New Roman" w:hAnsi="Times New Roman" w:cs="Times New Roman"/>
          <w:b/>
          <w:color w:val="000000" w:themeColor="text1"/>
          <w:sz w:val="24"/>
          <w:szCs w:val="24"/>
        </w:rPr>
        <w:t>C</w:t>
      </w:r>
      <w:r w:rsidR="00207609">
        <w:rPr>
          <w:rFonts w:ascii="Times New Roman" w:hAnsi="Times New Roman" w:cs="Times New Roman"/>
          <w:b/>
          <w:color w:val="000000" w:themeColor="text1"/>
          <w:sz w:val="24"/>
          <w:szCs w:val="24"/>
        </w:rPr>
        <w:t>ONCLUSION</w:t>
      </w:r>
    </w:p>
    <w:p w14:paraId="1B6D9A59" w14:textId="19AA4712" w:rsidR="004602CF" w:rsidRPr="005A1B93" w:rsidRDefault="003849F4">
      <w:pPr>
        <w:ind w:firstLine="340"/>
        <w:jc w:val="both"/>
        <w:rPr>
          <w:rFonts w:ascii="Times New Roman" w:hAnsi="Times New Roman" w:cs="Times New Roman"/>
          <w:sz w:val="24"/>
          <w:szCs w:val="24"/>
        </w:rPr>
      </w:pPr>
      <w:r w:rsidRPr="005A1B93">
        <w:rPr>
          <w:rFonts w:ascii="Times New Roman" w:hAnsi="Times New Roman" w:cs="Times New Roman"/>
          <w:sz w:val="24"/>
          <w:szCs w:val="24"/>
        </w:rPr>
        <w:t>Person-centred care, partnership working</w:t>
      </w:r>
      <w:r w:rsidR="00BB6FA0" w:rsidRPr="005A1B93">
        <w:rPr>
          <w:rFonts w:ascii="Times New Roman" w:hAnsi="Times New Roman" w:cs="Times New Roman"/>
          <w:sz w:val="24"/>
          <w:szCs w:val="24"/>
        </w:rPr>
        <w:t>,</w:t>
      </w:r>
      <w:r w:rsidRPr="005A1B93">
        <w:rPr>
          <w:rFonts w:ascii="Times New Roman" w:hAnsi="Times New Roman" w:cs="Times New Roman"/>
          <w:sz w:val="24"/>
          <w:szCs w:val="24"/>
        </w:rPr>
        <w:t xml:space="preserve"> and ethics are not separate additions to technical care; together they determine whether care is meaningful, coordinated and justifiable. The Type 2 diabetes example shows that a safe response to possible hypoglycaemia depends on Mr A's goals, consent, multidisciplinary expertise and explicit ethical reasoning. Reflection identified strengths in risk recognition and escalation, alongside development needs in shared decisions, capacity, confidentiality and coordination. The action plan converts these findings into supervised learning, practice and audit. Applied consistently, the three principles can protect safety without reducing an individual to risk</w:t>
      </w:r>
      <w:r w:rsidR="00FD55C3" w:rsidRPr="005A1B93">
        <w:rPr>
          <w:rFonts w:ascii="Times New Roman" w:hAnsi="Times New Roman" w:cs="Times New Roman"/>
          <w:sz w:val="24"/>
          <w:szCs w:val="24"/>
        </w:rPr>
        <w:t>. They can</w:t>
      </w:r>
      <w:r w:rsidRPr="005A1B93">
        <w:rPr>
          <w:rFonts w:ascii="Times New Roman" w:hAnsi="Times New Roman" w:cs="Times New Roman"/>
          <w:sz w:val="24"/>
          <w:szCs w:val="24"/>
        </w:rPr>
        <w:t xml:space="preserve"> support UK health and social care professionals to deliver accountable care with, rather than merely to, the person.</w:t>
      </w:r>
    </w:p>
    <w:p w14:paraId="56C710F0" w14:textId="77777777" w:rsidR="004602CF" w:rsidRPr="005A1B93" w:rsidRDefault="003849F4">
      <w:pPr>
        <w:rPr>
          <w:rFonts w:ascii="Times New Roman" w:hAnsi="Times New Roman" w:cs="Times New Roman"/>
          <w:sz w:val="24"/>
          <w:szCs w:val="24"/>
        </w:rPr>
      </w:pPr>
      <w:r w:rsidRPr="005A1B93">
        <w:rPr>
          <w:rFonts w:ascii="Times New Roman" w:hAnsi="Times New Roman" w:cs="Times New Roman"/>
          <w:sz w:val="24"/>
          <w:szCs w:val="24"/>
        </w:rPr>
        <w:br w:type="page"/>
      </w:r>
    </w:p>
    <w:p w14:paraId="2DE1A167" w14:textId="77777777" w:rsidR="004602CF" w:rsidRPr="00207609" w:rsidRDefault="003849F4">
      <w:pPr>
        <w:keepNext/>
        <w:spacing w:before="200" w:after="120"/>
        <w:rPr>
          <w:rFonts w:ascii="Times New Roman" w:hAnsi="Times New Roman" w:cs="Times New Roman"/>
          <w:color w:val="000000" w:themeColor="text1"/>
          <w:sz w:val="24"/>
          <w:szCs w:val="24"/>
        </w:rPr>
      </w:pPr>
      <w:r w:rsidRPr="00207609">
        <w:rPr>
          <w:rFonts w:ascii="Times New Roman" w:hAnsi="Times New Roman" w:cs="Times New Roman"/>
          <w:b/>
          <w:color w:val="000000" w:themeColor="text1"/>
          <w:sz w:val="24"/>
          <w:szCs w:val="24"/>
        </w:rPr>
        <w:lastRenderedPageBreak/>
        <w:t>References</w:t>
      </w:r>
    </w:p>
    <w:p w14:paraId="43F9BA91" w14:textId="1DAEC858"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Beauchamp, T.L. and Childress, J.F. (2019)</w:t>
      </w:r>
      <w:r w:rsidR="00FD55C3" w:rsidRPr="005A1B93">
        <w:rPr>
          <w:rFonts w:ascii="Times New Roman" w:hAnsi="Times New Roman" w:cs="Times New Roman"/>
          <w:sz w:val="24"/>
          <w:szCs w:val="24"/>
        </w:rPr>
        <w:t>.</w:t>
      </w:r>
      <w:r w:rsidRPr="005A1B93">
        <w:rPr>
          <w:rFonts w:ascii="Times New Roman" w:hAnsi="Times New Roman" w:cs="Times New Roman"/>
          <w:sz w:val="24"/>
          <w:szCs w:val="24"/>
        </w:rPr>
        <w:t xml:space="preserve"> Principles of biomedical ethics. 8th edn. New York: Oxford University Press.</w:t>
      </w:r>
    </w:p>
    <w:p w14:paraId="5E7737D2" w14:textId="082CA562"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Care Act 2014, c. 23. Available at: https://www.legislation.gov.uk/ukpga/2014/23/contents (Accessed: 22 July 2026).</w:t>
      </w:r>
    </w:p>
    <w:p w14:paraId="1EA569C1" w14:textId="38D5291C"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Coulter, A., Entwistle, V.A., Eccles, A., Ryan, S., Shepperd, S. and Perera, R. (2015) 'Personalised care planning for adults with chronic or long-term health conditions', Cochrane Database of Systematic Reviews, 3, CD010523. https://doi.org/10.1002/14651858.CD010523.pub2.</w:t>
      </w:r>
    </w:p>
    <w:p w14:paraId="4AD6CB42" w14:textId="75CE8A92"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Entwistle, V.A. and Watt, I.S. (2013) 'Treating patients as persons: a capabilities approach to support delivery of person-centered care', American Journal of Bioethics, 13(8), pp. 29-39. https://doi.org/10.1080/15265161.2013.802060.</w:t>
      </w:r>
    </w:p>
    <w:p w14:paraId="2D407B05" w14:textId="4816C405"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Equality Act 2010, c. 15. Available at: https://www.legislation.gov.uk/ukpga/2010/15/contents (Accessed: 22 July 2026).</w:t>
      </w:r>
    </w:p>
    <w:p w14:paraId="1DBC32B4" w14:textId="5E27D737"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Gibbs, G. (1988) Learning by doing: A guide to teaching and learning methods. Oxford: Further Education Unit, Oxford Polytechnic.</w:t>
      </w:r>
    </w:p>
    <w:p w14:paraId="57F1EC98" w14:textId="0BCE387D"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Glasby, J. and Dickinson, H. (2014) Partnership working in health and social care: What is integrated care and how can we deliver it? 2nd edn. Bristol: Policy Press.</w:t>
      </w:r>
    </w:p>
    <w:p w14:paraId="770E6ED0" w14:textId="12364F99" w:rsidR="004602CF" w:rsidRPr="005A1B93" w:rsidRDefault="003849F4" w:rsidP="00953A34">
      <w:pPr>
        <w:pStyle w:val="ListParagraph"/>
        <w:numPr>
          <w:ilvl w:val="0"/>
          <w:numId w:val="6"/>
        </w:numPr>
        <w:rPr>
          <w:rFonts w:ascii="Times New Roman" w:hAnsi="Times New Roman" w:cs="Times New Roman"/>
          <w:sz w:val="24"/>
          <w:szCs w:val="24"/>
        </w:rPr>
      </w:pPr>
      <w:r w:rsidRPr="005A1B93">
        <w:rPr>
          <w:rFonts w:ascii="Times New Roman" w:hAnsi="Times New Roman" w:cs="Times New Roman"/>
          <w:sz w:val="24"/>
          <w:szCs w:val="24"/>
        </w:rPr>
        <w:t>Health and Care Act 2022, c. 31. Available at: https://www.legislation.gov.uk/ukpga/2022/31/contents (Accessed: 22 July 2026).</w:t>
      </w:r>
    </w:p>
    <w:p w14:paraId="7FBE1B78" w14:textId="5BCEB043"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Maslow, A.H. (1943) 'A theory of human motivation', Psychological Review, 50(4), pp. 370-396. https://doi.org/10.1037/h0054346.</w:t>
      </w:r>
    </w:p>
    <w:p w14:paraId="3B30B8D0" w14:textId="69EB4641"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McCormack, B. and McCance, T. (2017) Person-centred practice in nursing and health care: Theory and practice. 2nd edn. Chichester: Wiley-Blackwell.</w:t>
      </w:r>
    </w:p>
    <w:p w14:paraId="572EE4E5" w14:textId="721BCA19" w:rsidR="004602CF" w:rsidRPr="005A1B93" w:rsidRDefault="003849F4" w:rsidP="00DE31EA">
      <w:pPr>
        <w:pStyle w:val="ListParagraph"/>
        <w:numPr>
          <w:ilvl w:val="0"/>
          <w:numId w:val="6"/>
        </w:numPr>
        <w:rPr>
          <w:rFonts w:ascii="Times New Roman" w:hAnsi="Times New Roman" w:cs="Times New Roman"/>
          <w:sz w:val="24"/>
          <w:szCs w:val="24"/>
        </w:rPr>
      </w:pPr>
      <w:r w:rsidRPr="005A1B93">
        <w:rPr>
          <w:rFonts w:ascii="Times New Roman" w:hAnsi="Times New Roman" w:cs="Times New Roman"/>
          <w:sz w:val="24"/>
          <w:szCs w:val="24"/>
        </w:rPr>
        <w:t>Mental Capacity Act 2005, c. 9. Available at: https://www.legislation.gov.uk/ukpga/2005/9/contents (Accessed: 22 July 2026).</w:t>
      </w:r>
    </w:p>
    <w:p w14:paraId="3D0FFD28" w14:textId="67F915D6"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Morris, D. (2022) 'Interactive case study: The elderly and Type 2 diabetes', Diabetes &amp; Primary Care, 24(6), p. 191. Available at: https://diabetesonthenet.com/diabetes-primary-care/elderly-t2d/ (Accessed: 22 July 2026).</w:t>
      </w:r>
    </w:p>
    <w:p w14:paraId="296FCAD0" w14:textId="31D56F8D"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National Institute for Health and Care Excellence (NICE) (2021) Shared decision making. NICE guideline NG197. Available at: https://www.nice.org.uk/guidance/ng197 (Accessed: 22 July 2026).</w:t>
      </w:r>
    </w:p>
    <w:p w14:paraId="40C45AE4" w14:textId="083E08E6"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t>National Institute for Health and Care Excellence (NICE) (2026) Type 2 diabetes in adults: management. NICE guideline NG28. Updated 18 February 2026. Available at: https://www.nice.org.uk/guidance/ng28 (Accessed: 22 July 2026).</w:t>
      </w:r>
    </w:p>
    <w:p w14:paraId="47DFA1B0" w14:textId="65682485" w:rsidR="004602CF" w:rsidRPr="005A1B93" w:rsidRDefault="003849F4" w:rsidP="00BB6FA0">
      <w:pPr>
        <w:pStyle w:val="ListParagraph"/>
        <w:numPr>
          <w:ilvl w:val="0"/>
          <w:numId w:val="6"/>
        </w:numPr>
        <w:jc w:val="both"/>
        <w:rPr>
          <w:rFonts w:ascii="Times New Roman" w:hAnsi="Times New Roman" w:cs="Times New Roman"/>
          <w:sz w:val="24"/>
          <w:szCs w:val="24"/>
        </w:rPr>
      </w:pPr>
      <w:r w:rsidRPr="005A1B93">
        <w:rPr>
          <w:rFonts w:ascii="Times New Roman" w:hAnsi="Times New Roman" w:cs="Times New Roman"/>
          <w:sz w:val="24"/>
          <w:szCs w:val="24"/>
        </w:rPr>
        <w:lastRenderedPageBreak/>
        <w:t>Nursing and Midwifery Council (NMC) (2018) The Code: Professional standards of practice and behaviour for nurses, midwives and nursing associates. London: NMC. Available at: https://www.nmc.org.uk/standards/code/ (Accessed: 22 July 2026).</w:t>
      </w:r>
    </w:p>
    <w:p w14:paraId="71E866BF" w14:textId="096A25C2" w:rsidR="004602CF" w:rsidRPr="005A1B93" w:rsidRDefault="004602CF">
      <w:pPr>
        <w:jc w:val="both"/>
        <w:rPr>
          <w:rFonts w:ascii="Times New Roman" w:hAnsi="Times New Roman" w:cs="Times New Roman"/>
          <w:sz w:val="24"/>
          <w:szCs w:val="24"/>
        </w:rPr>
      </w:pPr>
    </w:p>
    <w:sectPr w:rsidR="004602CF" w:rsidRPr="005A1B93">
      <w:footerReference w:type="default" r:id="rId10"/>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5A6BD" w14:textId="77777777" w:rsidR="00620F7D" w:rsidRDefault="00620F7D" w:rsidP="00B21FE6">
      <w:pPr>
        <w:spacing w:after="0" w:line="240" w:lineRule="auto"/>
      </w:pPr>
      <w:r>
        <w:separator/>
      </w:r>
    </w:p>
  </w:endnote>
  <w:endnote w:type="continuationSeparator" w:id="0">
    <w:p w14:paraId="70D3F0B1" w14:textId="77777777" w:rsidR="00620F7D" w:rsidRDefault="00620F7D"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8F2D" w14:textId="1E0072B2" w:rsidR="004602CF" w:rsidRDefault="003849F4">
    <w:pPr>
      <w:pStyle w:val="Footer"/>
      <w:jc w:val="center"/>
    </w:pPr>
    <w:r>
      <w:fldChar w:fldCharType="begin"/>
    </w:r>
    <w:r>
      <w:instrText>PAGE</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12F53" w14:textId="77777777" w:rsidR="00620F7D" w:rsidRDefault="00620F7D" w:rsidP="00B21FE6">
      <w:pPr>
        <w:spacing w:after="0" w:line="240" w:lineRule="auto"/>
      </w:pPr>
      <w:r>
        <w:separator/>
      </w:r>
    </w:p>
  </w:footnote>
  <w:footnote w:type="continuationSeparator" w:id="0">
    <w:p w14:paraId="56DF330B" w14:textId="77777777" w:rsidR="00620F7D" w:rsidRDefault="00620F7D"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C23FF"/>
    <w:multiLevelType w:val="hybridMultilevel"/>
    <w:tmpl w:val="2B8046B6"/>
    <w:lvl w:ilvl="0" w:tplc="9D0C5436">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9397238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86EF8"/>
    <w:rsid w:val="001333C2"/>
    <w:rsid w:val="00181714"/>
    <w:rsid w:val="001D345E"/>
    <w:rsid w:val="00207609"/>
    <w:rsid w:val="00220640"/>
    <w:rsid w:val="00242A44"/>
    <w:rsid w:val="002D39BD"/>
    <w:rsid w:val="002F3E6F"/>
    <w:rsid w:val="00317E3D"/>
    <w:rsid w:val="00350D4F"/>
    <w:rsid w:val="003849F4"/>
    <w:rsid w:val="00392D32"/>
    <w:rsid w:val="003F5651"/>
    <w:rsid w:val="004602CF"/>
    <w:rsid w:val="004B3C23"/>
    <w:rsid w:val="004F5B88"/>
    <w:rsid w:val="00535A27"/>
    <w:rsid w:val="0058218C"/>
    <w:rsid w:val="00594FAC"/>
    <w:rsid w:val="005A1B93"/>
    <w:rsid w:val="00610A5B"/>
    <w:rsid w:val="00620F7D"/>
    <w:rsid w:val="006524ED"/>
    <w:rsid w:val="006D2F2D"/>
    <w:rsid w:val="006E1FF9"/>
    <w:rsid w:val="006E38AB"/>
    <w:rsid w:val="006E58FF"/>
    <w:rsid w:val="00785886"/>
    <w:rsid w:val="007F3A6A"/>
    <w:rsid w:val="00887FBB"/>
    <w:rsid w:val="008F6D4B"/>
    <w:rsid w:val="00953A34"/>
    <w:rsid w:val="009E5C5F"/>
    <w:rsid w:val="00A11336"/>
    <w:rsid w:val="00A62429"/>
    <w:rsid w:val="00AA3230"/>
    <w:rsid w:val="00AE7DDA"/>
    <w:rsid w:val="00B21488"/>
    <w:rsid w:val="00B21FE6"/>
    <w:rsid w:val="00BB6FA0"/>
    <w:rsid w:val="00BC79FE"/>
    <w:rsid w:val="00C535BA"/>
    <w:rsid w:val="00C558B0"/>
    <w:rsid w:val="00C721D4"/>
    <w:rsid w:val="00D00A38"/>
    <w:rsid w:val="00D41AF0"/>
    <w:rsid w:val="00D45E42"/>
    <w:rsid w:val="00D545BA"/>
    <w:rsid w:val="00D66C96"/>
    <w:rsid w:val="00DD4B74"/>
    <w:rsid w:val="00DE31EA"/>
    <w:rsid w:val="00E273A6"/>
    <w:rsid w:val="00E81204"/>
    <w:rsid w:val="00F55298"/>
    <w:rsid w:val="00F81510"/>
    <w:rsid w:val="00FA6248"/>
    <w:rsid w:val="00FD55C3"/>
    <w:rsid w:val="00FE7A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7E0E5"/>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36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6C492-F658-488B-B562-79A40C3F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2607</Words>
  <Characters>14861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Care in UK Practice: A Reflective Report</dc:title>
  <dc:subject>BMHP5016 Component 1 Reflective Report</dc:subject>
  <dc:creator>Ben-Salem Banguena</dc:creator>
  <cp:keywords>person-centred care, partnership working, ethics, Type 2 diabetes, Gibbs</cp:keywords>
  <dc:description/>
  <cp:lastModifiedBy>marie bodo</cp:lastModifiedBy>
  <cp:revision>7</cp:revision>
  <dcterms:created xsi:type="dcterms:W3CDTF">2026-07-22T13:34:00Z</dcterms:created>
  <dcterms:modified xsi:type="dcterms:W3CDTF">2026-07-22T13:50:00Z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f9f34083-48be-4069-8ab5-c50807b8f5dd</vt:lpwstr>
  </property>
</Properties>
</file>