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header2.xml.rels" ContentType="application/vnd.openxmlformats-package.relationships+xml"/>
  <Override PartName="/word/_rels/document.xml.rels" ContentType="application/vnd.openxmlformats-package.relationship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word/theme/theme1.xml" ContentType="application/vnd.openxmlformats-officedocument.theme+xml"/>
  <Override PartName="/word/header3.xml" ContentType="application/vnd.openxmlformats-officedocument.wordprocessingml.header+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b/>
          <w:bCs/>
        </w:rPr>
        <w:t xml:space="preserve">Commentary on Fulcher of Chartres's </w:t>
      </w:r>
      <w:r>
        <w:rPr>
          <w:b/>
          <w:bCs/>
          <w:i/>
          <w:iCs/>
        </w:rPr>
        <w:t>Historia Hierosolymitana</w:t>
      </w:r>
    </w:p>
    <w:p>
      <w:pPr>
        <w:pStyle w:val="Normal"/>
        <w:rPr/>
      </w:pPr>
      <w:r>
        <w:rPr/>
        <w:t xml:space="preserve">Fulcher of Chartres's </w:t>
      </w:r>
      <w:r>
        <w:rPr>
          <w:i/>
          <w:iCs/>
        </w:rPr>
        <w:t>Historia Hierosolymitana</w:t>
      </w:r>
      <w:r>
        <w:rPr/>
        <w:t xml:space="preserve"> offers one of the most important firsthand accounts of the First Crusade (1096–1099). Written between 1100 and 1127, Fulcher’s work blends military events with religious ideology, providing invaluable insight into the motivations, challenges, and triumphs of the Crusaders. Fulcher, a chaplain who participated in the Crusade, presents the Crusaders’ actions not only as military conquests but as divinely sanctioned events, reflecting the medieval view of war as a sacred duty. This commentary explores Fulcher’s narrative in relation to its historical context, religious ideology, divine intervention, and the justification of violence.</w:t>
      </w:r>
    </w:p>
    <w:p>
      <w:pPr>
        <w:pStyle w:val="Normal"/>
        <w:rPr/>
      </w:pPr>
      <w:r>
        <w:rPr/>
        <w:t xml:space="preserve">The </w:t>
      </w:r>
      <w:r>
        <w:rPr>
          <w:i/>
          <w:iCs/>
        </w:rPr>
        <w:t>Historia</w:t>
      </w:r>
      <w:r>
        <w:rPr/>
        <w:t xml:space="preserve"> follows a straightforward chronological structure, recounting the events of the First Crusade from its inception at the Council of Clermont to the capture of Jerusalem in 1099. Fulcher’s narrative details the preparations for the Crusade, the journey across Europe, and the pivotal sieges of Nicaea, Antioch, and Jerusalem. However, the text’s central focus is not only on military tactics and strategic victories but also on the religious and divine context in which these actions occurred.</w:t>
      </w:r>
    </w:p>
    <w:p>
      <w:pPr>
        <w:pStyle w:val="Normal"/>
        <w:rPr/>
      </w:pPr>
      <w:r>
        <w:rPr/>
        <w:t>Fulcher’s narrative begins with Pope Urban II’s call to arms at the Council of Clermont in 1095, where he promises remission of sins to those who take the cross. As Fulcher recounts Pope Urban’s speech, "Remission of sins will be granted for those going thither".</w:t>
      </w:r>
      <w:r>
        <w:rPr>
          <w:rStyle w:val="FootnoteReference"/>
        </w:rPr>
        <w:footnoteReference w:id="2"/>
      </w:r>
      <w:r>
        <w:rPr/>
        <w:t xml:space="preserve"> This promise reflects a central religious motivation for the Crusaders: the hope of spiritual rewards, particularly the forgiveness of sins. Fulcher’s focus on this divine promise highlights the religious framework that underpinned the Crusade and underscores the belief that the Crusaders were participating in a holy mission ordained by God.</w:t>
      </w:r>
    </w:p>
    <w:p>
      <w:pPr>
        <w:pStyle w:val="Normal"/>
        <w:rPr/>
      </w:pPr>
      <w:r>
        <w:rPr/>
        <w:t xml:space="preserve">Fulcher’s role as a chaplain provides a unique lens through which to understand the Crusaders’ worldview. His account emphasizes the belief that their military actions were guided by divine will and framed within a religious mission. In his retelling of the Crusade, Fulcher frequently highlights the importance of spiritual motivations, reflecting a broader medieval belief in the sacred nature of war. He states early in the </w:t>
      </w:r>
      <w:r>
        <w:rPr>
          <w:i/>
          <w:iCs/>
        </w:rPr>
        <w:t>Historia</w:t>
      </w:r>
      <w:r>
        <w:rPr/>
        <w:t xml:space="preserve"> that the Crusaders did not seek earthly glory but were driven by a desire to defend and reclaim Christian lands, specifically Jerusalem, from perceived threats. This sentiment aligns with a broader medieval belief in the sacred nature of the Crusade and echoes the ideological framework of many contemporary sources, where the Crusaders were understood to be engaged in a sacred struggle, with the promise of spiritual rewards for those who participated.</w:t>
      </w:r>
      <w:r>
        <w:rPr>
          <w:rStyle w:val="FootnoteReference"/>
        </w:rPr>
        <w:footnoteReference w:id="3"/>
      </w:r>
    </w:p>
    <w:p>
      <w:pPr>
        <w:pStyle w:val="Normal"/>
        <w:rPr/>
      </w:pPr>
      <w:r>
        <w:rPr/>
        <w:t>Throughout the text, Fulcher stresses that the Crusaders’ success was not simply due to human skill but to divine favour, framing the Crusade as a sacred mission under God's guidance. The discovery of the Holy Lance during the siege of Antioch is presented as a miraculous sign that assured the Crusaders of victory. Fulcher recalls, “with the Lord’s Lance we boldly sought where their greater courage and strength lay. And foced them to flee from their most advanced positions.” This event, which Fulcher portrays as a supernatural occurrence, highlights the Crusaders’ belief that their success in battle was tied directly to divine intervention.</w:t>
      </w:r>
      <w:r>
        <w:rPr>
          <w:rStyle w:val="FootnoteReference"/>
        </w:rPr>
        <w:footnoteReference w:id="4"/>
      </w:r>
      <w:r>
        <w:rPr/>
        <w:t xml:space="preserve"> </w:t>
      </w:r>
    </w:p>
    <w:p>
      <w:pPr>
        <w:pStyle w:val="Normal"/>
        <w:rPr/>
      </w:pPr>
      <w:r>
        <w:rPr/>
        <w:t>He also described the visions of a cleric during the siege of Antioch, where it states the Lord appeared and said, “Flee not, but hasten back and tell others that I shall be present with them in battle”. Fulcher emphasizes that this victory, and others like it, were not only the result of military skill but also a fulfilment of God’s will.</w:t>
      </w:r>
      <w:r>
        <w:rPr>
          <w:rStyle w:val="FootnoteReference"/>
        </w:rPr>
        <w:footnoteReference w:id="5"/>
      </w:r>
      <w:r>
        <w:rPr/>
        <w:t xml:space="preserve"> The emphasis on such miraculous signs not only highlights the Crusaders’ faith but also reinforces the idea that the Crusade was part of a larger, divinely orchestrated plan. </w:t>
      </w:r>
    </w:p>
    <w:p>
      <w:pPr>
        <w:pStyle w:val="Normal"/>
        <w:rPr/>
      </w:pPr>
      <w:r>
        <w:rPr/>
        <w:t xml:space="preserve">One of the more complex aspects of Fulcher's </w:t>
      </w:r>
      <w:r>
        <w:rPr>
          <w:i/>
          <w:iCs/>
        </w:rPr>
        <w:t>Historia</w:t>
      </w:r>
      <w:r>
        <w:rPr/>
        <w:t xml:space="preserve"> is its treatment of violence, particularly the brutal actions during the capture of Jerusalem. Fulcher acknowledges the atrocities committed, such as the massacre of Muslims and Jews, but frames them within a religious context. He portrays the Crusaders as agents of divine justice, carrying out God’s will through their violent actions. This reflects the broader medieval notion that violence could be sanctified when it was directed toward a religious goal. For Fulcher, the conquest of Jerusalem, including the violent actions that accompanied it, was a divinely ordained fulfilment of a holy mission.</w:t>
      </w:r>
      <w:r>
        <w:rPr>
          <w:rStyle w:val="FootnoteReference"/>
        </w:rPr>
        <w:footnoteReference w:id="6"/>
      </w:r>
    </w:p>
    <w:p>
      <w:pPr>
        <w:pStyle w:val="Normal"/>
        <w:rPr/>
      </w:pPr>
      <w:r>
        <w:rPr/>
        <w:t>Following the capture of Jerusalem, Fulcher briefly discusses the establishment of the Latin Kingdom of Jerusalem. His portrayal emphasizes not only the political significance of the Crusaders’ victory but also its religious importance. Fulcher suggests that the Crusaders, through their military victories, were fulfilling a religious mandate to create a Christian kingdom in the Holy Land. This aligns with the broader understanding that the Crusaders’ success was not just a military conquest but a spiritual triumph, as they saw themselves as divine agents fulfilling God’s plan for the Holy Land. They viewed the Holy Land not merely as a political territory to be conquered, but as a sacred space requiring Christian stewardship.</w:t>
      </w:r>
      <w:r>
        <w:rPr>
          <w:rStyle w:val="FootnoteReference"/>
        </w:rPr>
        <w:footnoteReference w:id="7"/>
      </w:r>
    </w:p>
    <w:p>
      <w:pPr>
        <w:pStyle w:val="Normal"/>
        <w:rPr/>
      </w:pPr>
      <w:r>
        <w:rPr/>
        <w:t xml:space="preserve">Fulcher’s </w:t>
      </w:r>
      <w:r>
        <w:rPr>
          <w:i/>
          <w:iCs/>
        </w:rPr>
        <w:t>Historia Hierosolymitana</w:t>
      </w:r>
      <w:r>
        <w:rPr/>
        <w:t xml:space="preserve"> holds a crucial place in the historiography of the First Crusade. As one of the earliest and most direct accounts, it provides essential insights into the Crusaders’ experiences and motivations. Fulcher’s focus on divine intervention and religious fervour contrasts with later, more politically oriented accounts, such as those by William of Tyre.</w:t>
      </w:r>
      <w:r>
        <w:rPr>
          <w:rStyle w:val="FootnoteReference"/>
        </w:rPr>
        <w:footnoteReference w:id="8"/>
      </w:r>
      <w:r>
        <w:rPr/>
        <w:t xml:space="preserve"> Whereas later sources often emphasize diplomacy and political manoeuvring, Fulcher’s narrative prioritizes the Crusaders' religious devotion and belief in divine favour as the driving forces behind their actions.</w:t>
      </w:r>
    </w:p>
    <w:p>
      <w:pPr>
        <w:pStyle w:val="Normal"/>
        <w:rPr/>
      </w:pPr>
      <w:r>
        <w:rPr/>
        <w:t>Fulcher’s work also offers a unique perspective on the relationship between the Crusaders and the Byzantine Empire. His account highlights the initial alliance between the Crusaders and the Byzantines, as well as the tensions that emerged as the Crusaders became more independent. This complexity adds depth to our understanding of the Crusade, showing that the Crusaders’ motivations were influenced not only by religious convictions but also by the political dynamics of the time.</w:t>
      </w:r>
      <w:r>
        <w:rPr>
          <w:rStyle w:val="FootnoteReference"/>
        </w:rPr>
        <w:footnoteReference w:id="9"/>
      </w:r>
    </w:p>
    <w:p>
      <w:pPr>
        <w:pStyle w:val="Normal"/>
        <w:rPr/>
      </w:pPr>
      <w:r>
        <w:rPr/>
        <w:t xml:space="preserve">Fulcher of Chartres' </w:t>
      </w:r>
      <w:r>
        <w:rPr>
          <w:i/>
          <w:iCs/>
        </w:rPr>
        <w:t>Historia Hierosolymitana</w:t>
      </w:r>
      <w:r>
        <w:rPr/>
        <w:t xml:space="preserve"> remains a key source for understanding the First Crusade. Through his emphasis on divine intervention, miraculous victories, and the religious justification of violence, Fulcher presents the Crusaders’ mission as a divinely guided endeavour. His account reveals how the Crusaders saw themselves as part of a larger, sacred mission, with their military actions framed within a theological context. By examining Fulcher’s work alongside broader historical and theological perspectives, we gain a deeper understanding of the Crusaders’ worldview, which was shaped by both religious fervour and a belief in divine providence. Ultimately, Fulcher’s </w:t>
      </w:r>
      <w:r>
        <w:rPr>
          <w:i/>
          <w:iCs/>
        </w:rPr>
        <w:t>Historia</w:t>
      </w:r>
      <w:r>
        <w:rPr/>
        <w:t xml:space="preserve"> offers critical insight into the medieval mindset and the ideological foundations of the First Crusade.</w:t>
      </w:r>
    </w:p>
    <w:p>
      <w:pPr>
        <w:pStyle w:val="Normal"/>
        <w:ind w:hanging="720" w:left="720"/>
        <w:rPr/>
      </w:pPr>
      <w:r>
        <w:rPr/>
      </w:r>
    </w:p>
    <w:p>
      <w:pPr>
        <w:pStyle w:val="Normal"/>
        <w:ind w:hanging="720" w:left="720"/>
        <w:rPr>
          <w:b/>
          <w:bCs/>
        </w:rPr>
      </w:pPr>
      <w:r>
        <w:rPr>
          <w:b/>
          <w:bCs/>
        </w:rPr>
      </w:r>
    </w:p>
    <w:p>
      <w:pPr>
        <w:pStyle w:val="Normal"/>
        <w:ind w:hanging="720" w:left="720"/>
        <w:rPr>
          <w:b/>
          <w:bCs/>
        </w:rPr>
      </w:pPr>
      <w:r>
        <w:rPr>
          <w:b/>
          <w:bCs/>
        </w:rPr>
      </w:r>
    </w:p>
    <w:p>
      <w:pPr>
        <w:pStyle w:val="Normal"/>
        <w:ind w:hanging="720" w:left="720"/>
        <w:rPr>
          <w:b/>
          <w:bCs/>
        </w:rPr>
      </w:pPr>
      <w:r>
        <w:rPr>
          <w:b/>
          <w:bCs/>
        </w:rPr>
      </w:r>
    </w:p>
    <w:p>
      <w:pPr>
        <w:pStyle w:val="Normal"/>
        <w:ind w:hanging="720" w:left="720"/>
        <w:rPr>
          <w:b/>
          <w:bCs/>
        </w:rPr>
      </w:pPr>
      <w:r>
        <w:rPr>
          <w:b/>
          <w:bCs/>
        </w:rPr>
      </w:r>
    </w:p>
    <w:p>
      <w:pPr>
        <w:pStyle w:val="Normal"/>
        <w:ind w:hanging="720" w:left="720"/>
        <w:rPr>
          <w:b/>
          <w:bCs/>
        </w:rPr>
      </w:pPr>
      <w:r>
        <w:rPr>
          <w:b/>
          <w:bCs/>
        </w:rPr>
      </w:r>
    </w:p>
    <w:p>
      <w:pPr>
        <w:pStyle w:val="Normal"/>
        <w:ind w:hanging="720" w:left="720"/>
        <w:rPr>
          <w:b/>
          <w:bCs/>
        </w:rPr>
      </w:pPr>
      <w:r>
        <w:rPr>
          <w:b/>
          <w:bCs/>
        </w:rPr>
      </w:r>
    </w:p>
    <w:p>
      <w:pPr>
        <w:pStyle w:val="Normal"/>
        <w:ind w:hanging="720" w:left="720"/>
        <w:rPr>
          <w:b/>
          <w:bCs/>
        </w:rPr>
      </w:pPr>
      <w:r>
        <w:rPr>
          <w:b/>
          <w:bCs/>
        </w:rPr>
      </w:r>
    </w:p>
    <w:p>
      <w:pPr>
        <w:pStyle w:val="Normal"/>
        <w:ind w:hanging="720" w:left="720"/>
        <w:rPr>
          <w:b/>
          <w:bCs/>
        </w:rPr>
      </w:pPr>
      <w:r>
        <w:rPr>
          <w:b/>
          <w:bCs/>
        </w:rPr>
      </w:r>
    </w:p>
    <w:p>
      <w:pPr>
        <w:pStyle w:val="Normal"/>
        <w:ind w:hanging="720" w:left="720"/>
        <w:rPr>
          <w:b/>
          <w:bCs/>
        </w:rPr>
      </w:pPr>
      <w:r>
        <w:rPr>
          <w:b/>
          <w:bCs/>
        </w:rPr>
      </w:r>
    </w:p>
    <w:p>
      <w:pPr>
        <w:pStyle w:val="Normal"/>
        <w:ind w:hanging="720" w:left="720"/>
        <w:rPr>
          <w:b/>
          <w:bCs/>
        </w:rPr>
      </w:pPr>
      <w:r>
        <w:rPr>
          <w:b/>
          <w:bCs/>
        </w:rPr>
        <w:t>Bibliography</w:t>
      </w:r>
    </w:p>
    <w:p>
      <w:pPr>
        <w:pStyle w:val="Normal"/>
        <w:ind w:hanging="720" w:left="720"/>
        <w:rPr/>
      </w:pPr>
      <w:r>
        <w:rPr/>
        <w:t xml:space="preserve">Foucher de Chartres, </w:t>
      </w:r>
      <w:r>
        <w:rPr>
          <w:i/>
          <w:iCs/>
        </w:rPr>
        <w:t>Chronicle of the First Crusade</w:t>
      </w:r>
      <w:r>
        <w:rPr/>
        <w:t>, trans. by Martha Evelyn McGinty (Philadelphia: University of Pennsylvania Press, 1941) p. 16 &lt;https://archive.org/details/chronicleoffirst0000fouc/page/n5/mode/2up?q=clermont&gt; [Accessed 16 March 2025]</w:t>
      </w:r>
    </w:p>
    <w:p>
      <w:pPr>
        <w:pStyle w:val="Normal"/>
        <w:ind w:hanging="720" w:left="720"/>
        <w:rPr/>
      </w:pPr>
      <w:r>
        <w:rPr/>
        <w:t xml:space="preserve">Kostick, Conor, ‘Courage and Cowardice on the First Crusade, 1096-1099’, </w:t>
      </w:r>
      <w:r>
        <w:rPr>
          <w:i/>
          <w:iCs/>
        </w:rPr>
        <w:t>War in History</w:t>
      </w:r>
      <w:r>
        <w:rPr/>
        <w:t>, 20.1 (2013), pp. 32-49 &lt;DOI: 101177/0968344512454517&gt;</w:t>
      </w:r>
    </w:p>
    <w:p>
      <w:pPr>
        <w:pStyle w:val="Normal"/>
        <w:ind w:hanging="720" w:left="720"/>
        <w:rPr/>
      </w:pPr>
      <w:r>
        <w:rPr/>
        <w:t xml:space="preserve">Morton, Nicholas, ‘The First Crusade and the Conquest of Jerusalem’, </w:t>
      </w:r>
      <w:r>
        <w:rPr>
          <w:i/>
          <w:iCs/>
        </w:rPr>
        <w:t>Encountering Islam on the First Crusade</w:t>
      </w:r>
      <w:r>
        <w:rPr/>
        <w:t> (Cambridge: Cambridge University Press, 2016), pp. 111–89 &lt;https://www.cambridge.org/core/books/abs/encountering-islam-on-the-first-crusade/first-crusade-and-the-conquest-of-jerusalem/F0BCDCA3818B44A9ABB1DEAA2C615A48&gt; [accessed 16 March 2025]</w:t>
      </w:r>
    </w:p>
    <w:p>
      <w:pPr>
        <w:pStyle w:val="FootnoteText"/>
        <w:spacing w:lineRule="auto" w:line="276" w:before="0" w:after="240"/>
        <w:ind w:hanging="720" w:left="720"/>
        <w:rPr>
          <w:sz w:val="24"/>
          <w:szCs w:val="24"/>
        </w:rPr>
      </w:pPr>
      <w:r>
        <w:rPr>
          <w:sz w:val="24"/>
          <w:szCs w:val="24"/>
        </w:rPr>
        <w:t xml:space="preserve">Peters, Edward, ‘Pope Urban II at the Council of Clermont, November 27, 1095.’ </w:t>
      </w:r>
      <w:r>
        <w:rPr>
          <w:i/>
          <w:iCs/>
          <w:sz w:val="24"/>
          <w:szCs w:val="24"/>
        </w:rPr>
        <w:t>The First Crusade: “The Chronicle of Fulcher of Chartres” and Other Source Materials</w:t>
      </w:r>
      <w:r>
        <w:rPr>
          <w:sz w:val="24"/>
          <w:szCs w:val="24"/>
        </w:rPr>
        <w:t>, 2nd ed., (Philadelphia: University of Pennsylvania Press, 1998), pp. 25–46. &lt; http://www.jstor.org/stable/j.ctt3fhh0t.6.&gt; [Accessed 16 March 2025]</w:t>
      </w:r>
    </w:p>
    <w:p>
      <w:pPr>
        <w:pStyle w:val="Normal"/>
        <w:ind w:hanging="720" w:left="720"/>
        <w:rPr>
          <w:i/>
          <w:i/>
          <w:iCs/>
        </w:rPr>
      </w:pPr>
      <w:r>
        <w:rPr/>
        <w:t xml:space="preserve">Tyerman, Christopher, </w:t>
      </w:r>
      <w:r>
        <w:rPr>
          <w:i/>
          <w:iCs/>
        </w:rPr>
        <w:t xml:space="preserve">God’s War: A New History of the Crusades </w:t>
      </w:r>
      <w:r>
        <w:rPr/>
        <w:t>(London: Penguin Books, 2007)</w:t>
      </w:r>
    </w:p>
    <w:p>
      <w:pPr>
        <w:pStyle w:val="Normal"/>
        <w:ind w:hanging="720" w:left="720"/>
        <w:rPr/>
      </w:pPr>
      <w:r>
        <w:rPr/>
        <w:t xml:space="preserve">William of Tyre, </w:t>
      </w:r>
      <w:r>
        <w:rPr>
          <w:i/>
          <w:iCs/>
        </w:rPr>
        <w:t>A History of Deeds Done Beyond the Sea</w:t>
      </w:r>
      <w:r>
        <w:rPr/>
        <w:t>, trans. by Emily Atwater Babcock and A. C. Krey (New York: Columbia University Press, 1943) &lt;https://archive.org/details/williamoftyrehistory&gt; [Accessed 16 March 2025]</w:t>
      </w:r>
    </w:p>
    <w:p>
      <w:pPr>
        <w:pStyle w:val="Normal"/>
        <w:rPr/>
      </w:pPr>
      <w:r>
        <w:rPr/>
      </w:r>
    </w:p>
    <w:p>
      <w:pPr>
        <w:pStyle w:val="Normal"/>
        <w:widowControl/>
        <w:bidi w:val="0"/>
        <w:spacing w:lineRule="auto" w:line="276" w:before="0" w:after="160"/>
        <w:jc w:val="left"/>
        <w:rPr/>
      </w:pPr>
      <w:r>
        <w:rPr/>
      </w:r>
    </w:p>
    <w:sectPr>
      <w:headerReference w:type="even" r:id="rId2"/>
      <w:headerReference w:type="default" r:id="rId3"/>
      <w:headerReference w:type="first" r:id="rId4"/>
      <w:footnotePr>
        <w:numFmt w:val="decimal"/>
      </w:footnotePr>
      <w:type w:val="nextPage"/>
      <w:pgSz w:w="11906" w:h="16838"/>
      <w:pgMar w:left="1440" w:right="1440" w:gutter="0" w:header="708"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ptos">
    <w:charset w:val="01"/>
    <w:family w:val="roman"/>
    <w:pitch w:val="default"/>
  </w:font>
  <w:font w:name="Aptos Display">
    <w:charset w:val="01"/>
    <w:family w:val="roman"/>
    <w:pitch w:val="default"/>
  </w:font>
  <w:font w:name="Garamond">
    <w:charset w:val="01"/>
    <w:family w:val="roman"/>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rPr/>
      </w:pPr>
      <w:r>
        <w:rPr>
          <w:rStyle w:val="FootnoteCharacters"/>
        </w:rPr>
        <w:footnoteRef/>
      </w:r>
      <w:r>
        <w:rPr/>
        <w:t xml:space="preserve"> </w:t>
      </w:r>
      <w:r>
        <w:rPr/>
        <w:t xml:space="preserve">Foucher de Chartres, </w:t>
      </w:r>
      <w:r>
        <w:rPr>
          <w:i/>
          <w:iCs/>
        </w:rPr>
        <w:t>Chronicle of the First Crusade</w:t>
      </w:r>
      <w:r>
        <w:rPr/>
        <w:t>, trans. by Martha Evelyn McGinty (Philadelphia: University of Pennsylvania Press, 1941) p. 16 &lt;https://archive.org/details/chronicleoffirst0000fouc/page/n5/mode/2up?q=clermont&gt; [Accessed 17 March 2025].</w:t>
      </w:r>
    </w:p>
  </w:footnote>
  <w:footnote w:id="3">
    <w:p>
      <w:pPr>
        <w:pStyle w:val="FootnoteText"/>
        <w:rPr/>
      </w:pPr>
      <w:r>
        <w:rPr>
          <w:rStyle w:val="FootnoteCharacters"/>
        </w:rPr>
        <w:footnoteRef/>
      </w:r>
      <w:r>
        <w:rPr/>
        <w:t xml:space="preserve"> </w:t>
      </w:r>
      <w:r>
        <w:rPr/>
        <w:t>Ibid, pp. 11-15.</w:t>
      </w:r>
    </w:p>
  </w:footnote>
  <w:footnote w:id="4">
    <w:p>
      <w:pPr>
        <w:pStyle w:val="FootnoteText"/>
        <w:rPr/>
      </w:pPr>
      <w:r>
        <w:rPr>
          <w:rStyle w:val="FootnoteCharacters"/>
        </w:rPr>
        <w:footnoteRef/>
      </w:r>
      <w:r>
        <w:rPr/>
        <w:t xml:space="preserve"> </w:t>
      </w:r>
      <w:r>
        <w:rPr/>
        <w:t xml:space="preserve">Foucher de Chartres, </w:t>
      </w:r>
      <w:r>
        <w:rPr>
          <w:i/>
          <w:iCs/>
        </w:rPr>
        <w:t>Chronicle of the First Crusade</w:t>
      </w:r>
      <w:r>
        <w:rPr/>
        <w:t>, p. 57</w:t>
      </w:r>
    </w:p>
  </w:footnote>
  <w:footnote w:id="5">
    <w:p>
      <w:pPr>
        <w:pStyle w:val="FootnoteText"/>
        <w:rPr/>
      </w:pPr>
      <w:r>
        <w:rPr>
          <w:rStyle w:val="FootnoteCharacters"/>
        </w:rPr>
        <w:footnoteRef/>
      </w:r>
      <w:r>
        <w:rPr/>
        <w:t xml:space="preserve"> </w:t>
      </w:r>
      <w:r>
        <w:rPr/>
        <w:t>Ibid, p. 50.</w:t>
      </w:r>
    </w:p>
  </w:footnote>
  <w:footnote w:id="6">
    <w:p>
      <w:pPr>
        <w:pStyle w:val="FootnoteText"/>
        <w:rPr/>
      </w:pPr>
      <w:r>
        <w:rPr>
          <w:rStyle w:val="FootnoteCharacters"/>
        </w:rPr>
        <w:footnoteRef/>
      </w:r>
      <w:r>
        <w:rPr/>
        <w:t xml:space="preserve"> </w:t>
      </w:r>
      <w:r>
        <w:rPr/>
        <w:t>Ibid, p. 69.</w:t>
      </w:r>
    </w:p>
  </w:footnote>
  <w:footnote w:id="7">
    <w:p>
      <w:pPr>
        <w:pStyle w:val="FootnoteText"/>
        <w:rPr/>
      </w:pPr>
      <w:r>
        <w:rPr>
          <w:rStyle w:val="FootnoteCharacters"/>
        </w:rPr>
        <w:footnoteRef/>
      </w:r>
      <w:r>
        <w:rPr/>
        <w:t xml:space="preserve"> </w:t>
      </w:r>
      <w:r>
        <w:rPr/>
        <w:t>Ibid, pp. 71-74.</w:t>
      </w:r>
    </w:p>
  </w:footnote>
  <w:footnote w:id="8">
    <w:p>
      <w:pPr>
        <w:pStyle w:val="FootnoteText"/>
        <w:rPr/>
      </w:pPr>
      <w:r>
        <w:rPr>
          <w:rStyle w:val="FootnoteCharacters"/>
        </w:rPr>
        <w:footnoteRef/>
      </w:r>
      <w:r>
        <w:rPr/>
        <w:t xml:space="preserve"> </w:t>
      </w:r>
      <w:r>
        <w:rPr/>
        <w:t xml:space="preserve">William of Tyre, </w:t>
      </w:r>
      <w:r>
        <w:rPr>
          <w:i/>
          <w:iCs/>
        </w:rPr>
        <w:t>A History of Deeds Done Beyond the Sea</w:t>
      </w:r>
      <w:r>
        <w:rPr/>
        <w:t xml:space="preserve">, trans. by Emily Atwater Babcock and A. C. Krey (New York: Columbia University Press, 1943) &lt;https://archive.org/details/williamoftyrehistory&gt; [Accessed 17 March 2025]. </w:t>
      </w:r>
    </w:p>
  </w:footnote>
  <w:footnote w:id="9">
    <w:p>
      <w:pPr>
        <w:pStyle w:val="FootnoteText"/>
        <w:rPr/>
      </w:pPr>
      <w:r>
        <w:rPr>
          <w:rStyle w:val="FootnoteCharacters"/>
        </w:rPr>
        <w:footnoteRef/>
      </w:r>
      <w:r>
        <w:rPr/>
        <w:t xml:space="preserve"> </w:t>
      </w:r>
      <w:r>
        <w:rPr/>
        <w:t xml:space="preserve">Foucher de Chartres, </w:t>
      </w:r>
      <w:r>
        <w:rPr>
          <w:i/>
          <w:iCs/>
        </w:rPr>
        <w:t>Chronicle of the First Crusade</w:t>
      </w:r>
      <w:r>
        <w:rPr/>
        <w:t>, pp. 22-24.</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t>Chris Guy</w:t>
      <w:tab/>
    </w:r>
    <w:hyperlink r:id="rId1">
      <w:r>
        <w:rPr>
          <w:rStyle w:val="Hyperlink"/>
          <w:color w:themeColor="text1" w:val="000000"/>
          <w:u w:val="none"/>
        </w:rPr>
        <w:t>Crusading in the Middle Ages (HPHI4905)</w:t>
      </w:r>
    </w:hyperlink>
    <w:r>
      <w:rPr/>
      <w:tab/>
      <w:t>16/03/2025</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t>Chris Guy</w:t>
      <w:tab/>
    </w:r>
    <w:hyperlink r:id="rId1">
      <w:r>
        <w:rPr>
          <w:rStyle w:val="Hyperlink"/>
          <w:color w:themeColor="text1" w:val="000000"/>
          <w:u w:val="none"/>
        </w:rPr>
        <w:t>Crusading in the Middle Ages (HPHI4905)</w:t>
      </w:r>
    </w:hyperlink>
    <w:r>
      <w:rPr/>
      <w:tab/>
      <w:t>16/03/2025</w:t>
    </w:r>
  </w:p>
</w:hdr>
</file>

<file path=word/settings.xml><?xml version="1.0" encoding="utf-8"?>
<w:settings xmlns:w="http://schemas.openxmlformats.org/wordprocessingml/2006/main">
  <w:zoom w:percent="110"/>
  <w:defaultTabStop w:val="720"/>
  <w:autoHyphenation w:val="true"/>
  <w:hyphenationZone w:val="0"/>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en-GB"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160"/>
      <w:jc w:val="left"/>
    </w:pPr>
    <w:rPr>
      <w:rFonts w:ascii="Aptos" w:hAnsi="Aptos" w:eastAsia="Aptos" w:cs="" w:asciiTheme="minorHAnsi" w:cstheme="minorBidi" w:eastAsiaTheme="minorHAnsi" w:hAnsiTheme="minorHAnsi"/>
      <w:color w:val="auto"/>
      <w:kern w:val="2"/>
      <w:sz w:val="24"/>
      <w:szCs w:val="24"/>
      <w:lang w:val="en-GB" w:eastAsia="en-US" w:bidi="ar-SA"/>
      <w14:ligatures w14:val="standardContextual"/>
    </w:rPr>
  </w:style>
  <w:style w:type="paragraph" w:styleId="Heading1">
    <w:name w:val="heading 1"/>
    <w:basedOn w:val="Normal"/>
    <w:next w:val="Normal"/>
    <w:link w:val="Heading1Char"/>
    <w:uiPriority w:val="9"/>
    <w:qFormat/>
    <w:rsid w:val="00fd5c91"/>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Heading2Char"/>
    <w:uiPriority w:val="9"/>
    <w:semiHidden/>
    <w:unhideWhenUsed/>
    <w:qFormat/>
    <w:rsid w:val="00fd5c91"/>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Heading3Char"/>
    <w:uiPriority w:val="9"/>
    <w:semiHidden/>
    <w:unhideWhenUsed/>
    <w:qFormat/>
    <w:rsid w:val="00fd5c91"/>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Heading4Char"/>
    <w:uiPriority w:val="9"/>
    <w:semiHidden/>
    <w:unhideWhenUsed/>
    <w:qFormat/>
    <w:rsid w:val="00fd5c91"/>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Heading5Char"/>
    <w:uiPriority w:val="9"/>
    <w:semiHidden/>
    <w:unhideWhenUsed/>
    <w:qFormat/>
    <w:rsid w:val="00fd5c91"/>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Heading6Char"/>
    <w:uiPriority w:val="9"/>
    <w:semiHidden/>
    <w:unhideWhenUsed/>
    <w:qFormat/>
    <w:rsid w:val="00fd5c91"/>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fd5c91"/>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fd5c91"/>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fd5c91"/>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d5c91"/>
    <w:rPr>
      <w:rFonts w:ascii="Aptos Display" w:hAnsi="Aptos Display" w:eastAsia="" w:cs="" w:asciiTheme="majorHAnsi" w:cstheme="majorBidi" w:eastAsiaTheme="majorEastAsia" w:hAnsiTheme="majorHAnsi"/>
      <w:color w:themeColor="accent1" w:themeShade="bf" w:val="0F4761"/>
      <w:sz w:val="40"/>
      <w:szCs w:val="40"/>
    </w:rPr>
  </w:style>
  <w:style w:type="character" w:styleId="Heading2Char" w:customStyle="1">
    <w:name w:val="Heading 2 Char"/>
    <w:basedOn w:val="DefaultParagraphFont"/>
    <w:link w:val="Heading2"/>
    <w:uiPriority w:val="9"/>
    <w:semiHidden/>
    <w:qFormat/>
    <w:rsid w:val="00fd5c91"/>
    <w:rPr>
      <w:rFonts w:ascii="Aptos Display" w:hAnsi="Aptos Display" w:eastAsia="" w:cs="" w:asciiTheme="majorHAnsi" w:cstheme="majorBidi" w:eastAsiaTheme="majorEastAsia" w:hAnsiTheme="majorHAnsi"/>
      <w:color w:themeColor="accent1" w:themeShade="bf" w:val="0F4761"/>
      <w:sz w:val="32"/>
      <w:szCs w:val="32"/>
    </w:rPr>
  </w:style>
  <w:style w:type="character" w:styleId="Heading3Char" w:customStyle="1">
    <w:name w:val="Heading 3 Char"/>
    <w:basedOn w:val="DefaultParagraphFont"/>
    <w:link w:val="Heading3"/>
    <w:uiPriority w:val="9"/>
    <w:semiHidden/>
    <w:qFormat/>
    <w:rsid w:val="00fd5c91"/>
    <w:rPr>
      <w:rFonts w:eastAsia="" w:cs="" w:cstheme="majorBidi" w:eastAsiaTheme="majorEastAsia"/>
      <w:color w:themeColor="accent1" w:themeShade="bf" w:val="0F4761"/>
      <w:sz w:val="28"/>
      <w:szCs w:val="28"/>
    </w:rPr>
  </w:style>
  <w:style w:type="character" w:styleId="Heading4Char" w:customStyle="1">
    <w:name w:val="Heading 4 Char"/>
    <w:basedOn w:val="DefaultParagraphFont"/>
    <w:link w:val="Heading4"/>
    <w:uiPriority w:val="9"/>
    <w:semiHidden/>
    <w:qFormat/>
    <w:rsid w:val="00fd5c91"/>
    <w:rPr>
      <w:rFonts w:eastAsia="" w:cs="" w:cstheme="majorBidi" w:eastAsiaTheme="majorEastAsia"/>
      <w:i/>
      <w:iCs/>
      <w:color w:themeColor="accent1" w:themeShade="bf" w:val="0F4761"/>
    </w:rPr>
  </w:style>
  <w:style w:type="character" w:styleId="Heading5Char" w:customStyle="1">
    <w:name w:val="Heading 5 Char"/>
    <w:basedOn w:val="DefaultParagraphFont"/>
    <w:link w:val="Heading5"/>
    <w:uiPriority w:val="9"/>
    <w:semiHidden/>
    <w:qFormat/>
    <w:rsid w:val="00fd5c91"/>
    <w:rPr>
      <w:rFonts w:eastAsia="" w:cs="" w:cstheme="majorBidi" w:eastAsiaTheme="majorEastAsia"/>
      <w:color w:themeColor="accent1" w:themeShade="bf" w:val="0F4761"/>
    </w:rPr>
  </w:style>
  <w:style w:type="character" w:styleId="Heading6Char" w:customStyle="1">
    <w:name w:val="Heading 6 Char"/>
    <w:basedOn w:val="DefaultParagraphFont"/>
    <w:link w:val="Heading6"/>
    <w:uiPriority w:val="9"/>
    <w:semiHidden/>
    <w:qFormat/>
    <w:rsid w:val="00fd5c91"/>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fd5c91"/>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fd5c91"/>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fd5c91"/>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fd5c91"/>
    <w:rPr>
      <w:rFonts w:ascii="Aptos Display" w:hAnsi="Aptos Display"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fd5c91"/>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fd5c91"/>
    <w:rPr>
      <w:i/>
      <w:iCs/>
      <w:color w:themeColor="text1" w:themeTint="bf" w:val="404040"/>
    </w:rPr>
  </w:style>
  <w:style w:type="character" w:styleId="IntenseEmphasis">
    <w:name w:val="Intense Emphasis"/>
    <w:basedOn w:val="DefaultParagraphFont"/>
    <w:uiPriority w:val="21"/>
    <w:qFormat/>
    <w:rsid w:val="00fd5c91"/>
    <w:rPr>
      <w:i/>
      <w:iCs/>
      <w:color w:themeColor="accent1" w:themeShade="bf" w:val="0F4761"/>
    </w:rPr>
  </w:style>
  <w:style w:type="character" w:styleId="IntenseQuoteChar" w:customStyle="1">
    <w:name w:val="Intense Quote Char"/>
    <w:basedOn w:val="DefaultParagraphFont"/>
    <w:link w:val="IntenseQuote"/>
    <w:uiPriority w:val="30"/>
    <w:qFormat/>
    <w:rsid w:val="00fd5c91"/>
    <w:rPr>
      <w:i/>
      <w:iCs/>
      <w:color w:themeColor="accent1" w:themeShade="bf" w:val="0F4761"/>
    </w:rPr>
  </w:style>
  <w:style w:type="character" w:styleId="IntenseReference">
    <w:name w:val="Intense Reference"/>
    <w:basedOn w:val="DefaultParagraphFont"/>
    <w:uiPriority w:val="32"/>
    <w:qFormat/>
    <w:rsid w:val="00fd5c91"/>
    <w:rPr>
      <w:b/>
      <w:bCs/>
      <w:smallCaps/>
      <w:color w:themeColor="accent1" w:themeShade="bf" w:val="0F4761"/>
      <w:spacing w:val="5"/>
    </w:rPr>
  </w:style>
  <w:style w:type="character" w:styleId="CommentReference">
    <w:name w:val="annotation reference"/>
    <w:basedOn w:val="DefaultParagraphFont"/>
    <w:uiPriority w:val="99"/>
    <w:semiHidden/>
    <w:unhideWhenUsed/>
    <w:qFormat/>
    <w:rsid w:val="00fd5c91"/>
    <w:rPr>
      <w:sz w:val="16"/>
      <w:szCs w:val="16"/>
    </w:rPr>
  </w:style>
  <w:style w:type="character" w:styleId="CommentTextChar" w:customStyle="1">
    <w:name w:val="Comment Text Char"/>
    <w:basedOn w:val="DefaultParagraphFont"/>
    <w:link w:val="CommentText"/>
    <w:uiPriority w:val="99"/>
    <w:qFormat/>
    <w:rsid w:val="00fd5c91"/>
    <w:rPr>
      <w:sz w:val="20"/>
      <w:szCs w:val="20"/>
    </w:rPr>
  </w:style>
  <w:style w:type="character" w:styleId="Hyperlink">
    <w:name w:val="Hyperlink"/>
    <w:basedOn w:val="DefaultParagraphFont"/>
    <w:uiPriority w:val="99"/>
    <w:unhideWhenUsed/>
    <w:rsid w:val="00fd5c91"/>
    <w:rPr>
      <w:color w:themeColor="hyperlink" w:val="467886"/>
      <w:u w:val="single"/>
    </w:rPr>
  </w:style>
  <w:style w:type="character" w:styleId="CommentSubjectChar" w:customStyle="1">
    <w:name w:val="Comment Subject Char"/>
    <w:basedOn w:val="CommentTextChar"/>
    <w:link w:val="annotationsubject"/>
    <w:uiPriority w:val="99"/>
    <w:semiHidden/>
    <w:qFormat/>
    <w:rsid w:val="0004511e"/>
    <w:rPr>
      <w:b/>
      <w:bCs/>
      <w:sz w:val="20"/>
      <w:szCs w:val="20"/>
    </w:rPr>
  </w:style>
  <w:style w:type="character" w:styleId="UnresolvedMention">
    <w:name w:val="Unresolved Mention"/>
    <w:basedOn w:val="DefaultParagraphFont"/>
    <w:uiPriority w:val="99"/>
    <w:semiHidden/>
    <w:unhideWhenUsed/>
    <w:qFormat/>
    <w:rsid w:val="0004511e"/>
    <w:rPr>
      <w:color w:val="605E5C"/>
      <w:shd w:fill="E1DFDD" w:val="clear"/>
    </w:rPr>
  </w:style>
  <w:style w:type="character" w:styleId="FootnoteTextChar" w:customStyle="1">
    <w:name w:val="Footnote Text Char"/>
    <w:basedOn w:val="DefaultParagraphFont"/>
    <w:link w:val="FootnoteText"/>
    <w:uiPriority w:val="99"/>
    <w:qFormat/>
    <w:rsid w:val="000e549f"/>
    <w:rPr>
      <w:sz w:val="20"/>
      <w:szCs w:val="20"/>
    </w:rPr>
  </w:style>
  <w:style w:type="character" w:styleId="FootnoteCharacters">
    <w:name w:val="Footnote Characters"/>
    <w:basedOn w:val="DefaultParagraphFont"/>
    <w:uiPriority w:val="99"/>
    <w:semiHidden/>
    <w:unhideWhenUsed/>
    <w:qFormat/>
    <w:rsid w:val="000e549f"/>
    <w:rPr>
      <w:vertAlign w:val="superscript"/>
    </w:rPr>
  </w:style>
  <w:style w:type="character" w:styleId="FootnoteReference">
    <w:name w:val="footnote reference"/>
    <w:rPr>
      <w:vertAlign w:val="superscript"/>
    </w:rPr>
  </w:style>
  <w:style w:type="character" w:styleId="HeaderChar" w:customStyle="1">
    <w:name w:val="Header Char"/>
    <w:basedOn w:val="DefaultParagraphFont"/>
    <w:link w:val="Header"/>
    <w:uiPriority w:val="99"/>
    <w:qFormat/>
    <w:rsid w:val="007a3349"/>
    <w:rPr/>
  </w:style>
  <w:style w:type="character" w:styleId="FooterChar" w:customStyle="1">
    <w:name w:val="Footer Char"/>
    <w:basedOn w:val="DefaultParagraphFont"/>
    <w:link w:val="Footer"/>
    <w:uiPriority w:val="99"/>
    <w:qFormat/>
    <w:rsid w:val="007a3349"/>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Garamond" w:hAnsi="Garamond" w:eastAsia="PingFang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2"/>
      <w:szCs w:val="24"/>
    </w:rPr>
  </w:style>
  <w:style w:type="paragraph" w:styleId="Index">
    <w:name w:val="Index"/>
    <w:basedOn w:val="Normal"/>
    <w:qFormat/>
    <w:pPr>
      <w:suppressLineNumbers/>
    </w:pPr>
    <w:rPr>
      <w:rFonts w:ascii="Garamond" w:hAnsi="Garamond" w:cs="Lucida Sans"/>
    </w:rPr>
  </w:style>
  <w:style w:type="paragraph" w:styleId="Title">
    <w:name w:val="Title"/>
    <w:basedOn w:val="Normal"/>
    <w:next w:val="Normal"/>
    <w:link w:val="TitleChar"/>
    <w:uiPriority w:val="10"/>
    <w:qFormat/>
    <w:rsid w:val="00fd5c91"/>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fd5c91"/>
    <w:pPr/>
    <w:rPr>
      <w:rFonts w:eastAsia="" w:cs=""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fd5c91"/>
    <w:pPr>
      <w:spacing w:before="160" w:after="160"/>
      <w:jc w:val="center"/>
    </w:pPr>
    <w:rPr>
      <w:i/>
      <w:iCs/>
      <w:color w:themeColor="text1" w:themeTint="bf" w:val="404040"/>
    </w:rPr>
  </w:style>
  <w:style w:type="paragraph" w:styleId="ListParagraph">
    <w:name w:val="List Paragraph"/>
    <w:basedOn w:val="Normal"/>
    <w:uiPriority w:val="34"/>
    <w:qFormat/>
    <w:rsid w:val="00fd5c91"/>
    <w:pPr>
      <w:spacing w:before="0" w:after="160"/>
      <w:ind w:left="720"/>
      <w:contextualSpacing/>
    </w:pPr>
    <w:rPr/>
  </w:style>
  <w:style w:type="paragraph" w:styleId="IntenseQuote">
    <w:name w:val="Intense Quote"/>
    <w:basedOn w:val="Normal"/>
    <w:next w:val="Normal"/>
    <w:link w:val="IntenseQuoteChar"/>
    <w:uiPriority w:val="30"/>
    <w:qFormat/>
    <w:rsid w:val="00fd5c91"/>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CommentText">
    <w:name w:val="annotation text"/>
    <w:basedOn w:val="Normal"/>
    <w:link w:val="CommentTextChar"/>
    <w:uiPriority w:val="99"/>
    <w:unhideWhenUsed/>
    <w:rsid w:val="00fd5c91"/>
    <w:pPr>
      <w:spacing w:lineRule="auto" w:line="240"/>
    </w:pPr>
    <w:rPr>
      <w:sz w:val="20"/>
      <w:szCs w:val="20"/>
    </w:rPr>
  </w:style>
  <w:style w:type="paragraph" w:styleId="annotationsubject">
    <w:name w:val="annotation subject"/>
    <w:basedOn w:val="CommentText"/>
    <w:next w:val="CommentText"/>
    <w:link w:val="CommentSubjectChar"/>
    <w:uiPriority w:val="99"/>
    <w:semiHidden/>
    <w:unhideWhenUsed/>
    <w:qFormat/>
    <w:rsid w:val="0004511e"/>
    <w:pPr/>
    <w:rPr>
      <w:b/>
      <w:bCs/>
    </w:rPr>
  </w:style>
  <w:style w:type="paragraph" w:styleId="FootnoteText">
    <w:name w:val="footnote text"/>
    <w:basedOn w:val="Normal"/>
    <w:link w:val="FootnoteTextChar"/>
    <w:uiPriority w:val="99"/>
    <w:unhideWhenUsed/>
    <w:rsid w:val="000e549f"/>
    <w:pPr>
      <w:spacing w:lineRule="auto" w:line="240" w:before="0" w:after="0"/>
    </w:pPr>
    <w:rPr>
      <w:sz w:val="20"/>
      <w:szCs w:val="20"/>
    </w:rPr>
  </w:style>
  <w:style w:type="paragraph" w:styleId="HeaderandFooter">
    <w:name w:val="Header and Footer"/>
    <w:basedOn w:val="Normal"/>
    <w:qFormat/>
    <w:pPr/>
    <w:rPr/>
  </w:style>
  <w:style w:type="paragraph" w:styleId="Header">
    <w:name w:val="header"/>
    <w:basedOn w:val="Normal"/>
    <w:link w:val="HeaderChar"/>
    <w:uiPriority w:val="99"/>
    <w:unhideWhenUsed/>
    <w:rsid w:val="007a3349"/>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7a3349"/>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notes" Target="footnot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hyperlink" Target="https://moodle.uwtsd.ac.uk/course/view.php?id=10127" TargetMode="External"/>
</Relationships>
</file>

<file path=word/_rels/header3.xml.rels><?xml version="1.0" encoding="UTF-8"?>
<Relationships xmlns="http://schemas.openxmlformats.org/package/2006/relationships"><Relationship Id="rId1" Type="http://schemas.openxmlformats.org/officeDocument/2006/relationships/hyperlink" Target="https://moodle.uwtsd.ac.uk/course/view.php?id=10127" TargetMode="Externa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B56757-9A00-4228-BADE-F41D0CF34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LibreOffice/24.8.3.2$MacOSX_X86_64 LibreOffice_project/48a6bac9e7e268aeb4c3483fcf825c94556d9f92</Application>
  <AppVersion>15.0000</AppVersion>
  <Pages>4</Pages>
  <Words>1348</Words>
  <Characters>7972</Characters>
  <CharactersWithSpaces>9300</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2025-03-17T22:38:00Z</dcterms:created>
  <dc:creator>Chris Guy (2404993)</dc:creator>
  <dc:description/>
  <dc:language>en-GB</dc:language>
  <cp:lastModifiedBy>Chris Guy (2404993)</cp:lastModifiedBy>
  <dcterms:modified xsi:type="dcterms:W3CDTF">2025-03-17T22:38:00Z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