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D24B9" w:rsidRDefault="005D24B9" w:rsidP="003502A3">
      <w:pPr>
        <w:jc w:val="center"/>
        <w:rPr>
          <w:sz w:val="32"/>
        </w:rPr>
      </w:pPr>
      <w:r>
        <w:rPr>
          <w:sz w:val="32"/>
        </w:rPr>
        <w:t>Lucy Smith - Essay</w:t>
      </w:r>
      <w:bookmarkStart w:id="0" w:name="_GoBack"/>
      <w:bookmarkEnd w:id="0"/>
    </w:p>
    <w:p w:rsidR="0094725D" w:rsidRDefault="003502A3" w:rsidP="003502A3">
      <w:pPr>
        <w:jc w:val="center"/>
        <w:rPr>
          <w:sz w:val="32"/>
        </w:rPr>
      </w:pPr>
      <w:r w:rsidRPr="003502A3">
        <w:rPr>
          <w:sz w:val="32"/>
        </w:rPr>
        <w:t>The political map of Britain was transformed as a result of World War One. Discuss.</w:t>
      </w:r>
    </w:p>
    <w:p w:rsidR="003502A3" w:rsidRDefault="003502A3" w:rsidP="003502A3">
      <w:pPr>
        <w:rPr>
          <w:sz w:val="32"/>
        </w:rPr>
      </w:pPr>
    </w:p>
    <w:p w:rsidR="00DD546D" w:rsidRPr="00BA569E" w:rsidRDefault="00171A10" w:rsidP="003502A3">
      <w:pPr>
        <w:rPr>
          <w:sz w:val="28"/>
        </w:rPr>
      </w:pPr>
      <w:r w:rsidRPr="00BA569E">
        <w:rPr>
          <w:sz w:val="28"/>
        </w:rPr>
        <w:t xml:space="preserve">The First </w:t>
      </w:r>
      <w:r w:rsidR="00DD546D" w:rsidRPr="00BA569E">
        <w:rPr>
          <w:sz w:val="28"/>
        </w:rPr>
        <w:t>World War</w:t>
      </w:r>
      <w:r w:rsidRPr="00BA569E">
        <w:rPr>
          <w:sz w:val="28"/>
        </w:rPr>
        <w:t xml:space="preserve"> had a profound </w:t>
      </w:r>
      <w:r w:rsidR="00BA569E" w:rsidRPr="00BA569E">
        <w:rPr>
          <w:sz w:val="28"/>
        </w:rPr>
        <w:t>impact</w:t>
      </w:r>
      <w:r w:rsidRPr="00BA569E">
        <w:rPr>
          <w:sz w:val="28"/>
        </w:rPr>
        <w:t xml:space="preserve"> on British politics. </w:t>
      </w:r>
      <w:r w:rsidR="00684C8B" w:rsidRPr="00BA569E">
        <w:rPr>
          <w:sz w:val="28"/>
        </w:rPr>
        <w:t xml:space="preserve">The period immediate to before the war, the conflict time itself and the contiguous period after the war saw major changes to the political parties in </w:t>
      </w:r>
      <w:r w:rsidR="00DD546D" w:rsidRPr="00BA569E">
        <w:rPr>
          <w:sz w:val="28"/>
        </w:rPr>
        <w:t>Britain</w:t>
      </w:r>
      <w:r w:rsidR="00684C8B" w:rsidRPr="00BA569E">
        <w:rPr>
          <w:sz w:val="28"/>
        </w:rPr>
        <w:t xml:space="preserve">; the decline </w:t>
      </w:r>
      <w:r w:rsidR="00DD546D" w:rsidRPr="00BA569E">
        <w:rPr>
          <w:sz w:val="28"/>
        </w:rPr>
        <w:t xml:space="preserve">of the Liberal party </w:t>
      </w:r>
      <w:r w:rsidR="00684C8B" w:rsidRPr="00BA569E">
        <w:rPr>
          <w:sz w:val="28"/>
        </w:rPr>
        <w:t>(and never to recover)</w:t>
      </w:r>
      <w:r w:rsidR="00DD546D" w:rsidRPr="00BA569E">
        <w:rPr>
          <w:sz w:val="28"/>
        </w:rPr>
        <w:t>, the division of Ireland</w:t>
      </w:r>
      <w:r w:rsidR="00FB7C95">
        <w:rPr>
          <w:sz w:val="28"/>
        </w:rPr>
        <w:t xml:space="preserve"> and Irish independence from great Britain,</w:t>
      </w:r>
      <w:r w:rsidR="00DD546D" w:rsidRPr="00BA569E">
        <w:rPr>
          <w:sz w:val="28"/>
        </w:rPr>
        <w:t xml:space="preserve"> and the changing</w:t>
      </w:r>
      <w:r w:rsidR="00FB7C95">
        <w:rPr>
          <w:sz w:val="28"/>
        </w:rPr>
        <w:t xml:space="preserve"> </w:t>
      </w:r>
      <w:r w:rsidR="00DD546D" w:rsidRPr="00BA569E">
        <w:rPr>
          <w:sz w:val="28"/>
        </w:rPr>
        <w:t>nature</w:t>
      </w:r>
      <w:r w:rsidR="00FB7C95">
        <w:rPr>
          <w:sz w:val="28"/>
        </w:rPr>
        <w:t xml:space="preserve"> and attitudes</w:t>
      </w:r>
      <w:r w:rsidR="00DD546D" w:rsidRPr="00BA569E">
        <w:rPr>
          <w:sz w:val="28"/>
        </w:rPr>
        <w:t xml:space="preserve"> of common society </w:t>
      </w:r>
      <w:r w:rsidR="00FB7C95">
        <w:rPr>
          <w:sz w:val="28"/>
        </w:rPr>
        <w:t xml:space="preserve">towards politics, mostly </w:t>
      </w:r>
      <w:r w:rsidR="00DD546D" w:rsidRPr="00BA569E">
        <w:rPr>
          <w:sz w:val="28"/>
        </w:rPr>
        <w:t xml:space="preserve">as a result of the Representation of the Peoples act </w:t>
      </w:r>
      <w:r w:rsidR="00FB7C95">
        <w:rPr>
          <w:sz w:val="28"/>
        </w:rPr>
        <w:t xml:space="preserve">passed in </w:t>
      </w:r>
      <w:r w:rsidR="00DD546D" w:rsidRPr="00BA569E">
        <w:rPr>
          <w:sz w:val="28"/>
        </w:rPr>
        <w:t>1918. Each of these changes</w:t>
      </w:r>
      <w:r w:rsidR="00BA569E" w:rsidRPr="00BA569E">
        <w:rPr>
          <w:sz w:val="28"/>
        </w:rPr>
        <w:t xml:space="preserve"> also created differences in public behaviour as a society, an example would be the increased circulation of</w:t>
      </w:r>
      <w:r w:rsidR="00FB7C95">
        <w:rPr>
          <w:sz w:val="28"/>
        </w:rPr>
        <w:t xml:space="preserve"> certain</w:t>
      </w:r>
      <w:r w:rsidR="00BA569E" w:rsidRPr="00BA569E">
        <w:rPr>
          <w:sz w:val="28"/>
        </w:rPr>
        <w:t xml:space="preserve"> newspapers</w:t>
      </w:r>
      <w:r w:rsidR="00FB7C95">
        <w:rPr>
          <w:sz w:val="28"/>
        </w:rPr>
        <w:t xml:space="preserve"> and the decrease in others</w:t>
      </w:r>
      <w:r w:rsidR="00BA569E" w:rsidRPr="00BA569E">
        <w:rPr>
          <w:sz w:val="28"/>
        </w:rPr>
        <w:t>, and how this affected the fate of the war time politicians</w:t>
      </w:r>
      <w:r w:rsidR="00FB7C95">
        <w:rPr>
          <w:sz w:val="28"/>
        </w:rPr>
        <w:t xml:space="preserve"> and the views and opinions the general public held about the war and how the politicians were running the conflict</w:t>
      </w:r>
      <w:r w:rsidR="00BA569E" w:rsidRPr="00BA569E">
        <w:rPr>
          <w:sz w:val="28"/>
        </w:rPr>
        <w:t xml:space="preserve">. </w:t>
      </w:r>
    </w:p>
    <w:p w:rsidR="00BA569E" w:rsidRDefault="00BA569E" w:rsidP="003502A3">
      <w:pPr>
        <w:rPr>
          <w:sz w:val="28"/>
        </w:rPr>
      </w:pPr>
      <w:r w:rsidRPr="00BA569E">
        <w:rPr>
          <w:sz w:val="28"/>
        </w:rPr>
        <w:t>By the time the first world war started, the Liberal Party had been in power since 1905, and the 50 years previous had alternated wi</w:t>
      </w:r>
      <w:r w:rsidR="00506231">
        <w:rPr>
          <w:sz w:val="28"/>
        </w:rPr>
        <w:t>th the Tories. Both these main parties formed the war time coalition government. It was not until the gen</w:t>
      </w:r>
      <w:r w:rsidR="00450632">
        <w:rPr>
          <w:sz w:val="28"/>
        </w:rPr>
        <w:t>eral election of 1918 that the L</w:t>
      </w:r>
      <w:r w:rsidR="00506231">
        <w:rPr>
          <w:sz w:val="28"/>
        </w:rPr>
        <w:t xml:space="preserve">abour party </w:t>
      </w:r>
      <w:r w:rsidR="00450632">
        <w:rPr>
          <w:sz w:val="28"/>
        </w:rPr>
        <w:t>gained any real support and success. The changing fortunes of the Liberal party had already begun before the war</w:t>
      </w:r>
      <w:r w:rsidR="00DD50F9">
        <w:rPr>
          <w:sz w:val="28"/>
        </w:rPr>
        <w:t xml:space="preserve">, David Lloyd George was involved in a cash for honours scandal. A practice that had been happening at least 20 years previous but was considered wrong by many of the politicians by the time the </w:t>
      </w:r>
      <w:r w:rsidR="00850D74">
        <w:rPr>
          <w:sz w:val="28"/>
        </w:rPr>
        <w:t>First World War</w:t>
      </w:r>
      <w:r w:rsidR="00DD50F9">
        <w:rPr>
          <w:sz w:val="28"/>
        </w:rPr>
        <w:t xml:space="preserve"> stared.</w:t>
      </w:r>
      <w:r w:rsidR="00DD50F9">
        <w:rPr>
          <w:rStyle w:val="FootnoteReference"/>
          <w:sz w:val="28"/>
        </w:rPr>
        <w:footnoteReference w:id="1"/>
      </w:r>
      <w:r w:rsidR="00850D74">
        <w:rPr>
          <w:sz w:val="28"/>
        </w:rPr>
        <w:t xml:space="preserve"> </w:t>
      </w:r>
      <w:r w:rsidR="00210088">
        <w:rPr>
          <w:sz w:val="28"/>
        </w:rPr>
        <w:t xml:space="preserve">Lloyd </w:t>
      </w:r>
      <w:r w:rsidR="00A445C4">
        <w:rPr>
          <w:sz w:val="28"/>
        </w:rPr>
        <w:t>George</w:t>
      </w:r>
      <w:r w:rsidR="00210088">
        <w:rPr>
          <w:sz w:val="28"/>
        </w:rPr>
        <w:t xml:space="preserve"> also used the money raised from selling honours to fund his own pol</w:t>
      </w:r>
      <w:r w:rsidR="00A445C4">
        <w:rPr>
          <w:sz w:val="28"/>
        </w:rPr>
        <w:t xml:space="preserve">itical campaigns; not to fund the Liberal party. It comes at little surprise that </w:t>
      </w:r>
      <w:r w:rsidR="00850D74">
        <w:rPr>
          <w:sz w:val="28"/>
        </w:rPr>
        <w:t>Herbert Asquith, the previous Liberal prime minister was against selling honours</w:t>
      </w:r>
      <w:r w:rsidR="00A445C4">
        <w:rPr>
          <w:sz w:val="28"/>
        </w:rPr>
        <w:t xml:space="preserve"> especially as the party both involved with were not benefiting</w:t>
      </w:r>
      <w:r w:rsidR="00F75FE6">
        <w:rPr>
          <w:sz w:val="28"/>
        </w:rPr>
        <w:t>, just Lloyd George</w:t>
      </w:r>
      <w:r w:rsidR="00A445C4">
        <w:rPr>
          <w:sz w:val="28"/>
        </w:rPr>
        <w:t>. This selling honours scandal was</w:t>
      </w:r>
      <w:r w:rsidR="00850D74">
        <w:rPr>
          <w:sz w:val="28"/>
        </w:rPr>
        <w:t xml:space="preserve"> one of the few tensions within the liberal party in 1914. By 1916 the Liberal party was divided; the true Liberal Asquith led side and the more Liberal - Conservative side led by Lloyd George. At the start of the war Asquith was prime minister, who favoured very little state intervention on the daily l</w:t>
      </w:r>
      <w:r w:rsidR="00EF36F0">
        <w:rPr>
          <w:sz w:val="28"/>
        </w:rPr>
        <w:t xml:space="preserve">ife of Britons but the nature of living in a </w:t>
      </w:r>
      <w:r w:rsidR="00EF36F0">
        <w:rPr>
          <w:sz w:val="28"/>
        </w:rPr>
        <w:lastRenderedPageBreak/>
        <w:t>country at war created problems that lead to the state needing to intervene.</w:t>
      </w:r>
      <w:r w:rsidR="00115182">
        <w:rPr>
          <w:rStyle w:val="FootnoteReference"/>
          <w:sz w:val="28"/>
        </w:rPr>
        <w:footnoteReference w:id="2"/>
      </w:r>
      <w:r w:rsidR="00E619EF">
        <w:rPr>
          <w:sz w:val="28"/>
        </w:rPr>
        <w:t xml:space="preserve"> The war needed more men to fight for Great Britain than had volunteered, leading to talks of conscription. </w:t>
      </w:r>
      <w:proofErr w:type="spellStart"/>
      <w:r w:rsidR="00E619EF">
        <w:rPr>
          <w:sz w:val="28"/>
        </w:rPr>
        <w:t>Asquithian</w:t>
      </w:r>
      <w:proofErr w:type="spellEnd"/>
      <w:r w:rsidR="00E619EF">
        <w:rPr>
          <w:sz w:val="28"/>
        </w:rPr>
        <w:t xml:space="preserve"> Liberals were against forcing men into uniform, despite the first call to conscription of single men aged 18-41 being implemented in January 1916, and tighter</w:t>
      </w:r>
      <w:r w:rsidR="00A901C2">
        <w:rPr>
          <w:sz w:val="28"/>
        </w:rPr>
        <w:t xml:space="preserve"> conscription</w:t>
      </w:r>
      <w:r w:rsidR="00E619EF">
        <w:rPr>
          <w:sz w:val="28"/>
        </w:rPr>
        <w:t xml:space="preserve"> laws forcing married men</w:t>
      </w:r>
      <w:r w:rsidR="00A901C2">
        <w:rPr>
          <w:sz w:val="28"/>
        </w:rPr>
        <w:t xml:space="preserve"> aged 18-41 to enlist,</w:t>
      </w:r>
      <w:r w:rsidR="00E619EF">
        <w:rPr>
          <w:sz w:val="28"/>
        </w:rPr>
        <w:t xml:space="preserve"> whilst</w:t>
      </w:r>
      <w:r w:rsidR="006F499A">
        <w:rPr>
          <w:sz w:val="28"/>
        </w:rPr>
        <w:t xml:space="preserve"> the Liberals solely were in power and</w:t>
      </w:r>
      <w:r w:rsidR="00E619EF">
        <w:rPr>
          <w:sz w:val="28"/>
        </w:rPr>
        <w:t xml:space="preserve"> Asquith</w:t>
      </w:r>
      <w:r w:rsidR="006F499A">
        <w:rPr>
          <w:sz w:val="28"/>
        </w:rPr>
        <w:t xml:space="preserve"> was</w:t>
      </w:r>
      <w:r w:rsidR="00E619EF">
        <w:rPr>
          <w:sz w:val="28"/>
        </w:rPr>
        <w:t xml:space="preserve"> still prime minister</w:t>
      </w:r>
      <w:r w:rsidR="0083690F">
        <w:rPr>
          <w:sz w:val="28"/>
        </w:rPr>
        <w:t xml:space="preserve"> despite being against the idea</w:t>
      </w:r>
      <w:r w:rsidR="008A1C5B">
        <w:rPr>
          <w:sz w:val="28"/>
        </w:rPr>
        <w:t>.</w:t>
      </w:r>
      <w:r w:rsidR="008A1C5B">
        <w:rPr>
          <w:rStyle w:val="FootnoteReference"/>
          <w:sz w:val="28"/>
        </w:rPr>
        <w:footnoteReference w:id="3"/>
      </w:r>
      <w:r w:rsidR="008A1C5B">
        <w:rPr>
          <w:sz w:val="28"/>
        </w:rPr>
        <w:t xml:space="preserve"> Although </w:t>
      </w:r>
      <w:r w:rsidR="007B7F4B">
        <w:rPr>
          <w:sz w:val="28"/>
        </w:rPr>
        <w:t xml:space="preserve">by the end of the war, Lloyd George had raised the age of conscription from 18 up to 51, causing further disagreements </w:t>
      </w:r>
      <w:r w:rsidR="00253D42">
        <w:rPr>
          <w:sz w:val="28"/>
        </w:rPr>
        <w:t>between the prime minister and</w:t>
      </w:r>
      <w:r w:rsidR="007B7F4B">
        <w:rPr>
          <w:sz w:val="28"/>
        </w:rPr>
        <w:t xml:space="preserve"> the rest of the Liberal party. It is also noted that the military conscription acts were not extended to affect those in Ireland, as </w:t>
      </w:r>
      <w:r w:rsidR="00D21DF5">
        <w:rPr>
          <w:sz w:val="28"/>
        </w:rPr>
        <w:t>neither Asquith nor</w:t>
      </w:r>
      <w:r w:rsidR="007B7F4B">
        <w:rPr>
          <w:sz w:val="28"/>
        </w:rPr>
        <w:t xml:space="preserve"> Lloyd George wanted to worsen the </w:t>
      </w:r>
      <w:r w:rsidR="00841B91">
        <w:rPr>
          <w:sz w:val="28"/>
        </w:rPr>
        <w:t xml:space="preserve">high </w:t>
      </w:r>
      <w:r w:rsidR="007B7F4B">
        <w:rPr>
          <w:sz w:val="28"/>
        </w:rPr>
        <w:t>tensions forming between the British government and those in the Irish</w:t>
      </w:r>
      <w:r w:rsidR="00C312CE">
        <w:rPr>
          <w:sz w:val="28"/>
        </w:rPr>
        <w:t xml:space="preserve"> independence movement.</w:t>
      </w:r>
      <w:r w:rsidR="00C312CE">
        <w:rPr>
          <w:rStyle w:val="FootnoteReference"/>
          <w:sz w:val="28"/>
        </w:rPr>
        <w:footnoteReference w:id="4"/>
      </w:r>
      <w:r w:rsidR="00210088">
        <w:rPr>
          <w:sz w:val="28"/>
        </w:rPr>
        <w:t xml:space="preserve"> The fact that the war time coalition government was the formed with the Liberals and the Conservatives also demonstrated the fact that the Liberals alone were not strong enough to run the country, let alone run Britain and aspects of its Empire for the duration of the war. </w:t>
      </w:r>
      <w:r w:rsidR="001044A4">
        <w:rPr>
          <w:sz w:val="28"/>
        </w:rPr>
        <w:t xml:space="preserve">The so called ‘Coupon Election’ </w:t>
      </w:r>
      <w:r w:rsidR="00035CC5">
        <w:rPr>
          <w:sz w:val="28"/>
        </w:rPr>
        <w:t xml:space="preserve">(due to the coupon letter sent out to those running to form a coalition of conservatives and liberals) </w:t>
      </w:r>
      <w:r w:rsidR="001044A4">
        <w:rPr>
          <w:sz w:val="28"/>
        </w:rPr>
        <w:t xml:space="preserve">of 1918 happened after the </w:t>
      </w:r>
      <w:r w:rsidR="00035CC5">
        <w:rPr>
          <w:sz w:val="28"/>
        </w:rPr>
        <w:t xml:space="preserve">passing of the </w:t>
      </w:r>
      <w:r w:rsidR="001044A4">
        <w:rPr>
          <w:sz w:val="28"/>
        </w:rPr>
        <w:t>Representation of the Peoples act, which allowed men over the age of 21 to vote, and some women over the age of 30 to vote</w:t>
      </w:r>
      <w:r w:rsidR="00035CC5">
        <w:rPr>
          <w:sz w:val="28"/>
        </w:rPr>
        <w:t>, spelled the very end of the L</w:t>
      </w:r>
      <w:r w:rsidR="001044A4">
        <w:rPr>
          <w:sz w:val="28"/>
        </w:rPr>
        <w:t xml:space="preserve">iberals as the main opposition party; </w:t>
      </w:r>
      <w:r w:rsidR="00035CC5">
        <w:rPr>
          <w:sz w:val="28"/>
        </w:rPr>
        <w:t>the new rival party became the newly successful L</w:t>
      </w:r>
      <w:r w:rsidR="001044A4">
        <w:rPr>
          <w:sz w:val="28"/>
        </w:rPr>
        <w:t xml:space="preserve">abour. </w:t>
      </w:r>
      <w:r w:rsidR="00486087">
        <w:rPr>
          <w:sz w:val="28"/>
        </w:rPr>
        <w:t>The new class system that emerged out of the First World War also led to further disagreements with the Liberal party. During the election of 1918 it became clear that</w:t>
      </w:r>
      <w:r w:rsidR="00A60581">
        <w:rPr>
          <w:sz w:val="28"/>
        </w:rPr>
        <w:t xml:space="preserve"> the middle classes would vote C</w:t>
      </w:r>
      <w:r w:rsidR="00486087">
        <w:rPr>
          <w:sz w:val="28"/>
        </w:rPr>
        <w:t>onservative (and coalition Liberal) and that the lower classes would vote for the trade unio</w:t>
      </w:r>
      <w:r w:rsidR="00A60581">
        <w:rPr>
          <w:sz w:val="28"/>
        </w:rPr>
        <w:t>n favoured L</w:t>
      </w:r>
      <w:r w:rsidR="00486087">
        <w:rPr>
          <w:sz w:val="28"/>
        </w:rPr>
        <w:t>abour, leaving the Liberals with no major class base for which they would receive votes from.</w:t>
      </w:r>
      <w:r w:rsidR="00486087">
        <w:rPr>
          <w:rStyle w:val="FootnoteReference"/>
          <w:sz w:val="28"/>
        </w:rPr>
        <w:footnoteReference w:id="5"/>
      </w:r>
      <w:r w:rsidR="00A60581">
        <w:rPr>
          <w:sz w:val="28"/>
        </w:rPr>
        <w:t xml:space="preserve"> There were also less Liberal newspapers being published during and after the war, mainly because so many of the local editions went bust during the first decade of the </w:t>
      </w:r>
      <w:r w:rsidR="00A60581">
        <w:rPr>
          <w:sz w:val="28"/>
        </w:rPr>
        <w:lastRenderedPageBreak/>
        <w:t>20</w:t>
      </w:r>
      <w:r w:rsidR="00A60581" w:rsidRPr="00A60581">
        <w:rPr>
          <w:sz w:val="28"/>
          <w:vertAlign w:val="superscript"/>
        </w:rPr>
        <w:t>th</w:t>
      </w:r>
      <w:r w:rsidR="00A60581">
        <w:rPr>
          <w:sz w:val="28"/>
        </w:rPr>
        <w:t xml:space="preserve"> century, meaning that the Conservatives still had a large circulation of the majority of national and local newspapers, the Labour party had more influence of a few newspapers such as the Guardian and its local affiliates, </w:t>
      </w:r>
      <w:proofErr w:type="spellStart"/>
      <w:r w:rsidR="00A60581">
        <w:rPr>
          <w:sz w:val="28"/>
        </w:rPr>
        <w:t>where as</w:t>
      </w:r>
      <w:proofErr w:type="spellEnd"/>
      <w:r w:rsidR="00A60581">
        <w:rPr>
          <w:sz w:val="28"/>
        </w:rPr>
        <w:t xml:space="preserve"> the Liberal party had very few supportive newspapers,</w:t>
      </w:r>
      <w:r w:rsidR="00A60581">
        <w:rPr>
          <w:rStyle w:val="FootnoteReference"/>
          <w:sz w:val="28"/>
        </w:rPr>
        <w:footnoteReference w:id="6"/>
      </w:r>
      <w:r w:rsidR="00A60581">
        <w:rPr>
          <w:sz w:val="28"/>
        </w:rPr>
        <w:t xml:space="preserve"> which was also a problem due to the lack of party funds since Lloyd George pocketed most of the funds for himself from the cash for honours scandal. </w:t>
      </w:r>
      <w:r w:rsidR="00701718">
        <w:rPr>
          <w:sz w:val="28"/>
        </w:rPr>
        <w:t xml:space="preserve"> The Liberal party had also lost support from </w:t>
      </w:r>
      <w:r w:rsidR="00BE3FCB">
        <w:rPr>
          <w:sz w:val="28"/>
        </w:rPr>
        <w:t>Ireland</w:t>
      </w:r>
      <w:r w:rsidR="00701718">
        <w:rPr>
          <w:sz w:val="28"/>
        </w:rPr>
        <w:t>, in particular from</w:t>
      </w:r>
      <w:r w:rsidR="00BE3FCB">
        <w:rPr>
          <w:sz w:val="28"/>
        </w:rPr>
        <w:t xml:space="preserve"> the Irish Nationalist MPs, whilst the Conservatives still had support from northern Irish unionist MPs. </w:t>
      </w:r>
    </w:p>
    <w:p w:rsidR="00E05334" w:rsidRDefault="00E05334" w:rsidP="003502A3">
      <w:pPr>
        <w:rPr>
          <w:sz w:val="28"/>
        </w:rPr>
      </w:pPr>
    </w:p>
    <w:p w:rsidR="00E05334" w:rsidRDefault="00E05334" w:rsidP="003502A3">
      <w:pPr>
        <w:rPr>
          <w:sz w:val="28"/>
        </w:rPr>
      </w:pPr>
      <w:r>
        <w:rPr>
          <w:sz w:val="28"/>
        </w:rPr>
        <w:t xml:space="preserve">The problems with the division of Ireland and the loss of Ireland from the United Kingdom reached boiling point during the First World War, the same time Britain was facing its enemies elsewhere. </w:t>
      </w:r>
      <w:r w:rsidR="00F35639">
        <w:rPr>
          <w:sz w:val="28"/>
        </w:rPr>
        <w:t xml:space="preserve">The war seemed to temporarily diminish some of the tensions with Ireland at the start due to the more prominent tensions forming with the Central Powers that needed to be extinguished to protect the British and French empires. </w:t>
      </w:r>
      <w:r w:rsidR="004E4ED3">
        <w:rPr>
          <w:sz w:val="28"/>
        </w:rPr>
        <w:t>Although it was thought at the time that there would be a parliament bill passed for home rule in Ireland</w:t>
      </w:r>
      <w:r w:rsidR="004E4ED3">
        <w:rPr>
          <w:rStyle w:val="FootnoteReference"/>
          <w:sz w:val="28"/>
        </w:rPr>
        <w:footnoteReference w:id="7"/>
      </w:r>
      <w:r w:rsidR="004E4ED3">
        <w:rPr>
          <w:sz w:val="28"/>
        </w:rPr>
        <w:t xml:space="preserve">, the outbreak of the great war stopped any negations between the Irish nationalists and Asquith, and the official parliamentary debates for home rule were not started again until after the first world war had finished. </w:t>
      </w:r>
      <w:r w:rsidR="000572FB">
        <w:rPr>
          <w:sz w:val="28"/>
        </w:rPr>
        <w:t xml:space="preserve">When </w:t>
      </w:r>
      <w:r w:rsidR="00B279F1">
        <w:rPr>
          <w:sz w:val="28"/>
        </w:rPr>
        <w:t xml:space="preserve">the then still cohesive United Kingdom of </w:t>
      </w:r>
      <w:r w:rsidR="000572FB">
        <w:rPr>
          <w:sz w:val="28"/>
        </w:rPr>
        <w:t xml:space="preserve">Great Britain </w:t>
      </w:r>
      <w:r w:rsidR="00B279F1">
        <w:rPr>
          <w:sz w:val="28"/>
        </w:rPr>
        <w:t xml:space="preserve">and Ireland </w:t>
      </w:r>
      <w:r w:rsidR="000572FB">
        <w:rPr>
          <w:sz w:val="28"/>
        </w:rPr>
        <w:t>first e</w:t>
      </w:r>
      <w:r w:rsidR="00512D56">
        <w:rPr>
          <w:sz w:val="28"/>
        </w:rPr>
        <w:t>ntere</w:t>
      </w:r>
      <w:r w:rsidR="000572FB">
        <w:rPr>
          <w:sz w:val="28"/>
        </w:rPr>
        <w:t xml:space="preserve">d the war, there was support from Ireland from both the unionists and the nationalists </w:t>
      </w:r>
      <w:r w:rsidR="00D41D51">
        <w:rPr>
          <w:sz w:val="28"/>
        </w:rPr>
        <w:t>due to the fact that up to 140,000 volunteered to fight for Britain</w:t>
      </w:r>
      <w:r w:rsidR="00D41D51">
        <w:rPr>
          <w:rStyle w:val="FootnoteReference"/>
          <w:sz w:val="28"/>
        </w:rPr>
        <w:footnoteReference w:id="8"/>
      </w:r>
      <w:r w:rsidR="00D41D51">
        <w:rPr>
          <w:sz w:val="28"/>
        </w:rPr>
        <w:t>, many of these enlisted into the British army during 1914/15. However</w:t>
      </w:r>
      <w:r w:rsidR="00A170D2">
        <w:rPr>
          <w:sz w:val="28"/>
        </w:rPr>
        <w:t xml:space="preserve">, after the Easter rising in Ireland in April 1916, the number of recruits for the British army from Ireland dropped considerably. </w:t>
      </w:r>
      <w:r w:rsidR="0076091F">
        <w:rPr>
          <w:sz w:val="28"/>
        </w:rPr>
        <w:t xml:space="preserve">The incident of the Easter Rising also meant the Britain had to get involved, sending over some armed forces to control the violence, despite Britain needed as many men as possible to fight for the Entente powers at the Fronts of the First World War. </w:t>
      </w:r>
      <w:r w:rsidR="00D71D2F">
        <w:rPr>
          <w:sz w:val="28"/>
        </w:rPr>
        <w:t xml:space="preserve">The problems in Ireland were causing problems for David Lloyd George as prime </w:t>
      </w:r>
      <w:r w:rsidR="00D71D2F">
        <w:rPr>
          <w:sz w:val="28"/>
        </w:rPr>
        <w:lastRenderedPageBreak/>
        <w:t>minister from December 1916</w:t>
      </w:r>
      <w:r w:rsidR="000009FE">
        <w:rPr>
          <w:sz w:val="28"/>
        </w:rPr>
        <w:t>, the laws about conscription were not extended to include Ireland which did not help with lack of manpower.</w:t>
      </w:r>
      <w:r w:rsidR="00EA2DF6">
        <w:rPr>
          <w:sz w:val="28"/>
        </w:rPr>
        <w:t xml:space="preserve"> However, the Defence of the Realm Act 1914 did extend fully to Ireland, with harsher consequences of the Act being implemented after the Easter Rising in 1916, and remaining until 1921 when the Anglo-Irish treaty was signed</w:t>
      </w:r>
      <w:r w:rsidR="00EA2DF6">
        <w:rPr>
          <w:rStyle w:val="FootnoteReference"/>
          <w:sz w:val="28"/>
        </w:rPr>
        <w:footnoteReference w:id="9"/>
      </w:r>
      <w:r w:rsidR="00EA2DF6">
        <w:rPr>
          <w:sz w:val="28"/>
        </w:rPr>
        <w:t>.</w:t>
      </w:r>
      <w:r w:rsidR="000009FE">
        <w:rPr>
          <w:sz w:val="28"/>
        </w:rPr>
        <w:t xml:space="preserve"> Also Britain was at war with international threats that created more</w:t>
      </w:r>
      <w:r w:rsidR="00EA2DF6">
        <w:rPr>
          <w:sz w:val="28"/>
        </w:rPr>
        <w:t xml:space="preserve"> imminent</w:t>
      </w:r>
      <w:r w:rsidR="000009FE">
        <w:rPr>
          <w:sz w:val="28"/>
        </w:rPr>
        <w:t xml:space="preserve"> fear than what was happening in Ireland at the same time; indeed it was not until 1921, 3 years after the end of the Great War, Lloyd George laid down any sort of official legislation to hinder the violence in Ireland. 1921 saw the creation of the Anglo-Irish treaty, </w:t>
      </w:r>
      <w:r w:rsidR="004E4ED3">
        <w:rPr>
          <w:sz w:val="28"/>
        </w:rPr>
        <w:t xml:space="preserve">officially </w:t>
      </w:r>
      <w:r w:rsidR="000009FE">
        <w:rPr>
          <w:sz w:val="28"/>
        </w:rPr>
        <w:t xml:space="preserve">the </w:t>
      </w:r>
      <w:r w:rsidR="000009FE" w:rsidRPr="000009FE">
        <w:rPr>
          <w:sz w:val="28"/>
        </w:rPr>
        <w:t>Articles of Agreement for a Treaty between Great Britain and Ireland</w:t>
      </w:r>
      <w:r w:rsidR="000009FE">
        <w:rPr>
          <w:sz w:val="28"/>
        </w:rPr>
        <w:t xml:space="preserve">, which was created to settle Ireland </w:t>
      </w:r>
      <w:r w:rsidR="004E4ED3">
        <w:rPr>
          <w:sz w:val="28"/>
        </w:rPr>
        <w:t>with a degree of home rule, effectively a British dominions governed by a governor general, which was the situation with the more powerful and influential countries within the British empire. However the treaty</w:t>
      </w:r>
      <w:r w:rsidR="000009FE">
        <w:rPr>
          <w:sz w:val="28"/>
        </w:rPr>
        <w:t xml:space="preserve"> created more problems between the nationalists and the unionists (anti-treaty and pro-treaty), eventually caus</w:t>
      </w:r>
      <w:r w:rsidR="004E4ED3">
        <w:rPr>
          <w:sz w:val="28"/>
        </w:rPr>
        <w:t xml:space="preserve">ing the Irish civil war of 1923, from which point Ireland was its own entity and </w:t>
      </w:r>
      <w:r w:rsidR="00B279F1">
        <w:rPr>
          <w:sz w:val="28"/>
        </w:rPr>
        <w:t>Free State</w:t>
      </w:r>
      <w:r w:rsidR="004E4ED3">
        <w:rPr>
          <w:sz w:val="28"/>
        </w:rPr>
        <w:t>.</w:t>
      </w:r>
      <w:r w:rsidR="00A17D6F">
        <w:rPr>
          <w:sz w:val="28"/>
        </w:rPr>
        <w:t xml:space="preserve"> As a result of the First World War, the 1918 Representation of the People Act was passed, allowing all men over the age of 21 to vote, which meant that a lot of young Irish men could vote in the 1918 election for the first time, creating more support for Sinn Fein, the Irish nationalist party. </w:t>
      </w:r>
      <w:r w:rsidR="007467DB">
        <w:rPr>
          <w:sz w:val="28"/>
        </w:rPr>
        <w:t>This election also created a clear map of where in Ireland the most support for Sinn Fein was coming from, the south west of the island was where almost 100% of people who voted, voted for Sinn Fein, making it the clearly dominant party in that region or Ireland, which contrasts to the north east of the island where less than 25% of people who voted in the 1918 general election voted for Sinn Fein.</w:t>
      </w:r>
      <w:r w:rsidR="00882178">
        <w:rPr>
          <w:rStyle w:val="FootnoteReference"/>
          <w:sz w:val="28"/>
        </w:rPr>
        <w:footnoteReference w:id="10"/>
      </w:r>
      <w:r w:rsidR="007467DB">
        <w:rPr>
          <w:sz w:val="28"/>
        </w:rPr>
        <w:t xml:space="preserve"> </w:t>
      </w:r>
      <w:r w:rsidR="009B408A">
        <w:rPr>
          <w:sz w:val="28"/>
        </w:rPr>
        <w:t>This can create a clear picture of a political map demonstrating voting habits in Ireland in the election of 1918 after the Representation of the Peoples Act was passed.</w:t>
      </w:r>
    </w:p>
    <w:p w:rsidR="00A42F62" w:rsidRDefault="00A42F62" w:rsidP="003502A3">
      <w:pPr>
        <w:rPr>
          <w:sz w:val="28"/>
        </w:rPr>
      </w:pPr>
    </w:p>
    <w:p w:rsidR="00A42F62" w:rsidRDefault="00A42F62" w:rsidP="003502A3">
      <w:pPr>
        <w:rPr>
          <w:sz w:val="28"/>
        </w:rPr>
      </w:pPr>
      <w:r>
        <w:rPr>
          <w:sz w:val="28"/>
        </w:rPr>
        <w:t xml:space="preserve">The </w:t>
      </w:r>
      <w:r w:rsidR="00DA3C65">
        <w:rPr>
          <w:sz w:val="28"/>
        </w:rPr>
        <w:t>First World War</w:t>
      </w:r>
      <w:r>
        <w:rPr>
          <w:sz w:val="28"/>
        </w:rPr>
        <w:t xml:space="preserve"> had a major role in politics of the general public, in that as a result of the war more people were given the vote. </w:t>
      </w:r>
      <w:r w:rsidR="00B02E00">
        <w:rPr>
          <w:sz w:val="28"/>
        </w:rPr>
        <w:t xml:space="preserve">This was the Representation of the Peoples Act passed in 1918, mostly because of so many men who had actually fought in the war could not vote under the </w:t>
      </w:r>
      <w:r w:rsidR="00526E7B">
        <w:rPr>
          <w:sz w:val="28"/>
        </w:rPr>
        <w:t xml:space="preserve">now </w:t>
      </w:r>
      <w:r w:rsidR="00B02E00">
        <w:rPr>
          <w:sz w:val="28"/>
        </w:rPr>
        <w:lastRenderedPageBreak/>
        <w:t>seemingly very outdated 1884</w:t>
      </w:r>
      <w:r w:rsidR="00526E7B">
        <w:rPr>
          <w:sz w:val="28"/>
        </w:rPr>
        <w:t xml:space="preserve"> Third Reform A</w:t>
      </w:r>
      <w:r w:rsidR="00B02E00">
        <w:rPr>
          <w:sz w:val="28"/>
        </w:rPr>
        <w:t>ct</w:t>
      </w:r>
      <w:r w:rsidR="00526E7B">
        <w:rPr>
          <w:sz w:val="28"/>
        </w:rPr>
        <w:t>, which allowed only 40% of men to vote and no women</w:t>
      </w:r>
      <w:r w:rsidR="00526E7B">
        <w:rPr>
          <w:rStyle w:val="FootnoteReference"/>
          <w:sz w:val="28"/>
        </w:rPr>
        <w:footnoteReference w:id="11"/>
      </w:r>
      <w:r w:rsidR="00B02E00">
        <w:rPr>
          <w:sz w:val="28"/>
        </w:rPr>
        <w:t>, hence why the new Act widened the enfranchised men to all those aged 21 or older, and also all women who were over 30 and owned land</w:t>
      </w:r>
      <w:r w:rsidR="00FE7975">
        <w:rPr>
          <w:sz w:val="28"/>
        </w:rPr>
        <w:t xml:space="preserve"> themselves or their husbands that had a value of at least £5, few women also could vote for a university constituency</w:t>
      </w:r>
      <w:r w:rsidR="00B02E00">
        <w:rPr>
          <w:sz w:val="28"/>
        </w:rPr>
        <w:t>.</w:t>
      </w:r>
      <w:r w:rsidR="007F5944">
        <w:rPr>
          <w:sz w:val="28"/>
        </w:rPr>
        <w:t xml:space="preserve"> Although it has been argued that only so few women got the vote and that they were encouraged to vote how their deceased children or husbands would vote, therefore acting more like a proxy vote, than an actual vote though for by themselves.</w:t>
      </w:r>
      <w:r w:rsidR="007F5944">
        <w:rPr>
          <w:rStyle w:val="FootnoteReference"/>
          <w:sz w:val="28"/>
        </w:rPr>
        <w:footnoteReference w:id="12"/>
      </w:r>
      <w:r w:rsidR="00B02E00">
        <w:rPr>
          <w:sz w:val="28"/>
        </w:rPr>
        <w:t xml:space="preserve"> </w:t>
      </w:r>
      <w:r w:rsidR="001060F5">
        <w:rPr>
          <w:sz w:val="28"/>
        </w:rPr>
        <w:t xml:space="preserve">There was also a clause to the Act that allowed men aged 19 and 20 to vote if they were in active military service, which created a confusion as the election happened after many of the surviving troops had been demobilised so many now ex- servicemen were unsure if they could legally vote in the 1918 general election. </w:t>
      </w:r>
      <w:r w:rsidR="00B02E00">
        <w:rPr>
          <w:sz w:val="28"/>
        </w:rPr>
        <w:t>It was viewed as a way of saying thank you from the government to reward tho</w:t>
      </w:r>
      <w:r w:rsidR="00FE2D22">
        <w:rPr>
          <w:sz w:val="28"/>
        </w:rPr>
        <w:t xml:space="preserve">se involved with the war effort, and an act similar probably would not have been passed until quite a few years later if the Great War did not happen. Although it was not until 1928 when the Representation of the Peoples (Equal Franchise) Act was passed allowing all men and women over the age of 21 to vote, regardless of any land owning regulations. </w:t>
      </w:r>
      <w:r w:rsidR="001060F5">
        <w:rPr>
          <w:sz w:val="28"/>
        </w:rPr>
        <w:t xml:space="preserve">The implementation of the </w:t>
      </w:r>
      <w:r w:rsidR="007A3138">
        <w:rPr>
          <w:sz w:val="28"/>
        </w:rPr>
        <w:t xml:space="preserve">Representation of the Peoples Act </w:t>
      </w:r>
      <w:r w:rsidR="001060F5">
        <w:rPr>
          <w:sz w:val="28"/>
        </w:rPr>
        <w:t>was also a main factor in causing the decline of the Liberal party; due to the new classes differences the Liberals no longer stood for a type of mass voting class</w:t>
      </w:r>
      <w:r w:rsidR="007A3138">
        <w:rPr>
          <w:sz w:val="28"/>
        </w:rPr>
        <w:t>, and many of the new female electorate would vote for the Conservatives as they appealed more to married women due to their attitudes on family values.</w:t>
      </w:r>
      <w:r w:rsidR="0041018C">
        <w:rPr>
          <w:rStyle w:val="FootnoteReference"/>
          <w:sz w:val="28"/>
        </w:rPr>
        <w:footnoteReference w:id="13"/>
      </w:r>
      <w:r w:rsidR="007A3138">
        <w:rPr>
          <w:sz w:val="28"/>
        </w:rPr>
        <w:t xml:space="preserve"> </w:t>
      </w:r>
      <w:r w:rsidR="008D7A43">
        <w:rPr>
          <w:sz w:val="28"/>
        </w:rPr>
        <w:t>Also this Act extended to cover those in Ireland, as it was still part of the United Kingdom when it was passed, meaning that a new mass voting class of lower class men could vote for the radical party Sinn Fein, which returned a record number of MPs that did not show up to the British parliament instead pushing for Irish Independence, if the Act had not been passed until later, the Irish War of Independence would have been unlikely to happen just after the first world war had reached its final peace negotiations.</w:t>
      </w:r>
      <w:r w:rsidR="00DC7CE3">
        <w:rPr>
          <w:rStyle w:val="FootnoteReference"/>
          <w:sz w:val="28"/>
        </w:rPr>
        <w:footnoteReference w:id="14"/>
      </w:r>
      <w:r w:rsidR="008D7A43">
        <w:rPr>
          <w:sz w:val="28"/>
        </w:rPr>
        <w:t xml:space="preserve"> </w:t>
      </w:r>
      <w:r w:rsidR="00651B25">
        <w:rPr>
          <w:sz w:val="28"/>
        </w:rPr>
        <w:t xml:space="preserve">Before the Act had </w:t>
      </w:r>
      <w:r w:rsidR="00651B25">
        <w:rPr>
          <w:sz w:val="28"/>
        </w:rPr>
        <w:lastRenderedPageBreak/>
        <w:t xml:space="preserve">been passed, during its preliminary discussion phase, on the table was the thought of introducing a parliamentary proportional representation system, instead of the then current First Past the Post system. This idea was considered only momentarily as those creating the Act pushed more for new suffrage rights as opposed to changing the voting system, however the Act </w:t>
      </w:r>
      <w:r w:rsidR="008167E8">
        <w:rPr>
          <w:sz w:val="28"/>
        </w:rPr>
        <w:t>did put a definitive stop to</w:t>
      </w:r>
      <w:r w:rsidR="00651B25">
        <w:rPr>
          <w:sz w:val="28"/>
        </w:rPr>
        <w:t xml:space="preserve"> plural voting</w:t>
      </w:r>
      <w:r w:rsidR="008167E8">
        <w:rPr>
          <w:sz w:val="28"/>
        </w:rPr>
        <w:t>,</w:t>
      </w:r>
      <w:r w:rsidR="00651B25">
        <w:rPr>
          <w:sz w:val="28"/>
        </w:rPr>
        <w:t xml:space="preserve"> in particular for landowners owning lad that falls into different constituencies</w:t>
      </w:r>
      <w:r w:rsidR="008167E8">
        <w:rPr>
          <w:sz w:val="28"/>
        </w:rPr>
        <w:t xml:space="preserve"> so that they could only vote for one and that it would be their choice of where they chose to vote</w:t>
      </w:r>
      <w:r w:rsidR="00651B25">
        <w:rPr>
          <w:sz w:val="28"/>
        </w:rPr>
        <w:t>.</w:t>
      </w:r>
      <w:r w:rsidR="00D03CC8">
        <w:rPr>
          <w:rStyle w:val="FootnoteReference"/>
          <w:sz w:val="28"/>
        </w:rPr>
        <w:footnoteReference w:id="15"/>
      </w:r>
      <w:r w:rsidR="00651B25">
        <w:rPr>
          <w:sz w:val="28"/>
        </w:rPr>
        <w:t xml:space="preserve"> </w:t>
      </w:r>
    </w:p>
    <w:p w:rsidR="00CB7098" w:rsidRDefault="00CB7098" w:rsidP="003502A3">
      <w:pPr>
        <w:rPr>
          <w:sz w:val="28"/>
        </w:rPr>
      </w:pPr>
    </w:p>
    <w:p w:rsidR="00CB7098" w:rsidRDefault="00CB7098" w:rsidP="003502A3">
      <w:pPr>
        <w:rPr>
          <w:sz w:val="28"/>
        </w:rPr>
      </w:pPr>
      <w:r>
        <w:rPr>
          <w:sz w:val="28"/>
        </w:rPr>
        <w:t>In conclusion, the First World War had a profound impact of the British political system; it saw the complete decline of the Liberal Party, the loss of Ireland from the United Kingdom and created a more equal voting society for the first time and demonstrated an attempt to equal rights. All these changes bought about from the Great War had major repercussions that affected British political history from then on, indeed we are still living with the effects today. Overall the Representation of the Peoples Act created the most changes to the demographic makeup and map of Britain and set the foundations for equal enfranchisement for generations to come</w:t>
      </w:r>
      <w:r w:rsidR="00003264">
        <w:rPr>
          <w:sz w:val="28"/>
        </w:rPr>
        <w:t xml:space="preserve">, as well as making the voting system more equal for abolishing plural votes and being one of the main factors in causing the decline of the liberal party, and the rise of Sinn Fein and the Irish independence movement. However, it was the loss of Ireland that changed the geographical maps of Britain and the world, as well as the creation of the commonwealth, making the First World War the last major period in history to show of the British </w:t>
      </w:r>
      <w:r w:rsidR="00446576">
        <w:rPr>
          <w:sz w:val="28"/>
        </w:rPr>
        <w:t>Empire</w:t>
      </w:r>
      <w:r w:rsidR="00003264">
        <w:rPr>
          <w:sz w:val="28"/>
        </w:rPr>
        <w:t xml:space="preserve"> as a unified entity.</w:t>
      </w:r>
    </w:p>
    <w:p w:rsidR="00552320" w:rsidRDefault="00552320" w:rsidP="003502A3">
      <w:pPr>
        <w:rPr>
          <w:sz w:val="28"/>
        </w:rPr>
      </w:pPr>
    </w:p>
    <w:p w:rsidR="00552320" w:rsidRDefault="00552320" w:rsidP="003502A3">
      <w:pPr>
        <w:rPr>
          <w:sz w:val="28"/>
        </w:rPr>
      </w:pPr>
    </w:p>
    <w:p w:rsidR="00552320" w:rsidRDefault="00552320" w:rsidP="003502A3">
      <w:pPr>
        <w:rPr>
          <w:sz w:val="28"/>
        </w:rPr>
      </w:pPr>
    </w:p>
    <w:p w:rsidR="00552320" w:rsidRDefault="00552320" w:rsidP="003502A3">
      <w:pPr>
        <w:rPr>
          <w:sz w:val="28"/>
        </w:rPr>
      </w:pPr>
    </w:p>
    <w:p w:rsidR="00552320" w:rsidRDefault="00552320" w:rsidP="003502A3">
      <w:pPr>
        <w:rPr>
          <w:sz w:val="28"/>
        </w:rPr>
      </w:pPr>
    </w:p>
    <w:p w:rsidR="00552320" w:rsidRDefault="00552320" w:rsidP="003502A3">
      <w:pPr>
        <w:rPr>
          <w:sz w:val="28"/>
        </w:rPr>
      </w:pPr>
    </w:p>
    <w:p w:rsidR="00552320" w:rsidRDefault="00552320" w:rsidP="003502A3">
      <w:pPr>
        <w:rPr>
          <w:sz w:val="28"/>
        </w:rPr>
      </w:pPr>
    </w:p>
    <w:p w:rsidR="00446576" w:rsidRPr="00446576" w:rsidRDefault="00446576" w:rsidP="00446576">
      <w:pPr>
        <w:jc w:val="center"/>
        <w:rPr>
          <w:color w:val="000000"/>
          <w:sz w:val="28"/>
          <w:szCs w:val="29"/>
        </w:rPr>
      </w:pPr>
      <w:r>
        <w:rPr>
          <w:color w:val="000000"/>
          <w:sz w:val="28"/>
          <w:szCs w:val="29"/>
        </w:rPr>
        <w:lastRenderedPageBreak/>
        <w:t>Bibliography</w:t>
      </w:r>
    </w:p>
    <w:p w:rsidR="00446576" w:rsidRPr="00552320" w:rsidRDefault="00446576" w:rsidP="003502A3">
      <w:pPr>
        <w:rPr>
          <w:i/>
          <w:iCs/>
          <w:color w:val="000000"/>
          <w:sz w:val="24"/>
          <w:szCs w:val="29"/>
          <w:shd w:val="clear" w:color="auto" w:fill="FFFFFF"/>
        </w:rPr>
      </w:pPr>
      <w:r w:rsidRPr="00552320">
        <w:rPr>
          <w:color w:val="000000"/>
          <w:sz w:val="24"/>
          <w:szCs w:val="29"/>
        </w:rPr>
        <w:br/>
      </w:r>
      <w:r w:rsidRPr="00552320">
        <w:rPr>
          <w:color w:val="000000"/>
          <w:sz w:val="24"/>
          <w:szCs w:val="29"/>
          <w:shd w:val="clear" w:color="auto" w:fill="FFFFFF"/>
        </w:rPr>
        <w:t>Blackburn</w:t>
      </w:r>
      <w:r>
        <w:rPr>
          <w:color w:val="000000"/>
          <w:sz w:val="24"/>
          <w:szCs w:val="29"/>
          <w:shd w:val="clear" w:color="auto" w:fill="FFFFFF"/>
        </w:rPr>
        <w:t>,</w:t>
      </w:r>
      <w:r w:rsidRPr="00552320">
        <w:rPr>
          <w:color w:val="000000"/>
          <w:sz w:val="24"/>
          <w:szCs w:val="29"/>
          <w:shd w:val="clear" w:color="auto" w:fill="FFFFFF"/>
        </w:rPr>
        <w:t xml:space="preserve"> Robert, 'Laying the Foundations of the Modern Voting System: The Representation of the People Act 1918', </w:t>
      </w:r>
      <w:r w:rsidRPr="00552320">
        <w:rPr>
          <w:i/>
          <w:iCs/>
          <w:color w:val="000000"/>
          <w:sz w:val="24"/>
          <w:szCs w:val="29"/>
          <w:shd w:val="clear" w:color="auto" w:fill="FFFFFF"/>
        </w:rPr>
        <w:t>Parliamentary History</w:t>
      </w:r>
      <w:r w:rsidRPr="00552320">
        <w:rPr>
          <w:color w:val="000000"/>
          <w:sz w:val="24"/>
          <w:szCs w:val="29"/>
          <w:shd w:val="clear" w:color="auto" w:fill="FFFFFF"/>
        </w:rPr>
        <w:t>, 30.1, (2011), 33-52.</w:t>
      </w:r>
    </w:p>
    <w:p w:rsidR="00446576" w:rsidRDefault="00446576" w:rsidP="003502A3">
      <w:pPr>
        <w:rPr>
          <w:color w:val="000000"/>
          <w:sz w:val="24"/>
          <w:szCs w:val="29"/>
          <w:shd w:val="clear" w:color="auto" w:fill="FFFFFF"/>
        </w:rPr>
      </w:pPr>
      <w:r w:rsidRPr="00552320">
        <w:rPr>
          <w:color w:val="000000"/>
          <w:sz w:val="24"/>
          <w:szCs w:val="29"/>
        </w:rPr>
        <w:br/>
      </w:r>
      <w:r w:rsidRPr="00552320">
        <w:rPr>
          <w:color w:val="000000"/>
          <w:sz w:val="24"/>
          <w:szCs w:val="29"/>
          <w:shd w:val="clear" w:color="auto" w:fill="FFFFFF"/>
        </w:rPr>
        <w:t>Finding</w:t>
      </w:r>
      <w:r>
        <w:rPr>
          <w:color w:val="000000"/>
          <w:sz w:val="24"/>
          <w:szCs w:val="29"/>
          <w:shd w:val="clear" w:color="auto" w:fill="FFFFFF"/>
        </w:rPr>
        <w:t>,</w:t>
      </w:r>
      <w:r w:rsidRPr="00552320">
        <w:rPr>
          <w:color w:val="000000"/>
          <w:sz w:val="24"/>
          <w:szCs w:val="29"/>
          <w:shd w:val="clear" w:color="auto" w:fill="FFFFFF"/>
        </w:rPr>
        <w:t xml:space="preserve"> Susan, 'The Liberal Party at the beginning of the 20th century: (</w:t>
      </w:r>
      <w:proofErr w:type="gramStart"/>
      <w:r w:rsidRPr="00552320">
        <w:rPr>
          <w:color w:val="000000"/>
          <w:sz w:val="24"/>
          <w:szCs w:val="29"/>
          <w:shd w:val="clear" w:color="auto" w:fill="FFFFFF"/>
        </w:rPr>
        <w:t>un)</w:t>
      </w:r>
      <w:proofErr w:type="gramEnd"/>
      <w:r w:rsidRPr="00552320">
        <w:rPr>
          <w:color w:val="000000"/>
          <w:sz w:val="24"/>
          <w:szCs w:val="29"/>
          <w:shd w:val="clear" w:color="auto" w:fill="FFFFFF"/>
        </w:rPr>
        <w:t>successfully seeking renewal', </w:t>
      </w:r>
      <w:proofErr w:type="spellStart"/>
      <w:r w:rsidRPr="00552320">
        <w:rPr>
          <w:i/>
          <w:iCs/>
          <w:color w:val="000000"/>
          <w:sz w:val="24"/>
          <w:szCs w:val="29"/>
          <w:shd w:val="clear" w:color="auto" w:fill="FFFFFF"/>
        </w:rPr>
        <w:t>Mémoire</w:t>
      </w:r>
      <w:proofErr w:type="spellEnd"/>
      <w:r w:rsidRPr="00552320">
        <w:rPr>
          <w:i/>
          <w:iCs/>
          <w:color w:val="000000"/>
          <w:sz w:val="24"/>
          <w:szCs w:val="29"/>
          <w:shd w:val="clear" w:color="auto" w:fill="FFFFFF"/>
        </w:rPr>
        <w:t xml:space="preserve">, </w:t>
      </w:r>
      <w:proofErr w:type="spellStart"/>
      <w:r w:rsidRPr="00552320">
        <w:rPr>
          <w:i/>
          <w:iCs/>
          <w:color w:val="000000"/>
          <w:sz w:val="24"/>
          <w:szCs w:val="29"/>
          <w:shd w:val="clear" w:color="auto" w:fill="FFFFFF"/>
        </w:rPr>
        <w:t>Identité</w:t>
      </w:r>
      <w:proofErr w:type="spellEnd"/>
      <w:r w:rsidRPr="00552320">
        <w:rPr>
          <w:i/>
          <w:iCs/>
          <w:color w:val="000000"/>
          <w:sz w:val="24"/>
          <w:szCs w:val="29"/>
          <w:shd w:val="clear" w:color="auto" w:fill="FFFFFF"/>
        </w:rPr>
        <w:t xml:space="preserve">, </w:t>
      </w:r>
      <w:proofErr w:type="spellStart"/>
      <w:r w:rsidRPr="00552320">
        <w:rPr>
          <w:i/>
          <w:iCs/>
          <w:color w:val="000000"/>
          <w:sz w:val="24"/>
          <w:szCs w:val="29"/>
          <w:shd w:val="clear" w:color="auto" w:fill="FFFFFF"/>
        </w:rPr>
        <w:t>Marginalité</w:t>
      </w:r>
      <w:proofErr w:type="spellEnd"/>
      <w:r w:rsidRPr="00552320">
        <w:rPr>
          <w:i/>
          <w:iCs/>
          <w:color w:val="000000"/>
          <w:sz w:val="24"/>
          <w:szCs w:val="29"/>
          <w:shd w:val="clear" w:color="auto" w:fill="FFFFFF"/>
        </w:rPr>
        <w:t xml:space="preserve">, </w:t>
      </w:r>
      <w:proofErr w:type="spellStart"/>
      <w:r w:rsidRPr="00552320">
        <w:rPr>
          <w:i/>
          <w:iCs/>
          <w:color w:val="000000"/>
          <w:sz w:val="24"/>
          <w:szCs w:val="29"/>
          <w:shd w:val="clear" w:color="auto" w:fill="FFFFFF"/>
        </w:rPr>
        <w:t>Dans</w:t>
      </w:r>
      <w:proofErr w:type="spellEnd"/>
      <w:r w:rsidRPr="00552320">
        <w:rPr>
          <w:i/>
          <w:iCs/>
          <w:color w:val="000000"/>
          <w:sz w:val="24"/>
          <w:szCs w:val="29"/>
          <w:shd w:val="clear" w:color="auto" w:fill="FFFFFF"/>
        </w:rPr>
        <w:t xml:space="preserve"> le Monde Occidental </w:t>
      </w:r>
      <w:proofErr w:type="spellStart"/>
      <w:r w:rsidRPr="00552320">
        <w:rPr>
          <w:i/>
          <w:iCs/>
          <w:color w:val="000000"/>
          <w:sz w:val="24"/>
          <w:szCs w:val="29"/>
          <w:shd w:val="clear" w:color="auto" w:fill="FFFFFF"/>
        </w:rPr>
        <w:t>Contemporain</w:t>
      </w:r>
      <w:proofErr w:type="spellEnd"/>
      <w:r w:rsidRPr="00552320">
        <w:rPr>
          <w:i/>
          <w:iCs/>
          <w:color w:val="000000"/>
          <w:sz w:val="24"/>
          <w:szCs w:val="29"/>
          <w:shd w:val="clear" w:color="auto" w:fill="FFFFFF"/>
        </w:rPr>
        <w:t>, Les Cahiers du MIMMOC</w:t>
      </w:r>
      <w:r>
        <w:rPr>
          <w:color w:val="000000"/>
          <w:sz w:val="24"/>
          <w:szCs w:val="29"/>
          <w:shd w:val="clear" w:color="auto" w:fill="FFFFFF"/>
        </w:rPr>
        <w:t>, 7, (2011)</w:t>
      </w:r>
      <w:r w:rsidRPr="00552320">
        <w:rPr>
          <w:color w:val="000000"/>
          <w:sz w:val="24"/>
          <w:szCs w:val="29"/>
          <w:shd w:val="clear" w:color="auto" w:fill="FFFFFF"/>
        </w:rPr>
        <w:t>.</w:t>
      </w:r>
    </w:p>
    <w:p w:rsidR="00446576" w:rsidRDefault="00446576" w:rsidP="003502A3">
      <w:pPr>
        <w:rPr>
          <w:color w:val="000000"/>
          <w:sz w:val="24"/>
          <w:szCs w:val="29"/>
          <w:shd w:val="clear" w:color="auto" w:fill="FFFFFF"/>
        </w:rPr>
      </w:pPr>
      <w:r w:rsidRPr="00552320">
        <w:rPr>
          <w:color w:val="000000"/>
          <w:sz w:val="24"/>
          <w:szCs w:val="29"/>
        </w:rPr>
        <w:br/>
      </w:r>
      <w:r w:rsidRPr="00552320">
        <w:rPr>
          <w:color w:val="000000"/>
          <w:sz w:val="24"/>
          <w:szCs w:val="29"/>
          <w:shd w:val="clear" w:color="auto" w:fill="FFFFFF"/>
        </w:rPr>
        <w:t>Freeman</w:t>
      </w:r>
      <w:r>
        <w:rPr>
          <w:color w:val="000000"/>
          <w:sz w:val="24"/>
          <w:szCs w:val="29"/>
          <w:shd w:val="clear" w:color="auto" w:fill="FFFFFF"/>
        </w:rPr>
        <w:t>,</w:t>
      </w:r>
      <w:r w:rsidRPr="00552320">
        <w:rPr>
          <w:color w:val="000000"/>
          <w:sz w:val="24"/>
          <w:szCs w:val="29"/>
          <w:shd w:val="clear" w:color="auto" w:fill="FFFFFF"/>
        </w:rPr>
        <w:t xml:space="preserve"> Gavin, 'The Liberal Party and the Impact of the 1918 Reform Act', </w:t>
      </w:r>
      <w:r w:rsidRPr="00552320">
        <w:rPr>
          <w:i/>
          <w:iCs/>
          <w:color w:val="000000"/>
          <w:sz w:val="24"/>
          <w:szCs w:val="29"/>
          <w:shd w:val="clear" w:color="auto" w:fill="FFFFFF"/>
        </w:rPr>
        <w:t>Parliamentary History</w:t>
      </w:r>
      <w:r w:rsidRPr="00552320">
        <w:rPr>
          <w:color w:val="000000"/>
          <w:sz w:val="24"/>
          <w:szCs w:val="29"/>
          <w:shd w:val="clear" w:color="auto" w:fill="FFFFFF"/>
        </w:rPr>
        <w:t>, 37.1, (2018), 47-63.</w:t>
      </w:r>
    </w:p>
    <w:p w:rsidR="00446576" w:rsidRDefault="00446576" w:rsidP="003502A3">
      <w:pPr>
        <w:rPr>
          <w:color w:val="000000"/>
          <w:sz w:val="24"/>
          <w:szCs w:val="29"/>
          <w:shd w:val="clear" w:color="auto" w:fill="FFFFFF"/>
        </w:rPr>
      </w:pPr>
      <w:r w:rsidRPr="00552320">
        <w:rPr>
          <w:color w:val="000000"/>
          <w:sz w:val="24"/>
          <w:szCs w:val="29"/>
        </w:rPr>
        <w:br/>
      </w:r>
      <w:r w:rsidRPr="00552320">
        <w:rPr>
          <w:color w:val="000000"/>
          <w:sz w:val="24"/>
          <w:szCs w:val="29"/>
          <w:shd w:val="clear" w:color="auto" w:fill="FFFFFF"/>
        </w:rPr>
        <w:t>Fry</w:t>
      </w:r>
      <w:r>
        <w:rPr>
          <w:color w:val="000000"/>
          <w:sz w:val="24"/>
          <w:szCs w:val="29"/>
          <w:shd w:val="clear" w:color="auto" w:fill="FFFFFF"/>
        </w:rPr>
        <w:t>,</w:t>
      </w:r>
      <w:r w:rsidRPr="00552320">
        <w:rPr>
          <w:color w:val="000000"/>
          <w:sz w:val="24"/>
          <w:szCs w:val="29"/>
          <w:shd w:val="clear" w:color="auto" w:fill="FFFFFF"/>
        </w:rPr>
        <w:t xml:space="preserve"> Michael, 'Political Change in Britain, August 1914 to December 1916: Lloyd George Replaces Asquith: The Issues Underlying the Drama', </w:t>
      </w:r>
      <w:r w:rsidRPr="00552320">
        <w:rPr>
          <w:i/>
          <w:iCs/>
          <w:color w:val="000000"/>
          <w:sz w:val="24"/>
          <w:szCs w:val="29"/>
          <w:shd w:val="clear" w:color="auto" w:fill="FFFFFF"/>
        </w:rPr>
        <w:t>The Historical Journal</w:t>
      </w:r>
      <w:r w:rsidRPr="00552320">
        <w:rPr>
          <w:color w:val="000000"/>
          <w:sz w:val="24"/>
          <w:szCs w:val="29"/>
          <w:shd w:val="clear" w:color="auto" w:fill="FFFFFF"/>
        </w:rPr>
        <w:t>, 31.3, (1988), 609-627.</w:t>
      </w:r>
    </w:p>
    <w:p w:rsidR="00446576" w:rsidRDefault="00446576" w:rsidP="003502A3">
      <w:pPr>
        <w:rPr>
          <w:color w:val="000000"/>
          <w:sz w:val="24"/>
          <w:szCs w:val="29"/>
          <w:shd w:val="clear" w:color="auto" w:fill="FFFFFF"/>
        </w:rPr>
      </w:pPr>
      <w:r w:rsidRPr="00552320">
        <w:rPr>
          <w:color w:val="000000"/>
          <w:sz w:val="24"/>
          <w:szCs w:val="29"/>
        </w:rPr>
        <w:br/>
      </w:r>
      <w:proofErr w:type="spellStart"/>
      <w:r w:rsidRPr="00552320">
        <w:rPr>
          <w:color w:val="000000"/>
          <w:sz w:val="24"/>
          <w:szCs w:val="29"/>
          <w:shd w:val="clear" w:color="auto" w:fill="FFFFFF"/>
        </w:rPr>
        <w:t>Gliddon</w:t>
      </w:r>
      <w:proofErr w:type="spellEnd"/>
      <w:r>
        <w:rPr>
          <w:color w:val="000000"/>
          <w:sz w:val="24"/>
          <w:szCs w:val="29"/>
          <w:shd w:val="clear" w:color="auto" w:fill="FFFFFF"/>
        </w:rPr>
        <w:t>,</w:t>
      </w:r>
      <w:r w:rsidRPr="00552320">
        <w:rPr>
          <w:color w:val="000000"/>
          <w:sz w:val="24"/>
          <w:szCs w:val="29"/>
          <w:shd w:val="clear" w:color="auto" w:fill="FFFFFF"/>
        </w:rPr>
        <w:t xml:space="preserve"> Paul, 'The Political Importance of Provincial Newspapers, 1903-1945; </w:t>
      </w:r>
      <w:proofErr w:type="gramStart"/>
      <w:r w:rsidRPr="00552320">
        <w:rPr>
          <w:color w:val="000000"/>
          <w:sz w:val="24"/>
          <w:szCs w:val="29"/>
          <w:shd w:val="clear" w:color="auto" w:fill="FFFFFF"/>
        </w:rPr>
        <w:t>The</w:t>
      </w:r>
      <w:proofErr w:type="gramEnd"/>
      <w:r w:rsidRPr="00552320">
        <w:rPr>
          <w:color w:val="000000"/>
          <w:sz w:val="24"/>
          <w:szCs w:val="29"/>
          <w:shd w:val="clear" w:color="auto" w:fill="FFFFFF"/>
        </w:rPr>
        <w:t xml:space="preserve"> </w:t>
      </w:r>
      <w:proofErr w:type="spellStart"/>
      <w:r w:rsidRPr="00552320">
        <w:rPr>
          <w:color w:val="000000"/>
          <w:sz w:val="24"/>
          <w:szCs w:val="29"/>
          <w:shd w:val="clear" w:color="auto" w:fill="FFFFFF"/>
        </w:rPr>
        <w:t>Rowntrees</w:t>
      </w:r>
      <w:proofErr w:type="spellEnd"/>
      <w:r w:rsidRPr="00552320">
        <w:rPr>
          <w:color w:val="000000"/>
          <w:sz w:val="24"/>
          <w:szCs w:val="29"/>
          <w:shd w:val="clear" w:color="auto" w:fill="FFFFFF"/>
        </w:rPr>
        <w:t xml:space="preserve"> and the Liberal Press', </w:t>
      </w:r>
      <w:r w:rsidRPr="00552320">
        <w:rPr>
          <w:i/>
          <w:iCs/>
          <w:color w:val="000000"/>
          <w:sz w:val="24"/>
          <w:szCs w:val="29"/>
          <w:shd w:val="clear" w:color="auto" w:fill="FFFFFF"/>
        </w:rPr>
        <w:t>Twentieth Century British History</w:t>
      </w:r>
      <w:r w:rsidRPr="00552320">
        <w:rPr>
          <w:color w:val="000000"/>
          <w:sz w:val="24"/>
          <w:szCs w:val="29"/>
          <w:shd w:val="clear" w:color="auto" w:fill="FFFFFF"/>
        </w:rPr>
        <w:t>, 14.1, (2003), 24-42.</w:t>
      </w:r>
    </w:p>
    <w:p w:rsidR="00446576" w:rsidRDefault="00446576" w:rsidP="003502A3">
      <w:pPr>
        <w:rPr>
          <w:color w:val="000000"/>
          <w:sz w:val="24"/>
          <w:szCs w:val="29"/>
          <w:shd w:val="clear" w:color="auto" w:fill="FFFFFF"/>
        </w:rPr>
      </w:pPr>
      <w:proofErr w:type="spellStart"/>
      <w:r w:rsidRPr="00552320">
        <w:rPr>
          <w:color w:val="000000"/>
          <w:sz w:val="24"/>
          <w:szCs w:val="29"/>
          <w:shd w:val="clear" w:color="auto" w:fill="FFFFFF"/>
        </w:rPr>
        <w:t>Hanham</w:t>
      </w:r>
      <w:proofErr w:type="spellEnd"/>
      <w:r w:rsidRPr="00552320">
        <w:rPr>
          <w:color w:val="000000"/>
          <w:sz w:val="24"/>
          <w:szCs w:val="29"/>
          <w:shd w:val="clear" w:color="auto" w:fill="FFFFFF"/>
        </w:rPr>
        <w:t>, H. J. 'The Sale of Honours in Late Victorian England', </w:t>
      </w:r>
      <w:r w:rsidRPr="00552320">
        <w:rPr>
          <w:i/>
          <w:iCs/>
          <w:color w:val="000000"/>
          <w:sz w:val="24"/>
          <w:szCs w:val="29"/>
          <w:shd w:val="clear" w:color="auto" w:fill="FFFFFF"/>
        </w:rPr>
        <w:t>Victorian Studies</w:t>
      </w:r>
      <w:r w:rsidRPr="00552320">
        <w:rPr>
          <w:color w:val="000000"/>
          <w:sz w:val="24"/>
          <w:szCs w:val="29"/>
          <w:shd w:val="clear" w:color="auto" w:fill="FFFFFF"/>
        </w:rPr>
        <w:t>, 3.3, (1960), 277-289.</w:t>
      </w:r>
    </w:p>
    <w:p w:rsidR="00446576" w:rsidRDefault="00446576" w:rsidP="003502A3">
      <w:pPr>
        <w:rPr>
          <w:color w:val="000000"/>
          <w:sz w:val="24"/>
          <w:szCs w:val="29"/>
          <w:shd w:val="clear" w:color="auto" w:fill="FFFFFF"/>
        </w:rPr>
      </w:pPr>
      <w:r w:rsidRPr="00552320">
        <w:rPr>
          <w:color w:val="000000"/>
          <w:sz w:val="24"/>
          <w:szCs w:val="29"/>
        </w:rPr>
        <w:br/>
      </w:r>
      <w:proofErr w:type="spellStart"/>
      <w:r w:rsidRPr="00552320">
        <w:rPr>
          <w:color w:val="000000"/>
          <w:sz w:val="24"/>
          <w:szCs w:val="29"/>
          <w:shd w:val="clear" w:color="auto" w:fill="FFFFFF"/>
        </w:rPr>
        <w:t>Hargaden</w:t>
      </w:r>
      <w:proofErr w:type="spellEnd"/>
      <w:r>
        <w:rPr>
          <w:color w:val="000000"/>
          <w:sz w:val="24"/>
          <w:szCs w:val="29"/>
          <w:shd w:val="clear" w:color="auto" w:fill="FFFFFF"/>
        </w:rPr>
        <w:t>,</w:t>
      </w:r>
      <w:r w:rsidRPr="00552320">
        <w:rPr>
          <w:color w:val="000000"/>
          <w:sz w:val="24"/>
          <w:szCs w:val="29"/>
          <w:shd w:val="clear" w:color="auto" w:fill="FFFFFF"/>
        </w:rPr>
        <w:t xml:space="preserve"> Enda, </w:t>
      </w:r>
      <w:proofErr w:type="spellStart"/>
      <w:r w:rsidRPr="00552320">
        <w:rPr>
          <w:color w:val="000000"/>
          <w:sz w:val="24"/>
          <w:szCs w:val="29"/>
          <w:shd w:val="clear" w:color="auto" w:fill="FFFFFF"/>
        </w:rPr>
        <w:t>Fernihough</w:t>
      </w:r>
      <w:proofErr w:type="spellEnd"/>
      <w:r w:rsidRPr="00552320">
        <w:rPr>
          <w:color w:val="000000"/>
          <w:sz w:val="24"/>
          <w:szCs w:val="29"/>
          <w:shd w:val="clear" w:color="auto" w:fill="FFFFFF"/>
        </w:rPr>
        <w:t xml:space="preserve"> Alan, De </w:t>
      </w:r>
      <w:proofErr w:type="spellStart"/>
      <w:r w:rsidRPr="00552320">
        <w:rPr>
          <w:color w:val="000000"/>
          <w:sz w:val="24"/>
          <w:szCs w:val="29"/>
          <w:shd w:val="clear" w:color="auto" w:fill="FFFFFF"/>
        </w:rPr>
        <w:t>Bromhead</w:t>
      </w:r>
      <w:proofErr w:type="spellEnd"/>
      <w:r w:rsidRPr="00552320">
        <w:rPr>
          <w:color w:val="000000"/>
          <w:sz w:val="24"/>
          <w:szCs w:val="29"/>
          <w:shd w:val="clear" w:color="auto" w:fill="FFFFFF"/>
        </w:rPr>
        <w:t xml:space="preserve"> Alan, 'Representation of the people: Franchise extension and the "Sinn </w:t>
      </w:r>
      <w:proofErr w:type="spellStart"/>
      <w:r w:rsidRPr="00552320">
        <w:rPr>
          <w:color w:val="000000"/>
          <w:sz w:val="24"/>
          <w:szCs w:val="29"/>
          <w:shd w:val="clear" w:color="auto" w:fill="FFFFFF"/>
        </w:rPr>
        <w:t>Féin</w:t>
      </w:r>
      <w:proofErr w:type="spellEnd"/>
      <w:r w:rsidRPr="00552320">
        <w:rPr>
          <w:color w:val="000000"/>
          <w:sz w:val="24"/>
          <w:szCs w:val="29"/>
          <w:shd w:val="clear" w:color="auto" w:fill="FFFFFF"/>
        </w:rPr>
        <w:t xml:space="preserve"> election" in Ireland, 1918', </w:t>
      </w:r>
      <w:r w:rsidRPr="00552320">
        <w:rPr>
          <w:i/>
          <w:iCs/>
          <w:color w:val="000000"/>
          <w:sz w:val="24"/>
          <w:szCs w:val="29"/>
          <w:shd w:val="clear" w:color="auto" w:fill="FFFFFF"/>
        </w:rPr>
        <w:t xml:space="preserve">De </w:t>
      </w:r>
      <w:proofErr w:type="spellStart"/>
      <w:r w:rsidRPr="00552320">
        <w:rPr>
          <w:i/>
          <w:iCs/>
          <w:color w:val="000000"/>
          <w:sz w:val="24"/>
          <w:szCs w:val="29"/>
          <w:shd w:val="clear" w:color="auto" w:fill="FFFFFF"/>
        </w:rPr>
        <w:t>Bromhead</w:t>
      </w:r>
      <w:proofErr w:type="spellEnd"/>
      <w:r w:rsidRPr="00552320">
        <w:rPr>
          <w:i/>
          <w:iCs/>
          <w:color w:val="000000"/>
          <w:sz w:val="24"/>
          <w:szCs w:val="29"/>
          <w:shd w:val="clear" w:color="auto" w:fill="FFFFFF"/>
        </w:rPr>
        <w:t>, Alan</w:t>
      </w:r>
      <w:r w:rsidRPr="00552320">
        <w:rPr>
          <w:color w:val="000000"/>
          <w:sz w:val="24"/>
          <w:szCs w:val="29"/>
          <w:shd w:val="clear" w:color="auto" w:fill="FFFFFF"/>
        </w:rPr>
        <w:t>, 2018</w:t>
      </w:r>
      <w:r>
        <w:rPr>
          <w:color w:val="000000"/>
          <w:sz w:val="24"/>
          <w:szCs w:val="29"/>
          <w:shd w:val="clear" w:color="auto" w:fill="FFFFFF"/>
        </w:rPr>
        <w:t>.8, (2018)</w:t>
      </w:r>
      <w:r w:rsidRPr="00552320">
        <w:rPr>
          <w:color w:val="000000"/>
          <w:sz w:val="24"/>
          <w:szCs w:val="29"/>
          <w:shd w:val="clear" w:color="auto" w:fill="FFFFFF"/>
        </w:rPr>
        <w:t>.</w:t>
      </w:r>
    </w:p>
    <w:p w:rsidR="00446576" w:rsidRDefault="00446576" w:rsidP="003502A3">
      <w:pPr>
        <w:rPr>
          <w:color w:val="000000"/>
          <w:sz w:val="24"/>
          <w:szCs w:val="29"/>
          <w:shd w:val="clear" w:color="auto" w:fill="FFFFFF"/>
        </w:rPr>
      </w:pPr>
      <w:r w:rsidRPr="00552320">
        <w:rPr>
          <w:color w:val="000000"/>
          <w:sz w:val="24"/>
          <w:szCs w:val="29"/>
        </w:rPr>
        <w:br/>
      </w:r>
      <w:r w:rsidRPr="00552320">
        <w:rPr>
          <w:color w:val="000000"/>
          <w:sz w:val="24"/>
          <w:szCs w:val="29"/>
          <w:shd w:val="clear" w:color="auto" w:fill="FFFFFF"/>
        </w:rPr>
        <w:t>Hennessey</w:t>
      </w:r>
      <w:r>
        <w:rPr>
          <w:color w:val="000000"/>
          <w:sz w:val="24"/>
          <w:szCs w:val="29"/>
          <w:shd w:val="clear" w:color="auto" w:fill="FFFFFF"/>
        </w:rPr>
        <w:t>,</w:t>
      </w:r>
      <w:r w:rsidRPr="00552320">
        <w:rPr>
          <w:color w:val="000000"/>
          <w:sz w:val="24"/>
          <w:szCs w:val="29"/>
          <w:shd w:val="clear" w:color="auto" w:fill="FFFFFF"/>
        </w:rPr>
        <w:t xml:space="preserve"> Thomas, </w:t>
      </w:r>
      <w:r w:rsidRPr="00552320">
        <w:rPr>
          <w:i/>
          <w:iCs/>
          <w:color w:val="000000"/>
          <w:sz w:val="24"/>
          <w:szCs w:val="29"/>
          <w:shd w:val="clear" w:color="auto" w:fill="FFFFFF"/>
        </w:rPr>
        <w:t>Dividing Ireland; World War 1 and Partition</w:t>
      </w:r>
      <w:r w:rsidRPr="00552320">
        <w:rPr>
          <w:color w:val="000000"/>
          <w:sz w:val="24"/>
          <w:szCs w:val="29"/>
          <w:shd w:val="clear" w:color="auto" w:fill="FFFFFF"/>
        </w:rPr>
        <w:t> (London: Routledge, 1998).</w:t>
      </w:r>
    </w:p>
    <w:p w:rsidR="00446576" w:rsidRDefault="00446576" w:rsidP="003502A3">
      <w:pPr>
        <w:rPr>
          <w:color w:val="000000"/>
          <w:sz w:val="24"/>
          <w:szCs w:val="29"/>
          <w:shd w:val="clear" w:color="auto" w:fill="FFFFFF"/>
        </w:rPr>
      </w:pPr>
      <w:r w:rsidRPr="00552320">
        <w:rPr>
          <w:color w:val="000000"/>
          <w:sz w:val="24"/>
          <w:szCs w:val="29"/>
        </w:rPr>
        <w:br/>
      </w:r>
      <w:proofErr w:type="spellStart"/>
      <w:r w:rsidRPr="00552320">
        <w:rPr>
          <w:color w:val="000000"/>
          <w:sz w:val="24"/>
          <w:szCs w:val="29"/>
          <w:shd w:val="clear" w:color="auto" w:fill="FFFFFF"/>
        </w:rPr>
        <w:t>Hilson</w:t>
      </w:r>
      <w:proofErr w:type="spellEnd"/>
      <w:r>
        <w:rPr>
          <w:color w:val="000000"/>
          <w:sz w:val="24"/>
          <w:szCs w:val="29"/>
          <w:shd w:val="clear" w:color="auto" w:fill="FFFFFF"/>
        </w:rPr>
        <w:t>,</w:t>
      </w:r>
      <w:r w:rsidRPr="00552320">
        <w:rPr>
          <w:color w:val="000000"/>
          <w:sz w:val="24"/>
          <w:szCs w:val="29"/>
          <w:shd w:val="clear" w:color="auto" w:fill="FFFFFF"/>
        </w:rPr>
        <w:t xml:space="preserve"> Mary, 'Women voters and the rhetoric of patriotism in the British general election of 1918', </w:t>
      </w:r>
      <w:proofErr w:type="spellStart"/>
      <w:r w:rsidRPr="00552320">
        <w:rPr>
          <w:i/>
          <w:iCs/>
          <w:color w:val="000000"/>
          <w:sz w:val="24"/>
          <w:szCs w:val="29"/>
          <w:shd w:val="clear" w:color="auto" w:fill="FFFFFF"/>
        </w:rPr>
        <w:t>Womens</w:t>
      </w:r>
      <w:proofErr w:type="spellEnd"/>
      <w:r w:rsidRPr="00552320">
        <w:rPr>
          <w:i/>
          <w:iCs/>
          <w:color w:val="000000"/>
          <w:sz w:val="24"/>
          <w:szCs w:val="29"/>
          <w:shd w:val="clear" w:color="auto" w:fill="FFFFFF"/>
        </w:rPr>
        <w:t xml:space="preserve"> History Review</w:t>
      </w:r>
      <w:r w:rsidRPr="00552320">
        <w:rPr>
          <w:color w:val="000000"/>
          <w:sz w:val="24"/>
          <w:szCs w:val="29"/>
          <w:shd w:val="clear" w:color="auto" w:fill="FFFFFF"/>
        </w:rPr>
        <w:t>, 10.2, (2001), 325-347.</w:t>
      </w:r>
    </w:p>
    <w:p w:rsidR="00446576" w:rsidRDefault="00446576" w:rsidP="003502A3">
      <w:pPr>
        <w:rPr>
          <w:color w:val="000000"/>
          <w:sz w:val="24"/>
          <w:szCs w:val="29"/>
          <w:shd w:val="clear" w:color="auto" w:fill="FFFFFF"/>
        </w:rPr>
      </w:pPr>
      <w:r w:rsidRPr="00552320">
        <w:rPr>
          <w:color w:val="000000"/>
          <w:sz w:val="24"/>
          <w:szCs w:val="29"/>
        </w:rPr>
        <w:br/>
      </w:r>
      <w:proofErr w:type="spellStart"/>
      <w:r w:rsidRPr="00552320">
        <w:rPr>
          <w:color w:val="000000"/>
          <w:sz w:val="24"/>
          <w:szCs w:val="29"/>
          <w:shd w:val="clear" w:color="auto" w:fill="FFFFFF"/>
        </w:rPr>
        <w:t>Hurwit</w:t>
      </w:r>
      <w:proofErr w:type="gramStart"/>
      <w:r>
        <w:rPr>
          <w:color w:val="000000"/>
          <w:sz w:val="24"/>
          <w:szCs w:val="29"/>
          <w:shd w:val="clear" w:color="auto" w:fill="FFFFFF"/>
        </w:rPr>
        <w:t>,</w:t>
      </w:r>
      <w:r w:rsidRPr="00552320">
        <w:rPr>
          <w:color w:val="000000"/>
          <w:sz w:val="24"/>
          <w:szCs w:val="29"/>
          <w:shd w:val="clear" w:color="auto" w:fill="FFFFFF"/>
        </w:rPr>
        <w:t>z</w:t>
      </w:r>
      <w:proofErr w:type="spellEnd"/>
      <w:proofErr w:type="gramEnd"/>
      <w:r w:rsidRPr="00552320">
        <w:rPr>
          <w:color w:val="000000"/>
          <w:sz w:val="24"/>
          <w:szCs w:val="29"/>
          <w:shd w:val="clear" w:color="auto" w:fill="FFFFFF"/>
        </w:rPr>
        <w:t xml:space="preserve"> Samuel J, </w:t>
      </w:r>
      <w:r w:rsidRPr="00552320">
        <w:rPr>
          <w:i/>
          <w:iCs/>
          <w:color w:val="000000"/>
          <w:sz w:val="24"/>
          <w:szCs w:val="29"/>
          <w:shd w:val="clear" w:color="auto" w:fill="FFFFFF"/>
        </w:rPr>
        <w:t>State Intervention in Great Britain: Study of Economic Control and Social Response, 1914-1919</w:t>
      </w:r>
      <w:r w:rsidRPr="00552320">
        <w:rPr>
          <w:color w:val="000000"/>
          <w:sz w:val="24"/>
          <w:szCs w:val="29"/>
          <w:shd w:val="clear" w:color="auto" w:fill="FFFFFF"/>
        </w:rPr>
        <w:t> (Columbia: Columbia University Press / Oxford University Press, 1949).</w:t>
      </w:r>
    </w:p>
    <w:p w:rsidR="00446576" w:rsidRDefault="00446576" w:rsidP="003502A3">
      <w:pPr>
        <w:rPr>
          <w:color w:val="000000"/>
          <w:sz w:val="24"/>
          <w:szCs w:val="29"/>
          <w:shd w:val="clear" w:color="auto" w:fill="FFFFFF"/>
        </w:rPr>
      </w:pPr>
      <w:r w:rsidRPr="00552320">
        <w:rPr>
          <w:color w:val="000000"/>
          <w:sz w:val="24"/>
          <w:szCs w:val="29"/>
        </w:rPr>
        <w:br/>
      </w:r>
      <w:r w:rsidRPr="00552320">
        <w:rPr>
          <w:color w:val="000000"/>
          <w:sz w:val="24"/>
          <w:szCs w:val="29"/>
          <w:shd w:val="clear" w:color="auto" w:fill="FFFFFF"/>
        </w:rPr>
        <w:t>Hynes</w:t>
      </w:r>
      <w:r>
        <w:rPr>
          <w:color w:val="000000"/>
          <w:sz w:val="24"/>
          <w:szCs w:val="29"/>
          <w:shd w:val="clear" w:color="auto" w:fill="FFFFFF"/>
        </w:rPr>
        <w:t>,</w:t>
      </w:r>
      <w:r w:rsidRPr="00552320">
        <w:rPr>
          <w:color w:val="000000"/>
          <w:sz w:val="24"/>
          <w:szCs w:val="29"/>
          <w:shd w:val="clear" w:color="auto" w:fill="FFFFFF"/>
        </w:rPr>
        <w:t xml:space="preserve"> Gregory, </w:t>
      </w:r>
      <w:r w:rsidRPr="00552320">
        <w:rPr>
          <w:i/>
          <w:iCs/>
          <w:color w:val="000000"/>
          <w:sz w:val="24"/>
          <w:szCs w:val="29"/>
          <w:shd w:val="clear" w:color="auto" w:fill="FFFFFF"/>
        </w:rPr>
        <w:t>Defence of the Realm Act</w:t>
      </w:r>
      <w:r w:rsidRPr="00552320">
        <w:rPr>
          <w:color w:val="000000"/>
          <w:sz w:val="24"/>
          <w:szCs w:val="29"/>
          <w:shd w:val="clear" w:color="auto" w:fill="FFFFFF"/>
        </w:rPr>
        <w:t> (2017) &lt;https://encyclopedia.1914-1918-online.net/article/defence_of_the_realm_act_dora&gt; [accessed 21 November 2019].</w:t>
      </w:r>
    </w:p>
    <w:p w:rsidR="00446576" w:rsidRDefault="00446576" w:rsidP="003502A3">
      <w:pPr>
        <w:rPr>
          <w:color w:val="000000"/>
          <w:sz w:val="24"/>
          <w:szCs w:val="29"/>
          <w:shd w:val="clear" w:color="auto" w:fill="FFFFFF"/>
        </w:rPr>
      </w:pPr>
      <w:r w:rsidRPr="00552320">
        <w:rPr>
          <w:color w:val="000000"/>
          <w:sz w:val="24"/>
          <w:szCs w:val="29"/>
        </w:rPr>
        <w:br/>
      </w:r>
      <w:r w:rsidRPr="00552320">
        <w:rPr>
          <w:color w:val="000000"/>
          <w:sz w:val="24"/>
          <w:szCs w:val="29"/>
          <w:shd w:val="clear" w:color="auto" w:fill="FFFFFF"/>
        </w:rPr>
        <w:t>Jeffery</w:t>
      </w:r>
      <w:r>
        <w:rPr>
          <w:color w:val="000000"/>
          <w:sz w:val="24"/>
          <w:szCs w:val="29"/>
          <w:shd w:val="clear" w:color="auto" w:fill="FFFFFF"/>
        </w:rPr>
        <w:t>,</w:t>
      </w:r>
      <w:r w:rsidRPr="00552320">
        <w:rPr>
          <w:color w:val="000000"/>
          <w:sz w:val="24"/>
          <w:szCs w:val="29"/>
          <w:shd w:val="clear" w:color="auto" w:fill="FFFFFF"/>
        </w:rPr>
        <w:t xml:space="preserve"> Keith, </w:t>
      </w:r>
      <w:r w:rsidRPr="00552320">
        <w:rPr>
          <w:i/>
          <w:iCs/>
          <w:color w:val="000000"/>
          <w:sz w:val="24"/>
          <w:szCs w:val="29"/>
          <w:shd w:val="clear" w:color="auto" w:fill="FFFFFF"/>
        </w:rPr>
        <w:t>Ireland and the Great War</w:t>
      </w:r>
      <w:r w:rsidRPr="00552320">
        <w:rPr>
          <w:color w:val="000000"/>
          <w:sz w:val="24"/>
          <w:szCs w:val="29"/>
          <w:shd w:val="clear" w:color="auto" w:fill="FFFFFF"/>
        </w:rPr>
        <w:t> (Cambridge: Cambridge University Press, 2000).</w:t>
      </w:r>
    </w:p>
    <w:p w:rsidR="00446576" w:rsidRDefault="00446576" w:rsidP="003502A3">
      <w:pPr>
        <w:rPr>
          <w:color w:val="000000"/>
          <w:sz w:val="24"/>
          <w:szCs w:val="29"/>
          <w:shd w:val="clear" w:color="auto" w:fill="FFFFFF"/>
        </w:rPr>
      </w:pPr>
      <w:r w:rsidRPr="00552320">
        <w:rPr>
          <w:color w:val="000000"/>
          <w:sz w:val="24"/>
          <w:szCs w:val="29"/>
        </w:rPr>
        <w:lastRenderedPageBreak/>
        <w:br/>
      </w:r>
      <w:r w:rsidRPr="00552320">
        <w:rPr>
          <w:color w:val="000000"/>
          <w:sz w:val="24"/>
          <w:szCs w:val="29"/>
          <w:shd w:val="clear" w:color="auto" w:fill="FFFFFF"/>
        </w:rPr>
        <w:t>Jeffery</w:t>
      </w:r>
      <w:r>
        <w:rPr>
          <w:color w:val="000000"/>
          <w:sz w:val="24"/>
          <w:szCs w:val="29"/>
          <w:shd w:val="clear" w:color="auto" w:fill="FFFFFF"/>
        </w:rPr>
        <w:t>,</w:t>
      </w:r>
      <w:r w:rsidRPr="00552320">
        <w:rPr>
          <w:color w:val="000000"/>
          <w:sz w:val="24"/>
          <w:szCs w:val="29"/>
          <w:shd w:val="clear" w:color="auto" w:fill="FFFFFF"/>
        </w:rPr>
        <w:t xml:space="preserve"> Keith, </w:t>
      </w:r>
      <w:r w:rsidRPr="00552320">
        <w:rPr>
          <w:i/>
          <w:iCs/>
          <w:color w:val="000000"/>
          <w:sz w:val="24"/>
          <w:szCs w:val="29"/>
          <w:shd w:val="clear" w:color="auto" w:fill="FFFFFF"/>
        </w:rPr>
        <w:t>Ireland and World War One</w:t>
      </w:r>
      <w:r w:rsidRPr="00552320">
        <w:rPr>
          <w:color w:val="000000"/>
          <w:sz w:val="24"/>
          <w:szCs w:val="29"/>
          <w:shd w:val="clear" w:color="auto" w:fill="FFFFFF"/>
        </w:rPr>
        <w:t> (2011) &lt;http://www.bbc.co.uk/history/british/britain_wwone/ireland_wwone_01.shtml&gt; [accessed 21 November 2019].</w:t>
      </w:r>
    </w:p>
    <w:p w:rsidR="00446576" w:rsidRDefault="00446576" w:rsidP="003502A3">
      <w:pPr>
        <w:rPr>
          <w:color w:val="000000"/>
          <w:sz w:val="24"/>
          <w:szCs w:val="29"/>
          <w:shd w:val="clear" w:color="auto" w:fill="FFFFFF"/>
        </w:rPr>
      </w:pPr>
      <w:r w:rsidRPr="00552320">
        <w:rPr>
          <w:color w:val="000000"/>
          <w:sz w:val="24"/>
          <w:szCs w:val="29"/>
        </w:rPr>
        <w:br/>
      </w:r>
      <w:r w:rsidRPr="00552320">
        <w:rPr>
          <w:color w:val="000000"/>
          <w:sz w:val="24"/>
          <w:szCs w:val="29"/>
          <w:shd w:val="clear" w:color="auto" w:fill="FFFFFF"/>
        </w:rPr>
        <w:t>Morgan</w:t>
      </w:r>
      <w:r>
        <w:rPr>
          <w:color w:val="000000"/>
          <w:sz w:val="24"/>
          <w:szCs w:val="29"/>
          <w:shd w:val="clear" w:color="auto" w:fill="FFFFFF"/>
        </w:rPr>
        <w:t>,</w:t>
      </w:r>
      <w:r w:rsidRPr="00552320">
        <w:rPr>
          <w:color w:val="000000"/>
          <w:sz w:val="24"/>
          <w:szCs w:val="29"/>
          <w:shd w:val="clear" w:color="auto" w:fill="FFFFFF"/>
        </w:rPr>
        <w:t xml:space="preserve"> Kenneth. O., 'The new Liberal Party from dawn to downfall 1906 - 1924', </w:t>
      </w:r>
      <w:proofErr w:type="spellStart"/>
      <w:r w:rsidRPr="00552320">
        <w:rPr>
          <w:i/>
          <w:iCs/>
          <w:color w:val="000000"/>
          <w:sz w:val="24"/>
          <w:szCs w:val="29"/>
          <w:shd w:val="clear" w:color="auto" w:fill="FFFFFF"/>
        </w:rPr>
        <w:t>Mémoire</w:t>
      </w:r>
      <w:proofErr w:type="spellEnd"/>
      <w:r w:rsidRPr="00552320">
        <w:rPr>
          <w:i/>
          <w:iCs/>
          <w:color w:val="000000"/>
          <w:sz w:val="24"/>
          <w:szCs w:val="29"/>
          <w:shd w:val="clear" w:color="auto" w:fill="FFFFFF"/>
        </w:rPr>
        <w:t xml:space="preserve">, </w:t>
      </w:r>
      <w:proofErr w:type="spellStart"/>
      <w:r w:rsidRPr="00552320">
        <w:rPr>
          <w:i/>
          <w:iCs/>
          <w:color w:val="000000"/>
          <w:sz w:val="24"/>
          <w:szCs w:val="29"/>
          <w:shd w:val="clear" w:color="auto" w:fill="FFFFFF"/>
        </w:rPr>
        <w:t>Identité</w:t>
      </w:r>
      <w:proofErr w:type="spellEnd"/>
      <w:r w:rsidRPr="00552320">
        <w:rPr>
          <w:i/>
          <w:iCs/>
          <w:color w:val="000000"/>
          <w:sz w:val="24"/>
          <w:szCs w:val="29"/>
          <w:shd w:val="clear" w:color="auto" w:fill="FFFFFF"/>
        </w:rPr>
        <w:t xml:space="preserve">, </w:t>
      </w:r>
      <w:proofErr w:type="spellStart"/>
      <w:r w:rsidRPr="00552320">
        <w:rPr>
          <w:i/>
          <w:iCs/>
          <w:color w:val="000000"/>
          <w:sz w:val="24"/>
          <w:szCs w:val="29"/>
          <w:shd w:val="clear" w:color="auto" w:fill="FFFFFF"/>
        </w:rPr>
        <w:t>Marginalité</w:t>
      </w:r>
      <w:proofErr w:type="spellEnd"/>
      <w:r w:rsidRPr="00552320">
        <w:rPr>
          <w:i/>
          <w:iCs/>
          <w:color w:val="000000"/>
          <w:sz w:val="24"/>
          <w:szCs w:val="29"/>
          <w:shd w:val="clear" w:color="auto" w:fill="FFFFFF"/>
        </w:rPr>
        <w:t xml:space="preserve">, </w:t>
      </w:r>
      <w:proofErr w:type="spellStart"/>
      <w:r w:rsidRPr="00552320">
        <w:rPr>
          <w:i/>
          <w:iCs/>
          <w:color w:val="000000"/>
          <w:sz w:val="24"/>
          <w:szCs w:val="29"/>
          <w:shd w:val="clear" w:color="auto" w:fill="FFFFFF"/>
        </w:rPr>
        <w:t>Dans</w:t>
      </w:r>
      <w:proofErr w:type="spellEnd"/>
      <w:r w:rsidRPr="00552320">
        <w:rPr>
          <w:i/>
          <w:iCs/>
          <w:color w:val="000000"/>
          <w:sz w:val="24"/>
          <w:szCs w:val="29"/>
          <w:shd w:val="clear" w:color="auto" w:fill="FFFFFF"/>
        </w:rPr>
        <w:t xml:space="preserve"> le Monde Occidental </w:t>
      </w:r>
      <w:proofErr w:type="spellStart"/>
      <w:r w:rsidRPr="00552320">
        <w:rPr>
          <w:i/>
          <w:iCs/>
          <w:color w:val="000000"/>
          <w:sz w:val="24"/>
          <w:szCs w:val="29"/>
          <w:shd w:val="clear" w:color="auto" w:fill="FFFFFF"/>
        </w:rPr>
        <w:t>Contemporain</w:t>
      </w:r>
      <w:proofErr w:type="spellEnd"/>
      <w:r w:rsidRPr="00552320">
        <w:rPr>
          <w:i/>
          <w:iCs/>
          <w:color w:val="000000"/>
          <w:sz w:val="24"/>
          <w:szCs w:val="29"/>
          <w:shd w:val="clear" w:color="auto" w:fill="FFFFFF"/>
        </w:rPr>
        <w:t>, Les Cahiers du MIMMOC</w:t>
      </w:r>
      <w:r w:rsidRPr="00552320">
        <w:rPr>
          <w:color w:val="000000"/>
          <w:sz w:val="24"/>
          <w:szCs w:val="29"/>
          <w:shd w:val="clear" w:color="auto" w:fill="FFFFFF"/>
        </w:rPr>
        <w:t>, 6, (2011), .</w:t>
      </w:r>
    </w:p>
    <w:p w:rsidR="00446576" w:rsidRDefault="00446576" w:rsidP="003502A3">
      <w:pPr>
        <w:rPr>
          <w:color w:val="000000"/>
          <w:sz w:val="24"/>
          <w:szCs w:val="29"/>
          <w:shd w:val="clear" w:color="auto" w:fill="FFFFFF"/>
        </w:rPr>
      </w:pPr>
      <w:r w:rsidRPr="00552320">
        <w:rPr>
          <w:color w:val="000000"/>
          <w:sz w:val="24"/>
          <w:szCs w:val="29"/>
        </w:rPr>
        <w:br/>
      </w:r>
      <w:r w:rsidRPr="00552320">
        <w:rPr>
          <w:color w:val="000000"/>
          <w:sz w:val="24"/>
          <w:szCs w:val="29"/>
          <w:shd w:val="clear" w:color="auto" w:fill="FFFFFF"/>
        </w:rPr>
        <w:t>Murphy</w:t>
      </w:r>
      <w:r>
        <w:rPr>
          <w:color w:val="000000"/>
          <w:sz w:val="24"/>
          <w:szCs w:val="29"/>
          <w:shd w:val="clear" w:color="auto" w:fill="FFFFFF"/>
        </w:rPr>
        <w:t>,</w:t>
      </w:r>
      <w:r w:rsidRPr="00552320">
        <w:rPr>
          <w:color w:val="000000"/>
          <w:sz w:val="24"/>
          <w:szCs w:val="29"/>
          <w:shd w:val="clear" w:color="auto" w:fill="FFFFFF"/>
        </w:rPr>
        <w:t xml:space="preserve"> William, </w:t>
      </w:r>
      <w:r w:rsidRPr="00552320">
        <w:rPr>
          <w:i/>
          <w:iCs/>
          <w:color w:val="000000"/>
          <w:sz w:val="24"/>
          <w:szCs w:val="29"/>
          <w:shd w:val="clear" w:color="auto" w:fill="FFFFFF"/>
        </w:rPr>
        <w:t>How Ireland was lost in the 1918 conscription crisis</w:t>
      </w:r>
      <w:r w:rsidRPr="00552320">
        <w:rPr>
          <w:color w:val="000000"/>
          <w:sz w:val="24"/>
          <w:szCs w:val="29"/>
          <w:shd w:val="clear" w:color="auto" w:fill="FFFFFF"/>
        </w:rPr>
        <w:t> (2016) &lt;https://www.rte.ie/centuryireland/index.php/articles/how-ireland-was-lost-in-the-1918-conscription-crisis&gt; [accessed 21 November 2019].</w:t>
      </w:r>
    </w:p>
    <w:p w:rsidR="00446576" w:rsidRDefault="00446576" w:rsidP="003502A3">
      <w:pPr>
        <w:rPr>
          <w:color w:val="000000"/>
          <w:sz w:val="24"/>
          <w:szCs w:val="29"/>
          <w:shd w:val="clear" w:color="auto" w:fill="FFFFFF"/>
        </w:rPr>
      </w:pPr>
      <w:r w:rsidRPr="00552320">
        <w:rPr>
          <w:color w:val="000000"/>
          <w:sz w:val="24"/>
          <w:szCs w:val="29"/>
        </w:rPr>
        <w:br/>
      </w:r>
      <w:r w:rsidRPr="00552320">
        <w:rPr>
          <w:color w:val="000000"/>
          <w:sz w:val="24"/>
          <w:szCs w:val="29"/>
          <w:shd w:val="clear" w:color="auto" w:fill="FFFFFF"/>
        </w:rPr>
        <w:t>Noonan</w:t>
      </w:r>
      <w:r>
        <w:rPr>
          <w:color w:val="000000"/>
          <w:sz w:val="24"/>
          <w:szCs w:val="29"/>
          <w:shd w:val="clear" w:color="auto" w:fill="FFFFFF"/>
        </w:rPr>
        <w:t>,</w:t>
      </w:r>
      <w:r w:rsidRPr="00552320">
        <w:rPr>
          <w:color w:val="000000"/>
          <w:sz w:val="24"/>
          <w:szCs w:val="29"/>
          <w:shd w:val="clear" w:color="auto" w:fill="FFFFFF"/>
        </w:rPr>
        <w:t xml:space="preserve"> Lowell G., 'The Decline of the Liberal Party in British Politics', </w:t>
      </w:r>
      <w:proofErr w:type="gramStart"/>
      <w:r w:rsidRPr="00552320">
        <w:rPr>
          <w:i/>
          <w:iCs/>
          <w:color w:val="000000"/>
          <w:sz w:val="24"/>
          <w:szCs w:val="29"/>
          <w:shd w:val="clear" w:color="auto" w:fill="FFFFFF"/>
        </w:rPr>
        <w:t>The</w:t>
      </w:r>
      <w:proofErr w:type="gramEnd"/>
      <w:r w:rsidRPr="00552320">
        <w:rPr>
          <w:i/>
          <w:iCs/>
          <w:color w:val="000000"/>
          <w:sz w:val="24"/>
          <w:szCs w:val="29"/>
          <w:shd w:val="clear" w:color="auto" w:fill="FFFFFF"/>
        </w:rPr>
        <w:t xml:space="preserve"> Journal of Politics</w:t>
      </w:r>
      <w:r w:rsidRPr="00552320">
        <w:rPr>
          <w:color w:val="000000"/>
          <w:sz w:val="24"/>
          <w:szCs w:val="29"/>
          <w:shd w:val="clear" w:color="auto" w:fill="FFFFFF"/>
        </w:rPr>
        <w:t>, 16.1, (1954), 24-38.</w:t>
      </w:r>
    </w:p>
    <w:p w:rsidR="00446576" w:rsidRDefault="00446576" w:rsidP="003502A3">
      <w:pPr>
        <w:rPr>
          <w:color w:val="000000"/>
          <w:sz w:val="24"/>
          <w:szCs w:val="29"/>
          <w:shd w:val="clear" w:color="auto" w:fill="FFFFFF"/>
        </w:rPr>
      </w:pPr>
      <w:r w:rsidRPr="00552320">
        <w:rPr>
          <w:color w:val="000000"/>
          <w:sz w:val="24"/>
          <w:szCs w:val="29"/>
        </w:rPr>
        <w:br/>
      </w:r>
      <w:proofErr w:type="spellStart"/>
      <w:r w:rsidRPr="00552320">
        <w:rPr>
          <w:color w:val="000000"/>
          <w:sz w:val="24"/>
          <w:szCs w:val="29"/>
          <w:shd w:val="clear" w:color="auto" w:fill="FFFFFF"/>
        </w:rPr>
        <w:t>Ogg</w:t>
      </w:r>
      <w:proofErr w:type="spellEnd"/>
      <w:r>
        <w:rPr>
          <w:color w:val="000000"/>
          <w:sz w:val="24"/>
          <w:szCs w:val="29"/>
          <w:shd w:val="clear" w:color="auto" w:fill="FFFFFF"/>
        </w:rPr>
        <w:t>,</w:t>
      </w:r>
      <w:r w:rsidRPr="00552320">
        <w:rPr>
          <w:color w:val="000000"/>
          <w:sz w:val="24"/>
          <w:szCs w:val="29"/>
          <w:shd w:val="clear" w:color="auto" w:fill="FFFFFF"/>
        </w:rPr>
        <w:t xml:space="preserve"> Frederic A., 'The British Representation of the People Act', </w:t>
      </w:r>
      <w:r w:rsidRPr="00552320">
        <w:rPr>
          <w:i/>
          <w:iCs/>
          <w:color w:val="000000"/>
          <w:sz w:val="24"/>
          <w:szCs w:val="29"/>
          <w:shd w:val="clear" w:color="auto" w:fill="FFFFFF"/>
        </w:rPr>
        <w:t>The American Political Science Review</w:t>
      </w:r>
      <w:r w:rsidRPr="00552320">
        <w:rPr>
          <w:color w:val="000000"/>
          <w:sz w:val="24"/>
          <w:szCs w:val="29"/>
          <w:shd w:val="clear" w:color="auto" w:fill="FFFFFF"/>
        </w:rPr>
        <w:t>, 12.3, (1918), 498-503.</w:t>
      </w:r>
    </w:p>
    <w:p w:rsidR="00446576" w:rsidRDefault="00446576" w:rsidP="003502A3">
      <w:pPr>
        <w:rPr>
          <w:color w:val="000000"/>
          <w:sz w:val="24"/>
          <w:szCs w:val="29"/>
          <w:shd w:val="clear" w:color="auto" w:fill="FFFFFF"/>
        </w:rPr>
      </w:pPr>
      <w:r w:rsidRPr="00552320">
        <w:rPr>
          <w:color w:val="000000"/>
          <w:sz w:val="24"/>
          <w:szCs w:val="29"/>
        </w:rPr>
        <w:br/>
      </w:r>
      <w:proofErr w:type="spellStart"/>
      <w:r w:rsidRPr="00552320">
        <w:rPr>
          <w:color w:val="000000"/>
          <w:sz w:val="24"/>
          <w:szCs w:val="29"/>
          <w:shd w:val="clear" w:color="auto" w:fill="FFFFFF"/>
        </w:rPr>
        <w:t>Peatfield</w:t>
      </w:r>
      <w:proofErr w:type="spellEnd"/>
      <w:r>
        <w:rPr>
          <w:color w:val="000000"/>
          <w:sz w:val="24"/>
          <w:szCs w:val="29"/>
          <w:shd w:val="clear" w:color="auto" w:fill="FFFFFF"/>
        </w:rPr>
        <w:t>,</w:t>
      </w:r>
      <w:r w:rsidRPr="00552320">
        <w:rPr>
          <w:color w:val="000000"/>
          <w:sz w:val="24"/>
          <w:szCs w:val="29"/>
          <w:shd w:val="clear" w:color="auto" w:fill="FFFFFF"/>
        </w:rPr>
        <w:t xml:space="preserve"> Lisa, </w:t>
      </w:r>
      <w:r w:rsidRPr="00552320">
        <w:rPr>
          <w:i/>
          <w:iCs/>
          <w:color w:val="000000"/>
          <w:sz w:val="24"/>
          <w:szCs w:val="29"/>
          <w:shd w:val="clear" w:color="auto" w:fill="FFFFFF"/>
        </w:rPr>
        <w:t>Ireland's Role in the First World War</w:t>
      </w:r>
      <w:r w:rsidRPr="00552320">
        <w:rPr>
          <w:color w:val="000000"/>
          <w:sz w:val="24"/>
          <w:szCs w:val="29"/>
          <w:shd w:val="clear" w:color="auto" w:fill="FFFFFF"/>
        </w:rPr>
        <w:t> (2018) &lt;https://www.iwm.org.uk/history/irelands-role-in-the-first-world-war&gt; [accessed 21 November 2019].</w:t>
      </w:r>
    </w:p>
    <w:p w:rsidR="00446576" w:rsidRDefault="00446576" w:rsidP="003502A3">
      <w:pPr>
        <w:rPr>
          <w:color w:val="000000"/>
          <w:sz w:val="24"/>
          <w:szCs w:val="29"/>
          <w:shd w:val="clear" w:color="auto" w:fill="FFFFFF"/>
        </w:rPr>
      </w:pPr>
      <w:r w:rsidRPr="00552320">
        <w:rPr>
          <w:color w:val="000000"/>
          <w:sz w:val="24"/>
          <w:szCs w:val="29"/>
        </w:rPr>
        <w:br/>
      </w:r>
      <w:r w:rsidRPr="00552320">
        <w:rPr>
          <w:color w:val="000000"/>
          <w:sz w:val="24"/>
          <w:szCs w:val="29"/>
          <w:shd w:val="clear" w:color="auto" w:fill="FFFFFF"/>
        </w:rPr>
        <w:t>Pennell</w:t>
      </w:r>
      <w:r>
        <w:rPr>
          <w:color w:val="000000"/>
          <w:sz w:val="24"/>
          <w:szCs w:val="29"/>
          <w:shd w:val="clear" w:color="auto" w:fill="FFFFFF"/>
        </w:rPr>
        <w:t>,</w:t>
      </w:r>
      <w:r w:rsidRPr="00552320">
        <w:rPr>
          <w:color w:val="000000"/>
          <w:sz w:val="24"/>
          <w:szCs w:val="29"/>
          <w:shd w:val="clear" w:color="auto" w:fill="FFFFFF"/>
        </w:rPr>
        <w:t xml:space="preserve"> Catriona, </w:t>
      </w:r>
      <w:r w:rsidRPr="00552320">
        <w:rPr>
          <w:i/>
          <w:iCs/>
          <w:color w:val="000000"/>
          <w:sz w:val="24"/>
          <w:szCs w:val="29"/>
          <w:shd w:val="clear" w:color="auto" w:fill="FFFFFF"/>
        </w:rPr>
        <w:t>A Kingdom United: Popular Responses to the Outbreak of the First World War in Britain and Ireland</w:t>
      </w:r>
      <w:r w:rsidRPr="00552320">
        <w:rPr>
          <w:color w:val="000000"/>
          <w:sz w:val="24"/>
          <w:szCs w:val="29"/>
          <w:shd w:val="clear" w:color="auto" w:fill="FFFFFF"/>
        </w:rPr>
        <w:t> (Oxford: Oxford University Press, 2012).</w:t>
      </w:r>
    </w:p>
    <w:p w:rsidR="00446576" w:rsidRDefault="00446576" w:rsidP="003502A3">
      <w:pPr>
        <w:rPr>
          <w:color w:val="000000"/>
          <w:sz w:val="24"/>
          <w:szCs w:val="29"/>
          <w:shd w:val="clear" w:color="auto" w:fill="FFFFFF"/>
        </w:rPr>
      </w:pPr>
      <w:r w:rsidRPr="00552320">
        <w:rPr>
          <w:color w:val="000000"/>
          <w:sz w:val="24"/>
          <w:szCs w:val="29"/>
        </w:rPr>
        <w:br/>
      </w:r>
      <w:r w:rsidRPr="00552320">
        <w:rPr>
          <w:color w:val="000000"/>
          <w:sz w:val="24"/>
          <w:szCs w:val="29"/>
          <w:shd w:val="clear" w:color="auto" w:fill="FFFFFF"/>
        </w:rPr>
        <w:t>UK Parliament, </w:t>
      </w:r>
      <w:r w:rsidRPr="00552320">
        <w:rPr>
          <w:i/>
          <w:iCs/>
          <w:color w:val="000000"/>
          <w:sz w:val="24"/>
          <w:szCs w:val="29"/>
          <w:shd w:val="clear" w:color="auto" w:fill="FFFFFF"/>
        </w:rPr>
        <w:t>Conscription: the First World War</w:t>
      </w:r>
      <w:proofErr w:type="gramStart"/>
      <w:r>
        <w:rPr>
          <w:color w:val="000000"/>
          <w:sz w:val="24"/>
          <w:szCs w:val="29"/>
          <w:shd w:val="clear" w:color="auto" w:fill="FFFFFF"/>
        </w:rPr>
        <w:t> </w:t>
      </w:r>
      <w:r w:rsidRPr="00552320">
        <w:rPr>
          <w:color w:val="000000"/>
          <w:sz w:val="24"/>
          <w:szCs w:val="29"/>
          <w:shd w:val="clear" w:color="auto" w:fill="FFFFFF"/>
        </w:rPr>
        <w:t xml:space="preserve"> &lt;</w:t>
      </w:r>
      <w:proofErr w:type="gramEnd"/>
      <w:r w:rsidRPr="00552320">
        <w:rPr>
          <w:color w:val="000000"/>
          <w:sz w:val="24"/>
          <w:szCs w:val="29"/>
          <w:shd w:val="clear" w:color="auto" w:fill="FFFFFF"/>
        </w:rPr>
        <w:t>https://www.parliament.uk/about/living-heritage/transformingsociety/private-lives/yourcountry/overview/conscription/&gt; [accessed 21 November 2019].</w:t>
      </w:r>
    </w:p>
    <w:p w:rsidR="00446576" w:rsidRDefault="00446576" w:rsidP="003502A3">
      <w:pPr>
        <w:rPr>
          <w:color w:val="000000"/>
          <w:sz w:val="24"/>
          <w:szCs w:val="29"/>
          <w:shd w:val="clear" w:color="auto" w:fill="FFFFFF"/>
        </w:rPr>
      </w:pPr>
      <w:r w:rsidRPr="00552320">
        <w:rPr>
          <w:color w:val="000000"/>
          <w:sz w:val="24"/>
          <w:szCs w:val="29"/>
        </w:rPr>
        <w:br/>
      </w:r>
      <w:r w:rsidRPr="00552320">
        <w:rPr>
          <w:color w:val="000000"/>
          <w:sz w:val="24"/>
          <w:szCs w:val="29"/>
          <w:shd w:val="clear" w:color="auto" w:fill="FFFFFF"/>
        </w:rPr>
        <w:t>UK Parliament, </w:t>
      </w:r>
      <w:r w:rsidRPr="00552320">
        <w:rPr>
          <w:i/>
          <w:iCs/>
          <w:color w:val="000000"/>
          <w:sz w:val="24"/>
          <w:szCs w:val="29"/>
          <w:shd w:val="clear" w:color="auto" w:fill="FFFFFF"/>
        </w:rPr>
        <w:t>Third Reform Act 1884</w:t>
      </w:r>
      <w:r w:rsidRPr="00552320">
        <w:rPr>
          <w:color w:val="000000"/>
          <w:sz w:val="24"/>
          <w:szCs w:val="29"/>
          <w:shd w:val="clear" w:color="auto" w:fill="FFFFFF"/>
        </w:rPr>
        <w:t> () &lt;https://www.parliament.uk/about/living-heritage/evolutionofparliament/houseofcommons/reformacts/overview/one-man-one-vote/&gt; [accessed 21 November 2019].</w:t>
      </w:r>
    </w:p>
    <w:p w:rsidR="00446576" w:rsidRDefault="00446576" w:rsidP="003502A3">
      <w:pPr>
        <w:rPr>
          <w:color w:val="000000"/>
          <w:sz w:val="24"/>
          <w:szCs w:val="29"/>
          <w:shd w:val="clear" w:color="auto" w:fill="FFFFFF"/>
        </w:rPr>
      </w:pPr>
      <w:r w:rsidRPr="00552320">
        <w:rPr>
          <w:color w:val="000000"/>
          <w:sz w:val="24"/>
          <w:szCs w:val="29"/>
        </w:rPr>
        <w:br/>
      </w:r>
      <w:proofErr w:type="spellStart"/>
      <w:r w:rsidRPr="00552320">
        <w:rPr>
          <w:color w:val="000000"/>
          <w:sz w:val="24"/>
          <w:szCs w:val="29"/>
          <w:shd w:val="clear" w:color="auto" w:fill="FFFFFF"/>
        </w:rPr>
        <w:t>Vellacott</w:t>
      </w:r>
      <w:proofErr w:type="spellEnd"/>
      <w:r>
        <w:rPr>
          <w:color w:val="000000"/>
          <w:sz w:val="24"/>
          <w:szCs w:val="29"/>
          <w:shd w:val="clear" w:color="auto" w:fill="FFFFFF"/>
        </w:rPr>
        <w:t>,</w:t>
      </w:r>
      <w:r w:rsidRPr="00552320">
        <w:rPr>
          <w:color w:val="000000"/>
          <w:sz w:val="24"/>
          <w:szCs w:val="29"/>
          <w:shd w:val="clear" w:color="auto" w:fill="FFFFFF"/>
        </w:rPr>
        <w:t xml:space="preserve"> Jo, </w:t>
      </w:r>
      <w:r w:rsidRPr="00552320">
        <w:rPr>
          <w:i/>
          <w:iCs/>
          <w:color w:val="000000"/>
          <w:sz w:val="24"/>
          <w:szCs w:val="29"/>
          <w:shd w:val="clear" w:color="auto" w:fill="FFFFFF"/>
        </w:rPr>
        <w:t xml:space="preserve">Pacifists, Patriots and the Vote; </w:t>
      </w:r>
      <w:proofErr w:type="gramStart"/>
      <w:r w:rsidRPr="00552320">
        <w:rPr>
          <w:i/>
          <w:iCs/>
          <w:color w:val="000000"/>
          <w:sz w:val="24"/>
          <w:szCs w:val="29"/>
          <w:shd w:val="clear" w:color="auto" w:fill="FFFFFF"/>
        </w:rPr>
        <w:t>The</w:t>
      </w:r>
      <w:proofErr w:type="gramEnd"/>
      <w:r w:rsidRPr="00552320">
        <w:rPr>
          <w:i/>
          <w:iCs/>
          <w:color w:val="000000"/>
          <w:sz w:val="24"/>
          <w:szCs w:val="29"/>
          <w:shd w:val="clear" w:color="auto" w:fill="FFFFFF"/>
        </w:rPr>
        <w:t xml:space="preserve"> Erosion of Democratic </w:t>
      </w:r>
      <w:proofErr w:type="spellStart"/>
      <w:r w:rsidRPr="00552320">
        <w:rPr>
          <w:i/>
          <w:iCs/>
          <w:color w:val="000000"/>
          <w:sz w:val="24"/>
          <w:szCs w:val="29"/>
          <w:shd w:val="clear" w:color="auto" w:fill="FFFFFF"/>
        </w:rPr>
        <w:t>Suffragism</w:t>
      </w:r>
      <w:proofErr w:type="spellEnd"/>
      <w:r w:rsidRPr="00552320">
        <w:rPr>
          <w:i/>
          <w:iCs/>
          <w:color w:val="000000"/>
          <w:sz w:val="24"/>
          <w:szCs w:val="29"/>
          <w:shd w:val="clear" w:color="auto" w:fill="FFFFFF"/>
        </w:rPr>
        <w:t xml:space="preserve"> in Britain During the First World War</w:t>
      </w:r>
      <w:r w:rsidRPr="00552320">
        <w:rPr>
          <w:color w:val="000000"/>
          <w:sz w:val="24"/>
          <w:szCs w:val="29"/>
          <w:shd w:val="clear" w:color="auto" w:fill="FFFFFF"/>
        </w:rPr>
        <w:t> (Basingstoke: Palgrave McMillan, 2007).</w:t>
      </w:r>
    </w:p>
    <w:sectPr w:rsidR="004465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D2B76" w:rsidRDefault="006D2B76" w:rsidP="00DD50F9">
      <w:pPr>
        <w:spacing w:after="0" w:line="240" w:lineRule="auto"/>
      </w:pPr>
      <w:r>
        <w:separator/>
      </w:r>
    </w:p>
  </w:endnote>
  <w:endnote w:type="continuationSeparator" w:id="0">
    <w:p w:rsidR="006D2B76" w:rsidRDefault="006D2B76" w:rsidP="00DD5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D2B76" w:rsidRDefault="006D2B76" w:rsidP="00DD50F9">
      <w:pPr>
        <w:spacing w:after="0" w:line="240" w:lineRule="auto"/>
      </w:pPr>
      <w:r>
        <w:separator/>
      </w:r>
    </w:p>
  </w:footnote>
  <w:footnote w:type="continuationSeparator" w:id="0">
    <w:p w:rsidR="006D2B76" w:rsidRDefault="006D2B76" w:rsidP="00DD50F9">
      <w:pPr>
        <w:spacing w:after="0" w:line="240" w:lineRule="auto"/>
      </w:pPr>
      <w:r>
        <w:continuationSeparator/>
      </w:r>
    </w:p>
  </w:footnote>
  <w:footnote w:id="1">
    <w:p w:rsidR="000D59DC" w:rsidRPr="00DD50F9" w:rsidRDefault="000D59DC">
      <w:pPr>
        <w:pStyle w:val="FootnoteText"/>
        <w:rPr>
          <w:lang w:val="en-US"/>
        </w:rPr>
      </w:pPr>
      <w:r>
        <w:rPr>
          <w:rStyle w:val="FootnoteReference"/>
        </w:rPr>
        <w:footnoteRef/>
      </w:r>
      <w:r>
        <w:t xml:space="preserve">  </w:t>
      </w:r>
      <w:r w:rsidRPr="00850D74">
        <w:rPr>
          <w:color w:val="000000"/>
          <w:sz w:val="22"/>
          <w:szCs w:val="29"/>
          <w:shd w:val="clear" w:color="auto" w:fill="FFFFFF"/>
        </w:rPr>
        <w:t xml:space="preserve">H. J. </w:t>
      </w:r>
      <w:proofErr w:type="spellStart"/>
      <w:r w:rsidRPr="00850D74">
        <w:rPr>
          <w:color w:val="000000"/>
          <w:sz w:val="22"/>
          <w:szCs w:val="29"/>
          <w:shd w:val="clear" w:color="auto" w:fill="FFFFFF"/>
        </w:rPr>
        <w:t>Hanham</w:t>
      </w:r>
      <w:proofErr w:type="spellEnd"/>
      <w:r w:rsidRPr="00850D74">
        <w:rPr>
          <w:color w:val="000000"/>
          <w:sz w:val="22"/>
          <w:szCs w:val="29"/>
          <w:shd w:val="clear" w:color="auto" w:fill="FFFFFF"/>
        </w:rPr>
        <w:t>, 'The Sale of Honours in Late Victorian England', </w:t>
      </w:r>
      <w:r w:rsidRPr="00850D74">
        <w:rPr>
          <w:i/>
          <w:iCs/>
          <w:color w:val="000000"/>
          <w:sz w:val="22"/>
          <w:szCs w:val="29"/>
          <w:shd w:val="clear" w:color="auto" w:fill="FFFFFF"/>
        </w:rPr>
        <w:t>Victorian Studies</w:t>
      </w:r>
      <w:r w:rsidRPr="00850D74">
        <w:rPr>
          <w:color w:val="000000"/>
          <w:sz w:val="22"/>
          <w:szCs w:val="29"/>
          <w:shd w:val="clear" w:color="auto" w:fill="FFFFFF"/>
        </w:rPr>
        <w:t>, 3.3, (1960), 277-289</w:t>
      </w:r>
      <w:r>
        <w:rPr>
          <w:color w:val="000000"/>
          <w:sz w:val="29"/>
          <w:szCs w:val="29"/>
          <w:shd w:val="clear" w:color="auto" w:fill="FFFFFF"/>
        </w:rPr>
        <w:t>.</w:t>
      </w:r>
    </w:p>
  </w:footnote>
  <w:footnote w:id="2">
    <w:p w:rsidR="000D59DC" w:rsidRPr="00115182" w:rsidRDefault="000D59DC">
      <w:pPr>
        <w:pStyle w:val="FootnoteText"/>
        <w:rPr>
          <w:lang w:val="en-US"/>
        </w:rPr>
      </w:pPr>
      <w:r>
        <w:rPr>
          <w:rStyle w:val="FootnoteReference"/>
        </w:rPr>
        <w:footnoteRef/>
      </w:r>
      <w:r>
        <w:t xml:space="preserve"> </w:t>
      </w:r>
      <w:r w:rsidRPr="00115182">
        <w:rPr>
          <w:color w:val="000000"/>
          <w:sz w:val="22"/>
          <w:szCs w:val="29"/>
          <w:shd w:val="clear" w:color="auto" w:fill="FFFFFF"/>
        </w:rPr>
        <w:t>Samuel J Hurwitz, </w:t>
      </w:r>
      <w:r w:rsidRPr="00115182">
        <w:rPr>
          <w:i/>
          <w:iCs/>
          <w:color w:val="000000"/>
          <w:sz w:val="22"/>
          <w:szCs w:val="29"/>
          <w:shd w:val="clear" w:color="auto" w:fill="FFFFFF"/>
        </w:rPr>
        <w:t>State Intervention in Great Britain: Study of Economic Control and Social Response, 1914-1919</w:t>
      </w:r>
      <w:r w:rsidRPr="00115182">
        <w:rPr>
          <w:color w:val="000000"/>
          <w:sz w:val="22"/>
          <w:szCs w:val="29"/>
          <w:shd w:val="clear" w:color="auto" w:fill="FFFFFF"/>
        </w:rPr>
        <w:t> (Columbia: Columbia University Press / Oxford University Press, 1949).</w:t>
      </w:r>
    </w:p>
  </w:footnote>
  <w:footnote w:id="3">
    <w:p w:rsidR="000D59DC" w:rsidRPr="008A1C5B" w:rsidRDefault="000D59DC">
      <w:pPr>
        <w:pStyle w:val="FootnoteText"/>
        <w:rPr>
          <w:lang w:val="en-US"/>
        </w:rPr>
      </w:pPr>
      <w:r>
        <w:rPr>
          <w:rStyle w:val="FootnoteReference"/>
        </w:rPr>
        <w:footnoteRef/>
      </w:r>
      <w:r w:rsidRPr="008A1C5B">
        <w:rPr>
          <w:sz w:val="14"/>
        </w:rPr>
        <w:t xml:space="preserve"> </w:t>
      </w:r>
      <w:r w:rsidRPr="008A1C5B">
        <w:rPr>
          <w:color w:val="000000"/>
          <w:sz w:val="22"/>
          <w:szCs w:val="29"/>
          <w:shd w:val="clear" w:color="auto" w:fill="FFFFFF"/>
        </w:rPr>
        <w:t>UK Parliament, </w:t>
      </w:r>
      <w:r w:rsidRPr="008A1C5B">
        <w:rPr>
          <w:i/>
          <w:iCs/>
          <w:color w:val="000000"/>
          <w:sz w:val="22"/>
          <w:szCs w:val="29"/>
          <w:shd w:val="clear" w:color="auto" w:fill="FFFFFF"/>
        </w:rPr>
        <w:t>Conscription: the First World War</w:t>
      </w:r>
      <w:r w:rsidRPr="008A1C5B">
        <w:rPr>
          <w:color w:val="000000"/>
          <w:sz w:val="22"/>
          <w:szCs w:val="29"/>
          <w:shd w:val="clear" w:color="auto" w:fill="FFFFFF"/>
        </w:rPr>
        <w:t> (</w:t>
      </w:r>
      <w:r>
        <w:rPr>
          <w:color w:val="000000"/>
          <w:sz w:val="22"/>
          <w:szCs w:val="29"/>
          <w:shd w:val="clear" w:color="auto" w:fill="FFFFFF"/>
        </w:rPr>
        <w:t>unknown</w:t>
      </w:r>
      <w:r w:rsidRPr="008A1C5B">
        <w:rPr>
          <w:color w:val="000000"/>
          <w:sz w:val="22"/>
          <w:szCs w:val="29"/>
          <w:shd w:val="clear" w:color="auto" w:fill="FFFFFF"/>
        </w:rPr>
        <w:t>) &lt;https://www.parliament.uk/about/living-heritage/transformingsociety/private-lives/yourcountry/overview/conscription/&gt; [accessed 21 November 2019].</w:t>
      </w:r>
    </w:p>
  </w:footnote>
  <w:footnote w:id="4">
    <w:p w:rsidR="000D59DC" w:rsidRPr="00C312CE" w:rsidRDefault="000D59DC">
      <w:pPr>
        <w:pStyle w:val="FootnoteText"/>
        <w:rPr>
          <w:sz w:val="14"/>
          <w:lang w:val="en-US"/>
        </w:rPr>
      </w:pPr>
      <w:r>
        <w:rPr>
          <w:rStyle w:val="FootnoteReference"/>
        </w:rPr>
        <w:footnoteRef/>
      </w:r>
      <w:r>
        <w:t xml:space="preserve"> </w:t>
      </w:r>
      <w:r w:rsidRPr="00C312CE">
        <w:rPr>
          <w:color w:val="000000"/>
          <w:sz w:val="22"/>
          <w:szCs w:val="29"/>
          <w:shd w:val="clear" w:color="auto" w:fill="FFFFFF"/>
        </w:rPr>
        <w:t>William Murphy, </w:t>
      </w:r>
      <w:r w:rsidRPr="00C312CE">
        <w:rPr>
          <w:i/>
          <w:iCs/>
          <w:color w:val="000000"/>
          <w:sz w:val="22"/>
          <w:szCs w:val="29"/>
          <w:shd w:val="clear" w:color="auto" w:fill="FFFFFF"/>
        </w:rPr>
        <w:t>How Ireland was lost in the 1918 conscription crisis</w:t>
      </w:r>
      <w:r w:rsidRPr="00C312CE">
        <w:rPr>
          <w:color w:val="000000"/>
          <w:sz w:val="22"/>
          <w:szCs w:val="29"/>
          <w:shd w:val="clear" w:color="auto" w:fill="FFFFFF"/>
        </w:rPr>
        <w:t> (2016) &lt;https://www.rte.ie/centuryireland/index.php/articles/how-ireland-was-lost-in-the-1918-conscription-crisis&gt; [accessed 21 November 2019].</w:t>
      </w:r>
    </w:p>
  </w:footnote>
  <w:footnote w:id="5">
    <w:p w:rsidR="000D59DC" w:rsidRPr="00486087" w:rsidRDefault="000D59DC">
      <w:pPr>
        <w:pStyle w:val="FootnoteText"/>
        <w:rPr>
          <w:sz w:val="14"/>
          <w:lang w:val="en-US"/>
        </w:rPr>
      </w:pPr>
      <w:r>
        <w:rPr>
          <w:rStyle w:val="FootnoteReference"/>
        </w:rPr>
        <w:footnoteRef/>
      </w:r>
      <w:r>
        <w:t xml:space="preserve"> </w:t>
      </w:r>
      <w:r w:rsidRPr="00486087">
        <w:rPr>
          <w:color w:val="000000"/>
          <w:sz w:val="22"/>
          <w:szCs w:val="29"/>
          <w:shd w:val="clear" w:color="auto" w:fill="FFFFFF"/>
        </w:rPr>
        <w:t>Lowell G. Noonan, 'The Decline of the Liberal Party in British Politics', </w:t>
      </w:r>
      <w:proofErr w:type="gramStart"/>
      <w:r w:rsidRPr="00486087">
        <w:rPr>
          <w:i/>
          <w:iCs/>
          <w:color w:val="000000"/>
          <w:sz w:val="22"/>
          <w:szCs w:val="29"/>
          <w:shd w:val="clear" w:color="auto" w:fill="FFFFFF"/>
        </w:rPr>
        <w:t>The</w:t>
      </w:r>
      <w:proofErr w:type="gramEnd"/>
      <w:r w:rsidRPr="00486087">
        <w:rPr>
          <w:i/>
          <w:iCs/>
          <w:color w:val="000000"/>
          <w:sz w:val="22"/>
          <w:szCs w:val="29"/>
          <w:shd w:val="clear" w:color="auto" w:fill="FFFFFF"/>
        </w:rPr>
        <w:t xml:space="preserve"> Journal of Politics</w:t>
      </w:r>
      <w:r w:rsidRPr="00486087">
        <w:rPr>
          <w:color w:val="000000"/>
          <w:sz w:val="22"/>
          <w:szCs w:val="29"/>
          <w:shd w:val="clear" w:color="auto" w:fill="FFFFFF"/>
        </w:rPr>
        <w:t>, 16.1, (1954), 24-38.</w:t>
      </w:r>
    </w:p>
  </w:footnote>
  <w:footnote w:id="6">
    <w:p w:rsidR="000D59DC" w:rsidRPr="00A60581" w:rsidRDefault="000D59DC">
      <w:pPr>
        <w:pStyle w:val="FootnoteText"/>
        <w:rPr>
          <w:lang w:val="en-US"/>
        </w:rPr>
      </w:pPr>
      <w:r>
        <w:rPr>
          <w:rStyle w:val="FootnoteReference"/>
        </w:rPr>
        <w:footnoteRef/>
      </w:r>
      <w:r>
        <w:t xml:space="preserve"> </w:t>
      </w:r>
      <w:r w:rsidRPr="000058D2">
        <w:rPr>
          <w:color w:val="000000"/>
          <w:sz w:val="22"/>
          <w:szCs w:val="29"/>
          <w:shd w:val="clear" w:color="auto" w:fill="FFFFFF"/>
        </w:rPr>
        <w:t xml:space="preserve">Paul </w:t>
      </w:r>
      <w:proofErr w:type="spellStart"/>
      <w:r w:rsidRPr="000058D2">
        <w:rPr>
          <w:color w:val="000000"/>
          <w:sz w:val="22"/>
          <w:szCs w:val="29"/>
          <w:shd w:val="clear" w:color="auto" w:fill="FFFFFF"/>
        </w:rPr>
        <w:t>Gliddon</w:t>
      </w:r>
      <w:proofErr w:type="spellEnd"/>
      <w:r w:rsidRPr="000058D2">
        <w:rPr>
          <w:color w:val="000000"/>
          <w:sz w:val="22"/>
          <w:szCs w:val="29"/>
          <w:shd w:val="clear" w:color="auto" w:fill="FFFFFF"/>
        </w:rPr>
        <w:t xml:space="preserve">, 'The Political Importance of Provincial Newspapers, 1903-1945; </w:t>
      </w:r>
      <w:proofErr w:type="gramStart"/>
      <w:r w:rsidRPr="000058D2">
        <w:rPr>
          <w:color w:val="000000"/>
          <w:sz w:val="22"/>
          <w:szCs w:val="29"/>
          <w:shd w:val="clear" w:color="auto" w:fill="FFFFFF"/>
        </w:rPr>
        <w:t>The</w:t>
      </w:r>
      <w:proofErr w:type="gramEnd"/>
      <w:r w:rsidRPr="000058D2">
        <w:rPr>
          <w:color w:val="000000"/>
          <w:sz w:val="22"/>
          <w:szCs w:val="29"/>
          <w:shd w:val="clear" w:color="auto" w:fill="FFFFFF"/>
        </w:rPr>
        <w:t xml:space="preserve"> </w:t>
      </w:r>
      <w:proofErr w:type="spellStart"/>
      <w:r w:rsidRPr="000058D2">
        <w:rPr>
          <w:color w:val="000000"/>
          <w:sz w:val="22"/>
          <w:szCs w:val="29"/>
          <w:shd w:val="clear" w:color="auto" w:fill="FFFFFF"/>
        </w:rPr>
        <w:t>Rowntrees</w:t>
      </w:r>
      <w:proofErr w:type="spellEnd"/>
      <w:r w:rsidRPr="000058D2">
        <w:rPr>
          <w:color w:val="000000"/>
          <w:sz w:val="22"/>
          <w:szCs w:val="29"/>
          <w:shd w:val="clear" w:color="auto" w:fill="FFFFFF"/>
        </w:rPr>
        <w:t xml:space="preserve"> and the Liberal Press', </w:t>
      </w:r>
      <w:r w:rsidRPr="000058D2">
        <w:rPr>
          <w:i/>
          <w:iCs/>
          <w:color w:val="000000"/>
          <w:sz w:val="22"/>
          <w:szCs w:val="29"/>
          <w:shd w:val="clear" w:color="auto" w:fill="FFFFFF"/>
        </w:rPr>
        <w:t>Twentieth Century British History</w:t>
      </w:r>
      <w:r w:rsidRPr="000058D2">
        <w:rPr>
          <w:color w:val="000000"/>
          <w:sz w:val="22"/>
          <w:szCs w:val="29"/>
          <w:shd w:val="clear" w:color="auto" w:fill="FFFFFF"/>
        </w:rPr>
        <w:t>, 14.1, (2003), 24-42.</w:t>
      </w:r>
    </w:p>
  </w:footnote>
  <w:footnote w:id="7">
    <w:p w:rsidR="000D59DC" w:rsidRPr="004E4ED3" w:rsidRDefault="000D59DC">
      <w:pPr>
        <w:pStyle w:val="FootnoteText"/>
        <w:rPr>
          <w:lang w:val="en-US"/>
        </w:rPr>
      </w:pPr>
      <w:r>
        <w:rPr>
          <w:rStyle w:val="FootnoteReference"/>
        </w:rPr>
        <w:footnoteRef/>
      </w:r>
      <w:r>
        <w:t xml:space="preserve"> </w:t>
      </w:r>
      <w:r w:rsidRPr="00D41D51">
        <w:rPr>
          <w:color w:val="000000"/>
          <w:sz w:val="22"/>
          <w:szCs w:val="29"/>
          <w:shd w:val="clear" w:color="auto" w:fill="FFFFFF"/>
        </w:rPr>
        <w:t>Keith Jeffery, </w:t>
      </w:r>
      <w:r w:rsidRPr="00D41D51">
        <w:rPr>
          <w:i/>
          <w:iCs/>
          <w:color w:val="000000"/>
          <w:sz w:val="22"/>
          <w:szCs w:val="29"/>
          <w:shd w:val="clear" w:color="auto" w:fill="FFFFFF"/>
        </w:rPr>
        <w:t>Ireland and World War One</w:t>
      </w:r>
      <w:r w:rsidRPr="00D41D51">
        <w:rPr>
          <w:color w:val="000000"/>
          <w:sz w:val="22"/>
          <w:szCs w:val="29"/>
          <w:shd w:val="clear" w:color="auto" w:fill="FFFFFF"/>
        </w:rPr>
        <w:t> (2011) &lt;http://www.bbc.co.uk/history/british/britain_wwone/ireland_wwone_01.shtml&gt; [accessed 21 November 2019].</w:t>
      </w:r>
    </w:p>
  </w:footnote>
  <w:footnote w:id="8">
    <w:p w:rsidR="000D59DC" w:rsidRPr="00D41D51" w:rsidRDefault="000D59DC">
      <w:pPr>
        <w:pStyle w:val="FootnoteText"/>
        <w:rPr>
          <w:lang w:val="en-US"/>
        </w:rPr>
      </w:pPr>
      <w:r>
        <w:rPr>
          <w:rStyle w:val="FootnoteReference"/>
        </w:rPr>
        <w:footnoteRef/>
      </w:r>
      <w:r>
        <w:t xml:space="preserve"> </w:t>
      </w:r>
      <w:r w:rsidRPr="00D41D51">
        <w:rPr>
          <w:color w:val="000000"/>
          <w:sz w:val="22"/>
          <w:szCs w:val="29"/>
          <w:shd w:val="clear" w:color="auto" w:fill="FFFFFF"/>
        </w:rPr>
        <w:t>Keith Jeffery, </w:t>
      </w:r>
      <w:r w:rsidRPr="00D41D51">
        <w:rPr>
          <w:i/>
          <w:iCs/>
          <w:color w:val="000000"/>
          <w:sz w:val="22"/>
          <w:szCs w:val="29"/>
          <w:shd w:val="clear" w:color="auto" w:fill="FFFFFF"/>
        </w:rPr>
        <w:t>Ireland and World War One</w:t>
      </w:r>
      <w:r w:rsidRPr="00D41D51">
        <w:rPr>
          <w:color w:val="000000"/>
          <w:sz w:val="22"/>
          <w:szCs w:val="29"/>
          <w:shd w:val="clear" w:color="auto" w:fill="FFFFFF"/>
        </w:rPr>
        <w:t> (2011) &lt;http://www.bbc.co.uk/history/british/britain_wwone/ireland_wwone_01.shtml&gt; [accessed 21 November 2019].</w:t>
      </w:r>
    </w:p>
  </w:footnote>
  <w:footnote w:id="9">
    <w:p w:rsidR="000D59DC" w:rsidRPr="00EA2DF6" w:rsidRDefault="000D59DC">
      <w:pPr>
        <w:pStyle w:val="FootnoteText"/>
        <w:rPr>
          <w:lang w:val="en-US"/>
        </w:rPr>
      </w:pPr>
      <w:r>
        <w:rPr>
          <w:rStyle w:val="FootnoteReference"/>
        </w:rPr>
        <w:footnoteRef/>
      </w:r>
      <w:r>
        <w:t xml:space="preserve"> </w:t>
      </w:r>
      <w:r w:rsidRPr="00EA2DF6">
        <w:rPr>
          <w:color w:val="000000"/>
          <w:sz w:val="22"/>
          <w:szCs w:val="29"/>
          <w:shd w:val="clear" w:color="auto" w:fill="FFFFFF"/>
        </w:rPr>
        <w:t>Gregory Hynes, </w:t>
      </w:r>
      <w:r w:rsidRPr="00EA2DF6">
        <w:rPr>
          <w:i/>
          <w:iCs/>
          <w:color w:val="000000"/>
          <w:sz w:val="22"/>
          <w:szCs w:val="29"/>
          <w:shd w:val="clear" w:color="auto" w:fill="FFFFFF"/>
        </w:rPr>
        <w:t>Defence of the Realm Act</w:t>
      </w:r>
      <w:r w:rsidRPr="00EA2DF6">
        <w:rPr>
          <w:color w:val="000000"/>
          <w:sz w:val="22"/>
          <w:szCs w:val="29"/>
          <w:shd w:val="clear" w:color="auto" w:fill="FFFFFF"/>
        </w:rPr>
        <w:t> (2017) &lt;https://encyclopedia.1914-1918-online.net/article/defence_of_the_realm_act_dora&gt; [accessed 21 November 2019].</w:t>
      </w:r>
    </w:p>
  </w:footnote>
  <w:footnote w:id="10">
    <w:p w:rsidR="000D59DC" w:rsidRPr="00882178" w:rsidRDefault="000D59DC">
      <w:pPr>
        <w:pStyle w:val="FootnoteText"/>
        <w:rPr>
          <w:lang w:val="en-US"/>
        </w:rPr>
      </w:pPr>
      <w:r>
        <w:rPr>
          <w:rStyle w:val="FootnoteReference"/>
        </w:rPr>
        <w:footnoteRef/>
      </w:r>
      <w:r>
        <w:t xml:space="preserve"> </w:t>
      </w:r>
      <w:r w:rsidRPr="00882178">
        <w:rPr>
          <w:color w:val="000000"/>
          <w:sz w:val="22"/>
          <w:szCs w:val="29"/>
          <w:shd w:val="clear" w:color="auto" w:fill="FFFFFF"/>
        </w:rPr>
        <w:t xml:space="preserve">Enda </w:t>
      </w:r>
      <w:proofErr w:type="spellStart"/>
      <w:r w:rsidRPr="00882178">
        <w:rPr>
          <w:color w:val="000000"/>
          <w:sz w:val="22"/>
          <w:szCs w:val="29"/>
          <w:shd w:val="clear" w:color="auto" w:fill="FFFFFF"/>
        </w:rPr>
        <w:t>Hargaden</w:t>
      </w:r>
      <w:proofErr w:type="spellEnd"/>
      <w:r w:rsidRPr="00882178">
        <w:rPr>
          <w:color w:val="000000"/>
          <w:sz w:val="22"/>
          <w:szCs w:val="29"/>
          <w:shd w:val="clear" w:color="auto" w:fill="FFFFFF"/>
        </w:rPr>
        <w:t xml:space="preserve">, Alan </w:t>
      </w:r>
      <w:proofErr w:type="spellStart"/>
      <w:r w:rsidRPr="00882178">
        <w:rPr>
          <w:color w:val="000000"/>
          <w:sz w:val="22"/>
          <w:szCs w:val="29"/>
          <w:shd w:val="clear" w:color="auto" w:fill="FFFFFF"/>
        </w:rPr>
        <w:t>Fernihough</w:t>
      </w:r>
      <w:proofErr w:type="spellEnd"/>
      <w:r w:rsidRPr="00882178">
        <w:rPr>
          <w:color w:val="000000"/>
          <w:sz w:val="22"/>
          <w:szCs w:val="29"/>
          <w:shd w:val="clear" w:color="auto" w:fill="FFFFFF"/>
        </w:rPr>
        <w:t xml:space="preserve">, Alan De </w:t>
      </w:r>
      <w:proofErr w:type="spellStart"/>
      <w:r w:rsidRPr="00882178">
        <w:rPr>
          <w:color w:val="000000"/>
          <w:sz w:val="22"/>
          <w:szCs w:val="29"/>
          <w:shd w:val="clear" w:color="auto" w:fill="FFFFFF"/>
        </w:rPr>
        <w:t>Bromhead</w:t>
      </w:r>
      <w:proofErr w:type="spellEnd"/>
      <w:r w:rsidRPr="00882178">
        <w:rPr>
          <w:color w:val="000000"/>
          <w:sz w:val="22"/>
          <w:szCs w:val="29"/>
          <w:shd w:val="clear" w:color="auto" w:fill="FFFFFF"/>
        </w:rPr>
        <w:t xml:space="preserve">, 'Representation of the people: Franchise extension and the "Sinn </w:t>
      </w:r>
      <w:proofErr w:type="spellStart"/>
      <w:r w:rsidRPr="00882178">
        <w:rPr>
          <w:color w:val="000000"/>
          <w:sz w:val="22"/>
          <w:szCs w:val="29"/>
          <w:shd w:val="clear" w:color="auto" w:fill="FFFFFF"/>
        </w:rPr>
        <w:t>Féin</w:t>
      </w:r>
      <w:proofErr w:type="spellEnd"/>
      <w:r w:rsidRPr="00882178">
        <w:rPr>
          <w:color w:val="000000"/>
          <w:sz w:val="22"/>
          <w:szCs w:val="29"/>
          <w:shd w:val="clear" w:color="auto" w:fill="FFFFFF"/>
        </w:rPr>
        <w:t xml:space="preserve"> election" in Ireland, 1918', </w:t>
      </w:r>
      <w:r w:rsidRPr="00882178">
        <w:rPr>
          <w:i/>
          <w:iCs/>
          <w:color w:val="000000"/>
          <w:sz w:val="22"/>
          <w:szCs w:val="29"/>
          <w:shd w:val="clear" w:color="auto" w:fill="FFFFFF"/>
        </w:rPr>
        <w:t xml:space="preserve">De </w:t>
      </w:r>
      <w:proofErr w:type="spellStart"/>
      <w:r w:rsidRPr="00882178">
        <w:rPr>
          <w:i/>
          <w:iCs/>
          <w:color w:val="000000"/>
          <w:sz w:val="22"/>
          <w:szCs w:val="29"/>
          <w:shd w:val="clear" w:color="auto" w:fill="FFFFFF"/>
        </w:rPr>
        <w:t>Bromhead</w:t>
      </w:r>
      <w:proofErr w:type="spellEnd"/>
      <w:r w:rsidRPr="00882178">
        <w:rPr>
          <w:i/>
          <w:iCs/>
          <w:color w:val="000000"/>
          <w:sz w:val="22"/>
          <w:szCs w:val="29"/>
          <w:shd w:val="clear" w:color="auto" w:fill="FFFFFF"/>
        </w:rPr>
        <w:t>, Alan</w:t>
      </w:r>
      <w:r w:rsidRPr="00882178">
        <w:rPr>
          <w:color w:val="000000"/>
          <w:sz w:val="22"/>
          <w:szCs w:val="29"/>
          <w:shd w:val="clear" w:color="auto" w:fill="FFFFFF"/>
        </w:rPr>
        <w:t>, 2018.8, (2018).</w:t>
      </w:r>
    </w:p>
  </w:footnote>
  <w:footnote w:id="11">
    <w:p w:rsidR="000D59DC" w:rsidRPr="00526E7B" w:rsidRDefault="000D59DC">
      <w:pPr>
        <w:pStyle w:val="FootnoteText"/>
        <w:rPr>
          <w:lang w:val="en-US"/>
        </w:rPr>
      </w:pPr>
      <w:r>
        <w:rPr>
          <w:rStyle w:val="FootnoteReference"/>
        </w:rPr>
        <w:footnoteRef/>
      </w:r>
      <w:r>
        <w:t xml:space="preserve"> </w:t>
      </w:r>
      <w:r w:rsidRPr="00526E7B">
        <w:rPr>
          <w:color w:val="000000"/>
          <w:sz w:val="22"/>
          <w:szCs w:val="29"/>
          <w:shd w:val="clear" w:color="auto" w:fill="FFFFFF"/>
        </w:rPr>
        <w:t>UK Parliament, </w:t>
      </w:r>
      <w:r w:rsidRPr="00526E7B">
        <w:rPr>
          <w:i/>
          <w:iCs/>
          <w:color w:val="000000"/>
          <w:sz w:val="22"/>
          <w:szCs w:val="29"/>
          <w:shd w:val="clear" w:color="auto" w:fill="FFFFFF"/>
        </w:rPr>
        <w:t>Third Reform Act 1884</w:t>
      </w:r>
      <w:r w:rsidRPr="00526E7B">
        <w:rPr>
          <w:color w:val="000000"/>
          <w:sz w:val="22"/>
          <w:szCs w:val="29"/>
          <w:shd w:val="clear" w:color="auto" w:fill="FFFFFF"/>
        </w:rPr>
        <w:t> () &lt;https://www.parliament.uk/about/living-heritage/evolutionofparliament/houseofcommons/reformacts/overview/one-man-one-vote/&gt; [accessed 21 November 2019].</w:t>
      </w:r>
    </w:p>
  </w:footnote>
  <w:footnote w:id="12">
    <w:p w:rsidR="000D59DC" w:rsidRPr="007F5944" w:rsidRDefault="000D59DC">
      <w:pPr>
        <w:pStyle w:val="FootnoteText"/>
        <w:rPr>
          <w:lang w:val="en-US"/>
        </w:rPr>
      </w:pPr>
      <w:r>
        <w:rPr>
          <w:rStyle w:val="FootnoteReference"/>
        </w:rPr>
        <w:footnoteRef/>
      </w:r>
      <w:r>
        <w:t xml:space="preserve"> </w:t>
      </w:r>
      <w:r w:rsidRPr="007F5944">
        <w:rPr>
          <w:color w:val="000000"/>
          <w:sz w:val="22"/>
          <w:szCs w:val="29"/>
          <w:shd w:val="clear" w:color="auto" w:fill="FFFFFF"/>
        </w:rPr>
        <w:t xml:space="preserve">Mary </w:t>
      </w:r>
      <w:proofErr w:type="spellStart"/>
      <w:r w:rsidRPr="007F5944">
        <w:rPr>
          <w:color w:val="000000"/>
          <w:sz w:val="22"/>
          <w:szCs w:val="29"/>
          <w:shd w:val="clear" w:color="auto" w:fill="FFFFFF"/>
        </w:rPr>
        <w:t>Hilson</w:t>
      </w:r>
      <w:proofErr w:type="spellEnd"/>
      <w:r w:rsidRPr="007F5944">
        <w:rPr>
          <w:color w:val="000000"/>
          <w:sz w:val="22"/>
          <w:szCs w:val="29"/>
          <w:shd w:val="clear" w:color="auto" w:fill="FFFFFF"/>
        </w:rPr>
        <w:t>, 'Women voters and the rhetoric of patriotism in the British general election of 1918', </w:t>
      </w:r>
      <w:proofErr w:type="spellStart"/>
      <w:r w:rsidRPr="007F5944">
        <w:rPr>
          <w:i/>
          <w:iCs/>
          <w:color w:val="000000"/>
          <w:sz w:val="22"/>
          <w:szCs w:val="29"/>
          <w:shd w:val="clear" w:color="auto" w:fill="FFFFFF"/>
        </w:rPr>
        <w:t>Womens</w:t>
      </w:r>
      <w:proofErr w:type="spellEnd"/>
      <w:r w:rsidRPr="007F5944">
        <w:rPr>
          <w:i/>
          <w:iCs/>
          <w:color w:val="000000"/>
          <w:sz w:val="22"/>
          <w:szCs w:val="29"/>
          <w:shd w:val="clear" w:color="auto" w:fill="FFFFFF"/>
        </w:rPr>
        <w:t xml:space="preserve"> History Review</w:t>
      </w:r>
      <w:r w:rsidRPr="007F5944">
        <w:rPr>
          <w:color w:val="000000"/>
          <w:sz w:val="22"/>
          <w:szCs w:val="29"/>
          <w:shd w:val="clear" w:color="auto" w:fill="FFFFFF"/>
        </w:rPr>
        <w:t>, 10.2, (2001), 325-347.</w:t>
      </w:r>
    </w:p>
  </w:footnote>
  <w:footnote w:id="13">
    <w:p w:rsidR="000D59DC" w:rsidRPr="0041018C" w:rsidRDefault="000D59DC">
      <w:pPr>
        <w:pStyle w:val="FootnoteText"/>
        <w:rPr>
          <w:lang w:val="en-US"/>
        </w:rPr>
      </w:pPr>
      <w:r>
        <w:rPr>
          <w:rStyle w:val="FootnoteReference"/>
        </w:rPr>
        <w:footnoteRef/>
      </w:r>
      <w:r>
        <w:t xml:space="preserve"> </w:t>
      </w:r>
      <w:r w:rsidRPr="007F5944">
        <w:rPr>
          <w:color w:val="000000"/>
          <w:sz w:val="22"/>
          <w:szCs w:val="29"/>
          <w:shd w:val="clear" w:color="auto" w:fill="FFFFFF"/>
        </w:rPr>
        <w:t xml:space="preserve">Mary </w:t>
      </w:r>
      <w:proofErr w:type="spellStart"/>
      <w:r w:rsidRPr="007F5944">
        <w:rPr>
          <w:color w:val="000000"/>
          <w:sz w:val="22"/>
          <w:szCs w:val="29"/>
          <w:shd w:val="clear" w:color="auto" w:fill="FFFFFF"/>
        </w:rPr>
        <w:t>Hilson</w:t>
      </w:r>
      <w:proofErr w:type="spellEnd"/>
      <w:r w:rsidRPr="007F5944">
        <w:rPr>
          <w:color w:val="000000"/>
          <w:sz w:val="22"/>
          <w:szCs w:val="29"/>
          <w:shd w:val="clear" w:color="auto" w:fill="FFFFFF"/>
        </w:rPr>
        <w:t>, 'Women voters and the rhetoric of patriotism in the British general election of 1918', </w:t>
      </w:r>
      <w:proofErr w:type="spellStart"/>
      <w:r w:rsidRPr="007F5944">
        <w:rPr>
          <w:i/>
          <w:iCs/>
          <w:color w:val="000000"/>
          <w:sz w:val="22"/>
          <w:szCs w:val="29"/>
          <w:shd w:val="clear" w:color="auto" w:fill="FFFFFF"/>
        </w:rPr>
        <w:t>Womens</w:t>
      </w:r>
      <w:proofErr w:type="spellEnd"/>
      <w:r w:rsidRPr="007F5944">
        <w:rPr>
          <w:i/>
          <w:iCs/>
          <w:color w:val="000000"/>
          <w:sz w:val="22"/>
          <w:szCs w:val="29"/>
          <w:shd w:val="clear" w:color="auto" w:fill="FFFFFF"/>
        </w:rPr>
        <w:t xml:space="preserve"> History Review</w:t>
      </w:r>
      <w:r w:rsidRPr="007F5944">
        <w:rPr>
          <w:color w:val="000000"/>
          <w:sz w:val="22"/>
          <w:szCs w:val="29"/>
          <w:shd w:val="clear" w:color="auto" w:fill="FFFFFF"/>
        </w:rPr>
        <w:t>, 10.2, (2001), 325-347.</w:t>
      </w:r>
    </w:p>
  </w:footnote>
  <w:footnote w:id="14">
    <w:p w:rsidR="000D59DC" w:rsidRPr="00DC7CE3" w:rsidRDefault="000D59DC">
      <w:pPr>
        <w:pStyle w:val="FootnoteText"/>
        <w:rPr>
          <w:lang w:val="en-US"/>
        </w:rPr>
      </w:pPr>
      <w:r>
        <w:rPr>
          <w:rStyle w:val="FootnoteReference"/>
        </w:rPr>
        <w:footnoteRef/>
      </w:r>
      <w:r>
        <w:t xml:space="preserve"> </w:t>
      </w:r>
      <w:r w:rsidRPr="00DC7CE3">
        <w:rPr>
          <w:color w:val="000000"/>
          <w:sz w:val="22"/>
          <w:szCs w:val="29"/>
          <w:shd w:val="clear" w:color="auto" w:fill="FFFFFF"/>
        </w:rPr>
        <w:t xml:space="preserve">Enda </w:t>
      </w:r>
      <w:proofErr w:type="spellStart"/>
      <w:r w:rsidRPr="00DC7CE3">
        <w:rPr>
          <w:color w:val="000000"/>
          <w:sz w:val="22"/>
          <w:szCs w:val="29"/>
          <w:shd w:val="clear" w:color="auto" w:fill="FFFFFF"/>
        </w:rPr>
        <w:t>Hargaden</w:t>
      </w:r>
      <w:proofErr w:type="spellEnd"/>
      <w:r w:rsidRPr="00DC7CE3">
        <w:rPr>
          <w:color w:val="000000"/>
          <w:sz w:val="22"/>
          <w:szCs w:val="29"/>
          <w:shd w:val="clear" w:color="auto" w:fill="FFFFFF"/>
        </w:rPr>
        <w:t xml:space="preserve">, Alan </w:t>
      </w:r>
      <w:proofErr w:type="spellStart"/>
      <w:r w:rsidRPr="00DC7CE3">
        <w:rPr>
          <w:color w:val="000000"/>
          <w:sz w:val="22"/>
          <w:szCs w:val="29"/>
          <w:shd w:val="clear" w:color="auto" w:fill="FFFFFF"/>
        </w:rPr>
        <w:t>Fernihough</w:t>
      </w:r>
      <w:proofErr w:type="spellEnd"/>
      <w:r w:rsidRPr="00DC7CE3">
        <w:rPr>
          <w:color w:val="000000"/>
          <w:sz w:val="22"/>
          <w:szCs w:val="29"/>
          <w:shd w:val="clear" w:color="auto" w:fill="FFFFFF"/>
        </w:rPr>
        <w:t xml:space="preserve">, Alan De </w:t>
      </w:r>
      <w:proofErr w:type="spellStart"/>
      <w:r w:rsidRPr="00DC7CE3">
        <w:rPr>
          <w:color w:val="000000"/>
          <w:sz w:val="22"/>
          <w:szCs w:val="29"/>
          <w:shd w:val="clear" w:color="auto" w:fill="FFFFFF"/>
        </w:rPr>
        <w:t>Bromhead</w:t>
      </w:r>
      <w:proofErr w:type="spellEnd"/>
      <w:r w:rsidRPr="00DC7CE3">
        <w:rPr>
          <w:color w:val="000000"/>
          <w:sz w:val="22"/>
          <w:szCs w:val="29"/>
          <w:shd w:val="clear" w:color="auto" w:fill="FFFFFF"/>
        </w:rPr>
        <w:t xml:space="preserve">, 'Representation of the people: Franchise extension and the "Sinn </w:t>
      </w:r>
      <w:proofErr w:type="spellStart"/>
      <w:r w:rsidRPr="00DC7CE3">
        <w:rPr>
          <w:color w:val="000000"/>
          <w:sz w:val="22"/>
          <w:szCs w:val="29"/>
          <w:shd w:val="clear" w:color="auto" w:fill="FFFFFF"/>
        </w:rPr>
        <w:t>Féin</w:t>
      </w:r>
      <w:proofErr w:type="spellEnd"/>
      <w:r w:rsidRPr="00DC7CE3">
        <w:rPr>
          <w:color w:val="000000"/>
          <w:sz w:val="22"/>
          <w:szCs w:val="29"/>
          <w:shd w:val="clear" w:color="auto" w:fill="FFFFFF"/>
        </w:rPr>
        <w:t xml:space="preserve"> election" in Ireland, 1918', </w:t>
      </w:r>
      <w:r w:rsidRPr="00DC7CE3">
        <w:rPr>
          <w:i/>
          <w:iCs/>
          <w:color w:val="000000"/>
          <w:sz w:val="22"/>
          <w:szCs w:val="29"/>
          <w:shd w:val="clear" w:color="auto" w:fill="FFFFFF"/>
        </w:rPr>
        <w:t xml:space="preserve">De </w:t>
      </w:r>
      <w:proofErr w:type="spellStart"/>
      <w:r w:rsidRPr="00DC7CE3">
        <w:rPr>
          <w:i/>
          <w:iCs/>
          <w:color w:val="000000"/>
          <w:sz w:val="22"/>
          <w:szCs w:val="29"/>
          <w:shd w:val="clear" w:color="auto" w:fill="FFFFFF"/>
        </w:rPr>
        <w:t>Bromhead</w:t>
      </w:r>
      <w:proofErr w:type="spellEnd"/>
      <w:r w:rsidRPr="00DC7CE3">
        <w:rPr>
          <w:i/>
          <w:iCs/>
          <w:color w:val="000000"/>
          <w:sz w:val="22"/>
          <w:szCs w:val="29"/>
          <w:shd w:val="clear" w:color="auto" w:fill="FFFFFF"/>
        </w:rPr>
        <w:t>, Alan</w:t>
      </w:r>
      <w:r w:rsidRPr="00DC7CE3">
        <w:rPr>
          <w:color w:val="000000"/>
          <w:sz w:val="22"/>
          <w:szCs w:val="29"/>
          <w:shd w:val="clear" w:color="auto" w:fill="FFFFFF"/>
        </w:rPr>
        <w:t>, 2018.8, (2018).</w:t>
      </w:r>
    </w:p>
  </w:footnote>
  <w:footnote w:id="15">
    <w:p w:rsidR="000D59DC" w:rsidRPr="00D03CC8" w:rsidRDefault="000D59DC">
      <w:pPr>
        <w:pStyle w:val="FootnoteText"/>
        <w:rPr>
          <w:lang w:val="en-US"/>
        </w:rPr>
      </w:pPr>
      <w:r>
        <w:rPr>
          <w:rStyle w:val="FootnoteReference"/>
        </w:rPr>
        <w:footnoteRef/>
      </w:r>
      <w:r>
        <w:t xml:space="preserve"> </w:t>
      </w:r>
      <w:r w:rsidRPr="00D03CC8">
        <w:rPr>
          <w:color w:val="000000"/>
          <w:sz w:val="22"/>
          <w:szCs w:val="29"/>
          <w:shd w:val="clear" w:color="auto" w:fill="FFFFFF"/>
        </w:rPr>
        <w:t xml:space="preserve">Frederic A. </w:t>
      </w:r>
      <w:proofErr w:type="spellStart"/>
      <w:r w:rsidRPr="00D03CC8">
        <w:rPr>
          <w:color w:val="000000"/>
          <w:sz w:val="22"/>
          <w:szCs w:val="29"/>
          <w:shd w:val="clear" w:color="auto" w:fill="FFFFFF"/>
        </w:rPr>
        <w:t>Ogg</w:t>
      </w:r>
      <w:proofErr w:type="spellEnd"/>
      <w:r w:rsidRPr="00D03CC8">
        <w:rPr>
          <w:color w:val="000000"/>
          <w:sz w:val="22"/>
          <w:szCs w:val="29"/>
          <w:shd w:val="clear" w:color="auto" w:fill="FFFFFF"/>
        </w:rPr>
        <w:t>, 'The British Representation of the People Act', </w:t>
      </w:r>
      <w:proofErr w:type="gramStart"/>
      <w:r w:rsidRPr="00D03CC8">
        <w:rPr>
          <w:i/>
          <w:iCs/>
          <w:color w:val="000000"/>
          <w:sz w:val="22"/>
          <w:szCs w:val="29"/>
          <w:shd w:val="clear" w:color="auto" w:fill="FFFFFF"/>
        </w:rPr>
        <w:t>The</w:t>
      </w:r>
      <w:proofErr w:type="gramEnd"/>
      <w:r w:rsidRPr="00D03CC8">
        <w:rPr>
          <w:i/>
          <w:iCs/>
          <w:color w:val="000000"/>
          <w:sz w:val="22"/>
          <w:szCs w:val="29"/>
          <w:shd w:val="clear" w:color="auto" w:fill="FFFFFF"/>
        </w:rPr>
        <w:t xml:space="preserve"> American Political Science Review</w:t>
      </w:r>
      <w:r w:rsidRPr="00D03CC8">
        <w:rPr>
          <w:color w:val="000000"/>
          <w:sz w:val="22"/>
          <w:szCs w:val="29"/>
          <w:shd w:val="clear" w:color="auto" w:fill="FFFFFF"/>
        </w:rPr>
        <w:t>, 12.3, (1918), 498-503.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02A3"/>
    <w:rsid w:val="000009FE"/>
    <w:rsid w:val="00003264"/>
    <w:rsid w:val="000058D2"/>
    <w:rsid w:val="00035CC5"/>
    <w:rsid w:val="000572FB"/>
    <w:rsid w:val="000D59DC"/>
    <w:rsid w:val="001044A4"/>
    <w:rsid w:val="001060F5"/>
    <w:rsid w:val="00115182"/>
    <w:rsid w:val="00171A10"/>
    <w:rsid w:val="002057CB"/>
    <w:rsid w:val="00210088"/>
    <w:rsid w:val="00253D42"/>
    <w:rsid w:val="002F1569"/>
    <w:rsid w:val="003502A3"/>
    <w:rsid w:val="0041018C"/>
    <w:rsid w:val="00446576"/>
    <w:rsid w:val="00450632"/>
    <w:rsid w:val="00461A72"/>
    <w:rsid w:val="0047449C"/>
    <w:rsid w:val="00486087"/>
    <w:rsid w:val="004E4ED3"/>
    <w:rsid w:val="00506231"/>
    <w:rsid w:val="00512D56"/>
    <w:rsid w:val="00526E7B"/>
    <w:rsid w:val="00552320"/>
    <w:rsid w:val="005D24B9"/>
    <w:rsid w:val="00651B25"/>
    <w:rsid w:val="00684C8B"/>
    <w:rsid w:val="00696ED8"/>
    <w:rsid w:val="006D2B76"/>
    <w:rsid w:val="006F499A"/>
    <w:rsid w:val="00701718"/>
    <w:rsid w:val="007467DB"/>
    <w:rsid w:val="0076091F"/>
    <w:rsid w:val="007A3138"/>
    <w:rsid w:val="007B7F4B"/>
    <w:rsid w:val="007F5944"/>
    <w:rsid w:val="008167E8"/>
    <w:rsid w:val="0083690F"/>
    <w:rsid w:val="00841B91"/>
    <w:rsid w:val="00850D74"/>
    <w:rsid w:val="00882178"/>
    <w:rsid w:val="008A1C5B"/>
    <w:rsid w:val="008D7A43"/>
    <w:rsid w:val="0094725D"/>
    <w:rsid w:val="009B408A"/>
    <w:rsid w:val="00A170D2"/>
    <w:rsid w:val="00A17D6F"/>
    <w:rsid w:val="00A42F62"/>
    <w:rsid w:val="00A445C4"/>
    <w:rsid w:val="00A60581"/>
    <w:rsid w:val="00A901C2"/>
    <w:rsid w:val="00B02E00"/>
    <w:rsid w:val="00B279F1"/>
    <w:rsid w:val="00BA569E"/>
    <w:rsid w:val="00BB5820"/>
    <w:rsid w:val="00BE3FCB"/>
    <w:rsid w:val="00C312CE"/>
    <w:rsid w:val="00CB7098"/>
    <w:rsid w:val="00D03CC8"/>
    <w:rsid w:val="00D21DF5"/>
    <w:rsid w:val="00D41D51"/>
    <w:rsid w:val="00D71D2F"/>
    <w:rsid w:val="00DA3C65"/>
    <w:rsid w:val="00DC7CE3"/>
    <w:rsid w:val="00DD2CDB"/>
    <w:rsid w:val="00DD50F9"/>
    <w:rsid w:val="00DD546D"/>
    <w:rsid w:val="00E05334"/>
    <w:rsid w:val="00E619EF"/>
    <w:rsid w:val="00E86614"/>
    <w:rsid w:val="00E932D5"/>
    <w:rsid w:val="00EA2DF6"/>
    <w:rsid w:val="00EF36F0"/>
    <w:rsid w:val="00F35639"/>
    <w:rsid w:val="00F75FE6"/>
    <w:rsid w:val="00FB7C95"/>
    <w:rsid w:val="00FE2D22"/>
    <w:rsid w:val="00FE79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D40EC4B-5462-42BA-AD71-486B00AC4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D50F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D50F9"/>
    <w:rPr>
      <w:sz w:val="20"/>
      <w:szCs w:val="20"/>
    </w:rPr>
  </w:style>
  <w:style w:type="character" w:styleId="FootnoteReference">
    <w:name w:val="footnote reference"/>
    <w:basedOn w:val="DefaultParagraphFont"/>
    <w:uiPriority w:val="99"/>
    <w:semiHidden/>
    <w:unhideWhenUsed/>
    <w:rsid w:val="00DD50F9"/>
    <w:rPr>
      <w:vertAlign w:val="superscript"/>
    </w:rPr>
  </w:style>
  <w:style w:type="paragraph" w:styleId="ListParagraph">
    <w:name w:val="List Paragraph"/>
    <w:basedOn w:val="Normal"/>
    <w:uiPriority w:val="34"/>
    <w:qFormat/>
    <w:rsid w:val="005523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99FABCE-A38E-475A-A192-4FBBB30AB3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2469</TotalTime>
  <Pages>8</Pages>
  <Words>2689</Words>
  <Characters>13876</Characters>
  <Application>Microsoft Office Word</Application>
  <DocSecurity>0</DocSecurity>
  <Lines>261</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Smith</dc:creator>
  <cp:keywords/>
  <dc:description/>
  <cp:lastModifiedBy>Lucy Smith</cp:lastModifiedBy>
  <cp:revision>57</cp:revision>
  <dcterms:created xsi:type="dcterms:W3CDTF">2019-10-29T13:24:00Z</dcterms:created>
  <dcterms:modified xsi:type="dcterms:W3CDTF">2019-11-22T18:01:00Z</dcterms:modified>
</cp:coreProperties>
</file>