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F1F38" w14:textId="77777777" w:rsidR="001F0CE9" w:rsidRPr="00CE626D" w:rsidRDefault="001F0CE9" w:rsidP="00CE626D">
      <w:pPr>
        <w:pStyle w:val="NormalWeb"/>
        <w:spacing w:before="0" w:beforeAutospacing="0" w:after="0" w:afterAutospacing="0"/>
        <w:jc w:val="center"/>
        <w:rPr>
          <w:color w:val="1C1E29"/>
          <w:sz w:val="28"/>
          <w:szCs w:val="28"/>
        </w:rPr>
      </w:pPr>
      <w:r w:rsidRPr="00CE626D">
        <w:rPr>
          <w:color w:val="1C1E29"/>
          <w:sz w:val="28"/>
          <w:szCs w:val="28"/>
        </w:rPr>
        <w:t>Critically evaluate how drug and alcohol consumption can influence performance on cognitive tasks.</w:t>
      </w:r>
    </w:p>
    <w:p w14:paraId="555271D2" w14:textId="77777777" w:rsidR="00CE626D" w:rsidRDefault="00CE626D" w:rsidP="00CE626D">
      <w:pPr>
        <w:pStyle w:val="NormalWeb"/>
        <w:spacing w:before="0" w:beforeAutospacing="0" w:after="0" w:afterAutospacing="0" w:line="480" w:lineRule="auto"/>
        <w:ind w:left="170" w:firstLine="720"/>
        <w:rPr>
          <w:color w:val="1C1E29"/>
        </w:rPr>
      </w:pPr>
    </w:p>
    <w:p w14:paraId="17ED6E3B" w14:textId="33CC3D76" w:rsidR="001F0CE9" w:rsidRDefault="001F0CE9" w:rsidP="00CE626D">
      <w:pPr>
        <w:pStyle w:val="NormalWeb"/>
        <w:spacing w:before="0" w:beforeAutospacing="0" w:after="0" w:afterAutospacing="0" w:line="480" w:lineRule="auto"/>
        <w:ind w:left="170" w:firstLine="720"/>
        <w:rPr>
          <w:color w:val="1C1E29"/>
        </w:rPr>
      </w:pPr>
      <w:r>
        <w:rPr>
          <w:color w:val="1C1E29"/>
        </w:rPr>
        <w:t>Drugs are ant substance containing an active ingredient that can alter an individual’s psychological or physiological state (Howell et al., 2019). Biologically drugs change the way that neurons interact by directly or indirectly affecting the regulatory processes of synapses. They can affect the pre-synaptic processes, by disturbing the release and storage of the neurotransmitters, processes of the axon and the synthesis of neurotransmitter. The synaptic cleft and post-synaptic processes are effected during the reuptake and inactivation mechanisms of the neurotransmitter, activation of receptor molecules and the activity of the secondary massager system. Drugs can either increase, decrease or block the activity of a given neurotransmitter depending on the chemical compounds of the drug consumed (Esgate, 2005). There are legal drugs such as Nicotine, Caffeine and Alcohol, illicit drugs such as Heroin, Ecstasy and Cannabis and controlled drugs such as Diazepam. Drugs are categorised like this because of the effects their active ingredients have on the central nervous system</w:t>
      </w:r>
      <w:r w:rsidR="00CE626D">
        <w:rPr>
          <w:color w:val="1C1E29"/>
        </w:rPr>
        <w:t xml:space="preserve"> (Maxwell, 2005)</w:t>
      </w:r>
      <w:r>
        <w:rPr>
          <w:color w:val="1C1E29"/>
        </w:rPr>
        <w:t>. It is strongly important to understand psychologically the effect all drugs have on individuals cognitive abilities and how they affect brain structure and cognitive performance by using them as research tools to help regulatory infrastructures maintain a high standard, ethically acceptable and safe approach to deliverance and service of health care throughout communities around the world</w:t>
      </w:r>
      <w:r w:rsidR="00CE626D">
        <w:rPr>
          <w:color w:val="1C1E29"/>
        </w:rPr>
        <w:t xml:space="preserve"> (</w:t>
      </w:r>
      <w:r w:rsidR="00CE626D" w:rsidRPr="00CE626D">
        <w:rPr>
          <w:color w:val="1C1E29"/>
        </w:rPr>
        <w:t>Berman</w:t>
      </w:r>
      <w:r w:rsidR="00CE626D">
        <w:rPr>
          <w:color w:val="1C1E29"/>
        </w:rPr>
        <w:t xml:space="preserve"> &amp; </w:t>
      </w:r>
      <w:r w:rsidR="00CE626D" w:rsidRPr="00CE626D">
        <w:rPr>
          <w:color w:val="1C1E29"/>
        </w:rPr>
        <w:t>Marinkovic</w:t>
      </w:r>
      <w:bookmarkStart w:id="0" w:name="_GoBack"/>
      <w:bookmarkEnd w:id="0"/>
      <w:r w:rsidR="00CE626D">
        <w:rPr>
          <w:color w:val="1C1E29"/>
        </w:rPr>
        <w:t>, 2003).</w:t>
      </w:r>
      <w:r>
        <w:rPr>
          <w:color w:val="1C1E29"/>
        </w:rPr>
        <w:t xml:space="preserve"> Legal drugs are seen in society as socially acceptable, a way of releasing stress like alcohol or fighting fatigue like caffeine.</w:t>
      </w:r>
    </w:p>
    <w:p w14:paraId="0AAA7A78"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Alcohol behaves predominantly as a central nerves system depressant (Matthews et al., 2000). One of the main motives for consuming alcohol seems to be as a way to decrease pressure (Cappell, 1987). Many reviews of alcohols influence on performance report findings of negative effects (Collins &amp; Chiles, 1980; Finnigan &amp; Hammersley, 1982). </w:t>
      </w:r>
      <w:r>
        <w:rPr>
          <w:color w:val="1C1E29"/>
        </w:rPr>
        <w:lastRenderedPageBreak/>
        <w:t>Williamson and colleges (2001) found that alcohol had an effect on cognitive performance for expanded periods, including reaction time, vigilance, visual searches and logical reasoning. Findings suggest that alcohol also damages cognitive performances of attention, psychomotor speed, tracking, working memory and cognitive flexibility (Matthews &amp; Silver, 2004; Mintzer, 2007; Filmore, 2011; Dry et al., 2012).</w:t>
      </w:r>
    </w:p>
    <w:p w14:paraId="49290770"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Cowan and colleagues (2007) investigated the impact of alcohol on several working memory (WM) tasks to compare particular WM processes and their susceptibility to alcohols interference. They aimed to distinguish between WM processes and detect particular processes that are more delicate to alcohol intake. Their findings suggest a likelihood that alcohol harms memory for sequences compared to arrays by causing deficits in mnemonic processes involved in rehearsal. They found that alcohol effected tasks requiring concentrated attention and failed to show an effect on divided or sustained attention. This suggests that alcohol had no impact on executive processes involved in control or allocation associated with divided and sustained attention but rather the effect on mnemonic processes of WM could explain the impairment shown for concentrated attention. A recent study investigating the effects of alcohol on drivers and performance while driving measured participants subjective feeling, driving performance and blood alcohol concentrate (BAC) while driving on a straight road in a simulated driving task and found that there is a linear gradual increase in the accident rate and BAC level recorded and also suggested that alcohol had significant negative effects on drivers, reasoning, judgement, vigilance, reaction and control ( Zhao et al., 2014).Earlier research suggested that the processes accountable for the loss of safety were not clear and that one reason could be impairment of divide attention (Landauer &amp; Howat, 1983).  </w:t>
      </w:r>
    </w:p>
    <w:p w14:paraId="460F3638"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Interesting findings of a study measuring explicit attitudes to driving after consuming alcohol using working memory capacity (WMC) as a moderator of the </w:t>
      </w:r>
      <w:r>
        <w:rPr>
          <w:color w:val="1C1E29"/>
        </w:rPr>
        <w:lastRenderedPageBreak/>
        <w:t>association between attitudes, drinking and driving suggested that an association between perceived danger and drink driving behaviour is stronger for individuals with higher WMC. This was achieved by recording participants levels of capacity within working memory and randomly assigning participants into alcohol consumption and a placebo condition and measuring ratings by participants of the perceived danger and the level of intoxication to attitudes of driving ability. It was found that individuals in the alcohol condition with higher levels of WMC and lower perceived danger was strongly associated with higher drink driving rates. These findings show the importance of interventions with legislation regarding drink driving on society. Moreover, accident risk while driving is suggested to rise as the level of alcohol consumption rises (Matthew et al., 2000). Alcohol was also found to effect drivers’ cognition, judgement, vigilance, reaction and attention. Chamberlan and Solloman (2002) suggest that even low levels of alcohol consumption significantly effected skills related to driving, such as vigilance, braking behaviour and vision.</w:t>
      </w:r>
    </w:p>
    <w:p w14:paraId="509FD6B6"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Resource theory (Tornblom et al., 2012) suggests alcohol should have harmful effects on divided attention. Maylor and colleges (1990) investigated the ability of participants to detect tones during a tracking task compared to their ability to complete a tracking task alone while alcohol was consumed. They found that alcohol effected the reaction time while detecting the tone during the dual-task performance more so than the ability to complete the tracking task alone. These findings suggest that the previous literature showed an accurate assessment of the effects alcohol has on human performance. A study investigating cognitive performance on selected and divided attention tasks in sober alcoholics using a between-groups design comparing sober alcoholics and a non-alcoholic control group found that on comparison when measured on three attention tasks there was a significant impairment on the divided attention task and selection based on semantic information via a Stroop test (see, for example, Scarpina et al., 2017), but normal </w:t>
      </w:r>
      <w:r>
        <w:rPr>
          <w:color w:val="1C1E29"/>
        </w:rPr>
        <w:lastRenderedPageBreak/>
        <w:t>performance patterns recorded on a measure for selected attention in the alcoholic group compared to the non-alcoholic group (Tedstone, 2004). Researchers also measured driving performance, response time and accuracy of an additional task to evaluate whether driving impairment linked to alcohol consumption and divided attention is greater in novice or experienced drivers. Participants were asked to perform a divided attention task along with side the main task which was to follow a car in front. they measured three different BAC levels on three different sessions. The results indicated that driving impairment was recorded at the highest level of BAC which was 0.5g/l more so for novice drivers and impairment was recorded for all drivers during the divided attention task. It was also recorded that information processing accuracy was negatively affected (Freydier et al., 2014). Furthermore, a recent meta-analysis of research into the effects alcohol has on a wide range of performance outcomes during simulated driving tasks concluded that driving performance is almost always impaired when acute alcohol consumption occurs (Irwin et al., 2017). Although, it has also been suggested that long-term low to moderate alcohol consumption protects against dementia and cognitive ageing (</w:t>
      </w:r>
      <w:hyperlink r:id="rId5" w:anchor="B32" w:tgtFrame="_blank" w:history="1">
        <w:r>
          <w:rPr>
            <w:rStyle w:val="Hyperlink"/>
            <w:color w:val="4A6EE0"/>
          </w:rPr>
          <w:t>Peters et al., 2008</w:t>
        </w:r>
      </w:hyperlink>
      <w:r>
        <w:rPr>
          <w:color w:val="1C1E29"/>
        </w:rPr>
        <w:t>; </w:t>
      </w:r>
      <w:hyperlink r:id="rId6" w:anchor="B2" w:tgtFrame="_blank" w:history="1">
        <w:r>
          <w:rPr>
            <w:rStyle w:val="Hyperlink"/>
            <w:color w:val="4A6EE0"/>
          </w:rPr>
          <w:t>Anstey et al., 2009</w:t>
        </w:r>
      </w:hyperlink>
      <w:r>
        <w:rPr>
          <w:color w:val="1C1E29"/>
        </w:rPr>
        <w:t>). However, A longitudinal observation study conducted by Topiwala and colleagues (2017) over a thirty-year period investigating whether moderate alcohol consumption on a weekly basis had unfavourable, beneficial or no relationship with brain structure (including hippocampal atrophy, grey matter density, and white matter microstructure) or functioning (cognitive decline) found that moderate to higher levels of consumption was associated with higher rates of cognitive decline and hippocampal atrophy and no supportive evidence to suggest that light levels of consumption enhanced performance or protected against adverse cognitive outcomes compared to non-drinkers.</w:t>
      </w:r>
    </w:p>
    <w:p w14:paraId="1EFCF230"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 Many drugs have been used in an attempt to enhance performance however, caffeine has been researched widely enough to warrant a reasonably accurate assessment of </w:t>
      </w:r>
      <w:r>
        <w:rPr>
          <w:color w:val="1C1E29"/>
        </w:rPr>
        <w:lastRenderedPageBreak/>
        <w:t>the effects it has on performance and enhancement (Weiss &amp; Laties, 1962). A stimulant that effects the central nervous system caffeine yields many physiological, behavioural and affective effects. These effects have measured such psychological phenomena as cognitive processing and psychomotor functioning through reaction time, simulated driving tasks and divided attention (Gupta &amp; Gupta, 1999). The overarching view of caffeine is that it has a positive influence on mental alertness and vigilance (Lieberman, 1992 &amp; 2001; Smith, 2002). Furthermore, caffeine may have a positive influence on relatively higher-order processes such as visual selective attention (Wieleman, Ziegers &amp; Verbaten, 1999; Ruijter, De Ruijter &amp; Snel, 2000). A standing argument for the reason individuals’ consumes caffeine frequently is that the physical body and the mind have limitations on how long and how effective they can continue to perform a task requiring a high rate of energy output (Weiss &amp; Laties, 1962).</w:t>
      </w:r>
    </w:p>
    <w:p w14:paraId="68E3EEC1"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In a double-blind study using a repeated measures design Liberman (2010) examined the effects of four different doses of caffeine ranging from 0mg to 400mg on high- and low-level visual attention in individuals with high levels of caffeine intake daily. The findings suggest that between 200mg and 400mg of caffeine enhances both vigilance and the executive control of visual attention in participants with low caffeine intake. Although, these results were primarily recorded in the highest administered dose of caffeine at 400mg. This study showed that habitual caffeine consumers can produce positive differences in visual attention tasks dependent on the volume of exposer. Resulting in implications for the theorized interactions between adenosine and dopamine in brain regions mediating visual attention. On the country, Tieges and colleges (2010) reported finding that suggests caffeine consumption does not have a significant effect on response inhibition and does not reduce interference on a variety of inhibitory tasks. Participants were involved in a three-double blind, placebo-controlled, within-subjects experiments </w:t>
      </w:r>
      <w:r>
        <w:rPr>
          <w:color w:val="1C1E29"/>
        </w:rPr>
        <w:lastRenderedPageBreak/>
        <w:t>including a stop-signal task, a flanker task and a cue go/no go paradigm. Taken together, these experiments showed that both active and reactive inhibition were not signiﬁcantly modulated by caffeine. However, Convincing evidence showed that caffeine might modulate the inhibitory control of attention particularly on visual selective attention tasks and resolves conflict on the Stroop test (Kahneman, 1999). Results are mixed with regards to caffeine effects on higher-order control processes. Several methodological depictions might account for such inconsistent results, caffeine dose used in previous work may not have been large enough to elicit effects on habitual caffeine consumption taken by an individual daily 200mg may not be stuffiest to elicit a response (Tieges et al, 2009).</w:t>
      </w:r>
    </w:p>
    <w:p w14:paraId="0B4B61B8" w14:textId="77777777" w:rsidR="001F0CE9" w:rsidRDefault="001F0CE9" w:rsidP="00CE626D">
      <w:pPr>
        <w:pStyle w:val="NormalWeb"/>
        <w:spacing w:before="0" w:beforeAutospacing="0" w:after="0" w:afterAutospacing="0" w:line="480" w:lineRule="auto"/>
        <w:ind w:left="170" w:firstLine="720"/>
        <w:rPr>
          <w:color w:val="1C1E29"/>
        </w:rPr>
      </w:pPr>
    </w:p>
    <w:p w14:paraId="65F09021"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  Furthermore, Numerous findings have revealed that caffeine decreases response times, error rates in choice reaction (see for example, Speckman &amp; Tulley, 2005), reaction time tasks (see for example, Wesensten, Killgore &amp; Balkon, 2005) and effects visual attention processes (see for example, Lieberman et al, 2002). Additionally, investigations into the effects of selective attention to colour, Ruijter (2000) measured event-relevant potentials of 11 participants who consumed 250mg of caffeine or a placebo. They were directed to selectively attend to stimuli with a particular colour and react to the occurrence of the target colour within different tasks including the target and non-relevant stimuli. The findings suggest that in the caffeine condition higher rate reaction times were shown and it was suggested that caffeine yielded a higher level of arousal in general and effected motor processes and processing of attended to and unattended to information was more acute. Additionally, during a placebo-controlled double-blind study using a repeated measures design, investigating the effects of caffeine dose at 0mg, 100, 200mg, 400mg on a flanker task designed to test three visual attention network functions alerting, orientation and executive control (Piosner, 2004). Researchers found that the effects of caffeine on visual </w:t>
      </w:r>
      <w:r>
        <w:rPr>
          <w:color w:val="1C1E29"/>
        </w:rPr>
        <w:lastRenderedPageBreak/>
        <w:t>attention vary as a function of dose and the attention network under investigation. Caffeine was shown to enhance alertness and executive control function in a dose/response manner. Higher doses of caffeine stimulated visual attention for cued sections during task performance. Results of this study demonstrate that caffeine has varied effects on visual attention network as a function of dose. Such effects were found to have implications of caffeine, adenosine and dopamine in the brain areas mediating visual attention (Brunye et al., 2010).</w:t>
      </w:r>
    </w:p>
    <w:p w14:paraId="58D63C58"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Additional research found caffeine has the ability to block adenosine A1 receptors, which is a property shared with other psychostimulants and results in improvements in certain processes commonly associated to the antagonistic role at adenosine and A1 receptors in dopamine-rich brain regions witch stimulate dopaminergic activity and pronounce motor activity (Garrett &amp; Griffith, 1997; Popoli, Reggioi, Pezzola, Fuxe &amp; Ferre, 1998; Solinas, Ferre, You, Karcz, Kubicha, Popoli &amp; Goldberg, 2000).</w:t>
      </w:r>
    </w:p>
    <w:p w14:paraId="2DD5ED90" w14:textId="77777777" w:rsidR="001F0CE9" w:rsidRDefault="001F0CE9" w:rsidP="00CE626D">
      <w:pPr>
        <w:pStyle w:val="NormalWeb"/>
        <w:spacing w:before="0" w:beforeAutospacing="0" w:after="0" w:afterAutospacing="0" w:line="480" w:lineRule="auto"/>
        <w:ind w:left="170" w:firstLine="720"/>
        <w:rPr>
          <w:color w:val="1C1E29"/>
        </w:rPr>
      </w:pPr>
    </w:p>
    <w:p w14:paraId="03076EE1"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Furthermore, individuals inhibitory control suggests that caffeine can reduce interference costs during visual selective attention tasks. A single dose of caffeine was evaluated in a focused condition and divided condition. Participants were required to perform controlled search processes to locate a target item which was manipulated by a varying display load. 3mg of caffeine was administered in liquid form (Coffee) and to abstinent coffee drinkers without their knowledge double-blindly. Participant reaction times were recorded as faster in the caffeine condition compared to the placebo condition. Peak latency was found to decrease after caffeine ingestion in the low display load condition and the focused attention condition. These findings suggest that the effect of the number of relevant display items per load in the search task is dependent on caffeine intake (Lorist, Snel, Kok &amp; Mulder, 1994; 1996).  </w:t>
      </w:r>
    </w:p>
    <w:p w14:paraId="4F355EBE" w14:textId="77777777" w:rsidR="001F0CE9" w:rsidRDefault="001F0CE9" w:rsidP="00CE626D">
      <w:pPr>
        <w:pStyle w:val="NormalWeb"/>
        <w:spacing w:before="0" w:beforeAutospacing="0" w:after="0" w:afterAutospacing="0" w:line="480" w:lineRule="auto"/>
        <w:ind w:left="170" w:firstLine="720"/>
        <w:rPr>
          <w:color w:val="1C1E29"/>
        </w:rPr>
      </w:pPr>
      <w:r>
        <w:rPr>
          <w:color w:val="1C1E29"/>
        </w:rPr>
        <w:lastRenderedPageBreak/>
        <w:t>  Many studies have examined the behavioural effects of caffeine in laboratory conditions using artificial tasks. An investigation of the effects caffeine has on a simulated driving task found that 3mg of caffeine administered improved steering accuracy in a one-hour task. Measures of mood and performance also showed that caffeine had a positive effect on prolonged performance. These findings suggest that caffeine does have a positive effect on arousal and fatigue in prolonged hours of continuous tasks (Brice &amp; Smith, 2001).</w:t>
      </w:r>
    </w:p>
    <w:p w14:paraId="4D8070EC"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Weiss and Laties (1962) provide an extensive review of behavioural effects caffeine produces and concluded caffeine to have diverse effects on psychomotor and cognitive performance. As these findings are equivocal it is tough to account for its influences on behaviour. Further findings suggest no detectable behavioural effect was recorded between caffeine dose range of 200mg- 300mg while there are also findings suggesting inconsistencies within this dose range (Gupta &amp; Gupta, 2019).</w:t>
      </w:r>
    </w:p>
    <w:p w14:paraId="5378ECAB"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 xml:space="preserve">In conclusion, explanations of inconsistencies focus on discrepancies in the methodologies and measures used to evaluate behavioural effects of caffeine and alcohol. The limitations of the research suggest that inferring processes involved in the psychological effects of drugs. It is argued when the neurotransmitters are known, neurons using any given neurotransmitter partake in an array of brain systems which interact in complicated ways with other systems which makes it difficult to assess the exact regions of the brain that are being effected by alcohol and drugs use. Also, the kinds of behavioural tasks and testing methods are varied and differ in their understandings to drug effects. Furthermore, in real life individuals have expectancies of the experiences they are about to encounter, and these expectancies can influence the behaviour they display in the situation they are involved with. Therefore, double-blind designs may not accurately effects in real life. Additionally, in a 2x2 factorial design investigation examining independent and interactive effects, caffeine has on performance and subjective outcomes compared to a </w:t>
      </w:r>
      <w:r>
        <w:rPr>
          <w:color w:val="1C1E29"/>
        </w:rPr>
        <w:lastRenderedPageBreak/>
        <w:t>placebo condition gave participants differing instructions on the intake of either a placebo containing zero caffeine or a coffee containing 280mg of caffeine. Participants were instructed that the caffeine would either enhance or impair performance. The findings suggest that caffeine improved vigilance through measurement of reaction time, accuracy on a rapid visual information processing task and psychomotor performance measured through a finger-tapping task. They also find a significant interaction between the dosage of caffeine and expectancy. In the placebo condition participants performed better when instructed that the caffeine would impair their performance compared to participants told it would enhance performance. The interaction between doses and expectancy may reflect compensatory responding as has been observed in alcohol studies (Fillmore et al 1994). Learning theory proposes that expectancy represents information acquired about a reliable association between events (Allport, 1961).</w:t>
      </w:r>
    </w:p>
    <w:p w14:paraId="611C3B47" w14:textId="77777777" w:rsidR="001F0CE9" w:rsidRDefault="001F0CE9" w:rsidP="00CE626D">
      <w:pPr>
        <w:pStyle w:val="NormalWeb"/>
        <w:spacing w:before="0" w:beforeAutospacing="0" w:after="0" w:afterAutospacing="0" w:line="480" w:lineRule="auto"/>
        <w:ind w:left="170" w:firstLine="720"/>
        <w:rPr>
          <w:color w:val="1C1E29"/>
        </w:rPr>
      </w:pPr>
      <w:r>
        <w:rPr>
          <w:color w:val="1C1E29"/>
        </w:rPr>
        <w:t>Moreover, Individual differences related to the types of effect of drugs. Participants who expected caffeine to produce the most improvement displayed the best performance under a placebo condition. This evidence demonstrates that when participants believed they consumed caffeine their expectancies of the effects had predictive powers regarding their performance when the drug was not administrated. Releasing the argument that the relationship between expectancies and responses to caffeine is a novel and important finding (Temple, 2017). The results extend the previous findings with alcohol studies showing that drug-related expectancies also predict individual differences in response to caffeine studies use only caffeine placebo to obtain a pure measure of the expected drug effect on behaviour when caffeine was expected but not administered (Winkler, 2019).</w:t>
      </w:r>
    </w:p>
    <w:p w14:paraId="68086675" w14:textId="77777777" w:rsidR="004C4C2B" w:rsidRDefault="004C4C2B" w:rsidP="004C4C2B"/>
    <w:p w14:paraId="3B1B5265" w14:textId="77777777" w:rsidR="004C4C2B" w:rsidRPr="0035711B" w:rsidRDefault="004C4C2B" w:rsidP="0032766A">
      <w:pPr>
        <w:spacing w:line="480" w:lineRule="auto"/>
        <w:ind w:firstLine="720"/>
      </w:pPr>
    </w:p>
    <w:p w14:paraId="1FFF7F3B" w14:textId="75E7C190" w:rsidR="0035711B" w:rsidRPr="00882824" w:rsidRDefault="0035711B" w:rsidP="00882824">
      <w:pPr>
        <w:spacing w:line="480" w:lineRule="auto"/>
        <w:ind w:left="360" w:firstLine="720"/>
      </w:pPr>
    </w:p>
    <w:p w14:paraId="0F8A8991" w14:textId="79D221CA" w:rsidR="002C3F63" w:rsidRPr="005134B1" w:rsidRDefault="00EB7F22" w:rsidP="00F8013C">
      <w:pPr>
        <w:ind w:left="720"/>
      </w:pPr>
      <w:r>
        <w:lastRenderedPageBreak/>
        <w:t xml:space="preserve"> </w:t>
      </w:r>
    </w:p>
    <w:p w14:paraId="06A427E9" w14:textId="50CC2D88" w:rsidR="007A7754" w:rsidRPr="007A7754" w:rsidRDefault="007A7754" w:rsidP="00BD5784">
      <w:pPr>
        <w:ind w:left="720"/>
      </w:pPr>
    </w:p>
    <w:p w14:paraId="08F4C63C" w14:textId="629BBCC1" w:rsidR="00172574" w:rsidRDefault="00172574" w:rsidP="00147D14"/>
    <w:p w14:paraId="5FA7D911" w14:textId="77777777" w:rsidR="00776B51" w:rsidRDefault="00776B51" w:rsidP="00147D14"/>
    <w:p w14:paraId="289F1968" w14:textId="77777777" w:rsidR="00776B51" w:rsidRDefault="00776B51" w:rsidP="00147D14"/>
    <w:p w14:paraId="39CF5C9B" w14:textId="77777777" w:rsidR="00776B51" w:rsidRDefault="00776B51" w:rsidP="00147D14">
      <w:pPr>
        <w:rPr>
          <w:color w:val="FF0000"/>
        </w:rPr>
      </w:pPr>
    </w:p>
    <w:p w14:paraId="45C2CE80" w14:textId="77777777" w:rsidR="001B6BB6" w:rsidRDefault="001B6BB6" w:rsidP="00147D14">
      <w:pPr>
        <w:rPr>
          <w:color w:val="FF0000"/>
        </w:rPr>
      </w:pPr>
    </w:p>
    <w:p w14:paraId="00FE1E7E" w14:textId="31F71E20" w:rsidR="00794B34" w:rsidRPr="00794B34" w:rsidRDefault="00794B34" w:rsidP="00794B34">
      <w:pPr>
        <w:rPr>
          <w:color w:val="FF0000"/>
        </w:rPr>
      </w:pPr>
    </w:p>
    <w:p w14:paraId="7F211C68" w14:textId="2FE46F1D" w:rsidR="00F3202B" w:rsidRPr="00F3202B" w:rsidRDefault="00F3202B" w:rsidP="00F3202B">
      <w:pPr>
        <w:rPr>
          <w:color w:val="FF0000"/>
        </w:rPr>
      </w:pPr>
    </w:p>
    <w:p w14:paraId="7D0D8C83" w14:textId="77777777" w:rsidR="00F3202B" w:rsidRPr="00F3202B" w:rsidRDefault="00F3202B" w:rsidP="00F3202B"/>
    <w:sectPr w:rsidR="00F3202B" w:rsidRPr="00F32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F6BB0"/>
    <w:multiLevelType w:val="hybridMultilevel"/>
    <w:tmpl w:val="3D88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2A1374"/>
    <w:multiLevelType w:val="hybridMultilevel"/>
    <w:tmpl w:val="EF9E2C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5BD"/>
    <w:rsid w:val="00001F06"/>
    <w:rsid w:val="00025E21"/>
    <w:rsid w:val="000F308F"/>
    <w:rsid w:val="0014248B"/>
    <w:rsid w:val="00147D14"/>
    <w:rsid w:val="00172574"/>
    <w:rsid w:val="001B6BB6"/>
    <w:rsid w:val="001E1563"/>
    <w:rsid w:val="001F0CE9"/>
    <w:rsid w:val="00216CFE"/>
    <w:rsid w:val="002B1815"/>
    <w:rsid w:val="002C3F63"/>
    <w:rsid w:val="00315C53"/>
    <w:rsid w:val="0032766A"/>
    <w:rsid w:val="0035711B"/>
    <w:rsid w:val="003A5D5F"/>
    <w:rsid w:val="00405912"/>
    <w:rsid w:val="0040702E"/>
    <w:rsid w:val="00424A8A"/>
    <w:rsid w:val="004707A3"/>
    <w:rsid w:val="00494762"/>
    <w:rsid w:val="004C4C2B"/>
    <w:rsid w:val="004D0146"/>
    <w:rsid w:val="004E5517"/>
    <w:rsid w:val="004E57ED"/>
    <w:rsid w:val="005146D7"/>
    <w:rsid w:val="0051579A"/>
    <w:rsid w:val="00522E27"/>
    <w:rsid w:val="005403F5"/>
    <w:rsid w:val="00544D0C"/>
    <w:rsid w:val="00594950"/>
    <w:rsid w:val="006078B5"/>
    <w:rsid w:val="00615AE1"/>
    <w:rsid w:val="00657EA5"/>
    <w:rsid w:val="006812EC"/>
    <w:rsid w:val="006B761F"/>
    <w:rsid w:val="006D54FC"/>
    <w:rsid w:val="00776B51"/>
    <w:rsid w:val="00791AC9"/>
    <w:rsid w:val="00791B7F"/>
    <w:rsid w:val="00794B34"/>
    <w:rsid w:val="007A7754"/>
    <w:rsid w:val="007F3D3A"/>
    <w:rsid w:val="008131EB"/>
    <w:rsid w:val="00882824"/>
    <w:rsid w:val="008F3F1E"/>
    <w:rsid w:val="0096325E"/>
    <w:rsid w:val="00982E50"/>
    <w:rsid w:val="009964D1"/>
    <w:rsid w:val="00A46479"/>
    <w:rsid w:val="00A667B4"/>
    <w:rsid w:val="00A92D48"/>
    <w:rsid w:val="00AA7C3B"/>
    <w:rsid w:val="00B61F64"/>
    <w:rsid w:val="00BA31E5"/>
    <w:rsid w:val="00BD5784"/>
    <w:rsid w:val="00BE670E"/>
    <w:rsid w:val="00C245F1"/>
    <w:rsid w:val="00C569B1"/>
    <w:rsid w:val="00CA7F4B"/>
    <w:rsid w:val="00CE1707"/>
    <w:rsid w:val="00CE626D"/>
    <w:rsid w:val="00D26FBD"/>
    <w:rsid w:val="00D41217"/>
    <w:rsid w:val="00D54019"/>
    <w:rsid w:val="00EB7F22"/>
    <w:rsid w:val="00EE7625"/>
    <w:rsid w:val="00F3202B"/>
    <w:rsid w:val="00F455BD"/>
    <w:rsid w:val="00F511C7"/>
    <w:rsid w:val="00F8013C"/>
    <w:rsid w:val="00F86AC9"/>
    <w:rsid w:val="00F94667"/>
    <w:rsid w:val="00FD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B01B4"/>
  <w15:chartTrackingRefBased/>
  <w15:docId w15:val="{0524FCC9-5E6F-4D4B-9A13-33A90F508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949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131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9495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9495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D14"/>
    <w:pPr>
      <w:ind w:left="720"/>
      <w:contextualSpacing/>
    </w:pPr>
  </w:style>
  <w:style w:type="character" w:styleId="Hyperlink">
    <w:name w:val="Hyperlink"/>
    <w:basedOn w:val="DefaultParagraphFont"/>
    <w:uiPriority w:val="99"/>
    <w:unhideWhenUsed/>
    <w:rsid w:val="00791AC9"/>
    <w:rPr>
      <w:color w:val="0563C1" w:themeColor="hyperlink"/>
      <w:u w:val="single"/>
    </w:rPr>
  </w:style>
  <w:style w:type="character" w:styleId="UnresolvedMention">
    <w:name w:val="Unresolved Mention"/>
    <w:basedOn w:val="DefaultParagraphFont"/>
    <w:uiPriority w:val="99"/>
    <w:semiHidden/>
    <w:unhideWhenUsed/>
    <w:rsid w:val="00791AC9"/>
    <w:rPr>
      <w:color w:val="605E5C"/>
      <w:shd w:val="clear" w:color="auto" w:fill="E1DFDD"/>
    </w:rPr>
  </w:style>
  <w:style w:type="character" w:customStyle="1" w:styleId="Heading1Char">
    <w:name w:val="Heading 1 Char"/>
    <w:basedOn w:val="DefaultParagraphFont"/>
    <w:link w:val="Heading1"/>
    <w:uiPriority w:val="9"/>
    <w:rsid w:val="0059495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59495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94950"/>
    <w:rPr>
      <w:rFonts w:ascii="Times New Roman" w:eastAsia="Times New Roman" w:hAnsi="Times New Roman" w:cs="Times New Roman"/>
      <w:b/>
      <w:bCs/>
      <w:sz w:val="24"/>
      <w:szCs w:val="24"/>
      <w:lang w:eastAsia="en-GB"/>
    </w:rPr>
  </w:style>
  <w:style w:type="character" w:customStyle="1" w:styleId="ui-ncbitoggler-master-text">
    <w:name w:val="ui-ncbitoggler-master-text"/>
    <w:basedOn w:val="DefaultParagraphFont"/>
    <w:rsid w:val="00594950"/>
  </w:style>
  <w:style w:type="paragraph" w:styleId="NormalWeb">
    <w:name w:val="Normal (Web)"/>
    <w:basedOn w:val="Normal"/>
    <w:uiPriority w:val="99"/>
    <w:unhideWhenUsed/>
    <w:rsid w:val="00594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131EB"/>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8131EB"/>
  </w:style>
  <w:style w:type="character" w:customStyle="1" w:styleId="sr-only">
    <w:name w:val="sr-only"/>
    <w:basedOn w:val="DefaultParagraphFont"/>
    <w:rsid w:val="008131EB"/>
  </w:style>
  <w:style w:type="character" w:customStyle="1" w:styleId="text">
    <w:name w:val="text"/>
    <w:basedOn w:val="DefaultParagraphFont"/>
    <w:rsid w:val="008131EB"/>
  </w:style>
  <w:style w:type="character" w:customStyle="1" w:styleId="author-ref">
    <w:name w:val="author-ref"/>
    <w:basedOn w:val="DefaultParagraphFont"/>
    <w:rsid w:val="008131EB"/>
  </w:style>
  <w:style w:type="character" w:styleId="Emphasis">
    <w:name w:val="Emphasis"/>
    <w:basedOn w:val="DefaultParagraphFont"/>
    <w:uiPriority w:val="20"/>
    <w:qFormat/>
    <w:rsid w:val="008131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858829">
      <w:bodyDiv w:val="1"/>
      <w:marLeft w:val="0"/>
      <w:marRight w:val="0"/>
      <w:marTop w:val="0"/>
      <w:marBottom w:val="0"/>
      <w:divBdr>
        <w:top w:val="none" w:sz="0" w:space="0" w:color="auto"/>
        <w:left w:val="none" w:sz="0" w:space="0" w:color="auto"/>
        <w:bottom w:val="none" w:sz="0" w:space="0" w:color="auto"/>
        <w:right w:val="none" w:sz="0" w:space="0" w:color="auto"/>
      </w:divBdr>
    </w:div>
    <w:div w:id="1438718641">
      <w:bodyDiv w:val="1"/>
      <w:marLeft w:val="0"/>
      <w:marRight w:val="0"/>
      <w:marTop w:val="0"/>
      <w:marBottom w:val="0"/>
      <w:divBdr>
        <w:top w:val="none" w:sz="0" w:space="0" w:color="auto"/>
        <w:left w:val="none" w:sz="0" w:space="0" w:color="auto"/>
        <w:bottom w:val="none" w:sz="0" w:space="0" w:color="auto"/>
        <w:right w:val="none" w:sz="0" w:space="0" w:color="auto"/>
      </w:divBdr>
      <w:divsChild>
        <w:div w:id="842866157">
          <w:marLeft w:val="0"/>
          <w:marRight w:val="0"/>
          <w:marTop w:val="0"/>
          <w:marBottom w:val="120"/>
          <w:divBdr>
            <w:top w:val="none" w:sz="0" w:space="0" w:color="auto"/>
            <w:left w:val="none" w:sz="0" w:space="0" w:color="auto"/>
            <w:bottom w:val="none" w:sz="0" w:space="0" w:color="auto"/>
            <w:right w:val="none" w:sz="0" w:space="0" w:color="auto"/>
          </w:divBdr>
          <w:divsChild>
            <w:div w:id="969088040">
              <w:marLeft w:val="0"/>
              <w:marRight w:val="0"/>
              <w:marTop w:val="0"/>
              <w:marBottom w:val="0"/>
              <w:divBdr>
                <w:top w:val="none" w:sz="0" w:space="0" w:color="auto"/>
                <w:left w:val="none" w:sz="0" w:space="0" w:color="auto"/>
                <w:bottom w:val="none" w:sz="0" w:space="0" w:color="auto"/>
                <w:right w:val="none" w:sz="0" w:space="0" w:color="auto"/>
              </w:divBdr>
              <w:divsChild>
                <w:div w:id="1188983227">
                  <w:marLeft w:val="0"/>
                  <w:marRight w:val="0"/>
                  <w:marTop w:val="0"/>
                  <w:marBottom w:val="0"/>
                  <w:divBdr>
                    <w:top w:val="none" w:sz="0" w:space="0" w:color="auto"/>
                    <w:left w:val="none" w:sz="0" w:space="0" w:color="auto"/>
                    <w:bottom w:val="none" w:sz="0" w:space="0" w:color="auto"/>
                    <w:right w:val="none" w:sz="0" w:space="0" w:color="auto"/>
                  </w:divBdr>
                  <w:divsChild>
                    <w:div w:id="170783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602815">
          <w:marLeft w:val="0"/>
          <w:marRight w:val="0"/>
          <w:marTop w:val="0"/>
          <w:marBottom w:val="0"/>
          <w:divBdr>
            <w:top w:val="none" w:sz="0" w:space="0" w:color="auto"/>
            <w:left w:val="none" w:sz="0" w:space="0" w:color="auto"/>
            <w:bottom w:val="none" w:sz="0" w:space="0" w:color="auto"/>
            <w:right w:val="none" w:sz="0" w:space="0" w:color="auto"/>
          </w:divBdr>
        </w:div>
        <w:div w:id="1288395411">
          <w:marLeft w:val="0"/>
          <w:marRight w:val="0"/>
          <w:marTop w:val="0"/>
          <w:marBottom w:val="0"/>
          <w:divBdr>
            <w:top w:val="none" w:sz="0" w:space="0" w:color="auto"/>
            <w:left w:val="none" w:sz="0" w:space="0" w:color="auto"/>
            <w:bottom w:val="none" w:sz="0" w:space="0" w:color="auto"/>
            <w:right w:val="none" w:sz="0" w:space="0" w:color="auto"/>
          </w:divBdr>
          <w:divsChild>
            <w:div w:id="794107428">
              <w:marLeft w:val="0"/>
              <w:marRight w:val="0"/>
              <w:marTop w:val="0"/>
              <w:marBottom w:val="120"/>
              <w:divBdr>
                <w:top w:val="none" w:sz="0" w:space="0" w:color="auto"/>
                <w:left w:val="none" w:sz="0" w:space="0" w:color="auto"/>
                <w:bottom w:val="none" w:sz="0" w:space="0" w:color="auto"/>
                <w:right w:val="none" w:sz="0" w:space="0" w:color="auto"/>
              </w:divBdr>
              <w:divsChild>
                <w:div w:id="144160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3657">
      <w:bodyDiv w:val="1"/>
      <w:marLeft w:val="0"/>
      <w:marRight w:val="0"/>
      <w:marTop w:val="0"/>
      <w:marBottom w:val="0"/>
      <w:divBdr>
        <w:top w:val="none" w:sz="0" w:space="0" w:color="auto"/>
        <w:left w:val="none" w:sz="0" w:space="0" w:color="auto"/>
        <w:bottom w:val="none" w:sz="0" w:space="0" w:color="auto"/>
        <w:right w:val="none" w:sz="0" w:space="0" w:color="auto"/>
      </w:divBdr>
      <w:divsChild>
        <w:div w:id="1358114581">
          <w:marLeft w:val="0"/>
          <w:marRight w:val="0"/>
          <w:marTop w:val="0"/>
          <w:marBottom w:val="0"/>
          <w:divBdr>
            <w:top w:val="none" w:sz="0" w:space="0" w:color="auto"/>
            <w:left w:val="none" w:sz="0" w:space="0" w:color="auto"/>
            <w:bottom w:val="none" w:sz="0" w:space="0" w:color="auto"/>
            <w:right w:val="none" w:sz="0" w:space="0" w:color="auto"/>
          </w:divBdr>
        </w:div>
        <w:div w:id="824588842">
          <w:marLeft w:val="0"/>
          <w:marRight w:val="0"/>
          <w:marTop w:val="288"/>
          <w:marBottom w:val="100"/>
          <w:divBdr>
            <w:top w:val="none" w:sz="0" w:space="0" w:color="auto"/>
            <w:left w:val="none" w:sz="0" w:space="0" w:color="auto"/>
            <w:bottom w:val="none" w:sz="0" w:space="0" w:color="auto"/>
            <w:right w:val="none" w:sz="0" w:space="0" w:color="auto"/>
          </w:divBdr>
          <w:divsChild>
            <w:div w:id="135083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rontiersin.org/articles/10.3389/fnagi.2018.00081/full" TargetMode="External"/><Relationship Id="rId5" Type="http://schemas.openxmlformats.org/officeDocument/2006/relationships/hyperlink" Target="https://www.frontiersin.org/articles/10.3389/fnagi.2018.00081/ful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14200</TotalTime>
  <Pages>10</Pages>
  <Words>2844</Words>
  <Characters>16214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 (1707419)</dc:creator>
  <cp:keywords/>
  <dc:description/>
  <cp:lastModifiedBy>Stacey Loftus</cp:lastModifiedBy>
  <cp:revision>11</cp:revision>
  <dcterms:created xsi:type="dcterms:W3CDTF">2019-11-20T18:38:00Z</dcterms:created>
  <dcterms:modified xsi:type="dcterms:W3CDTF">2019-12-03T12:27:00Z</dcterms:modified>
</cp:coreProperties>
</file>