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39615" w14:textId="7035A10B" w:rsidR="00C016F2" w:rsidRPr="0035727F" w:rsidRDefault="0035727F" w:rsidP="00C016F2">
      <w:pPr>
        <w:spacing w:before="100" w:beforeAutospacing="1" w:after="100" w:afterAutospacing="1" w:line="360" w:lineRule="auto"/>
        <w:jc w:val="both"/>
        <w:rPr>
          <w:rFonts w:ascii="Arial" w:eastAsia="Times New Roman" w:hAnsi="Arial" w:cs="Arial"/>
          <w:color w:val="000000" w:themeColor="text1"/>
        </w:rPr>
      </w:pPr>
      <w:r>
        <w:rPr>
          <w:noProof/>
        </w:rPr>
        <w:drawing>
          <wp:anchor distT="0" distB="0" distL="114300" distR="114300" simplePos="0" relativeHeight="251659264" behindDoc="0" locked="0" layoutInCell="1" allowOverlap="1" wp14:anchorId="4FFBD9AA" wp14:editId="54700560">
            <wp:simplePos x="0" y="0"/>
            <wp:positionH relativeFrom="margin">
              <wp:align>center</wp:align>
            </wp:positionH>
            <wp:positionV relativeFrom="paragraph">
              <wp:posOffset>-534670</wp:posOffset>
            </wp:positionV>
            <wp:extent cx="3005666" cy="1690687"/>
            <wp:effectExtent l="0" t="0" r="444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5666" cy="1690687"/>
                    </a:xfrm>
                    <a:prstGeom prst="rect">
                      <a:avLst/>
                    </a:prstGeom>
                  </pic:spPr>
                </pic:pic>
              </a:graphicData>
            </a:graphic>
          </wp:anchor>
        </w:drawing>
      </w:r>
    </w:p>
    <w:p w14:paraId="236160D9" w14:textId="77777777" w:rsidR="00C016F2" w:rsidRPr="0035727F" w:rsidRDefault="00C016F2" w:rsidP="00C016F2">
      <w:pPr>
        <w:spacing w:before="100" w:beforeAutospacing="1" w:after="100" w:afterAutospacing="1" w:line="360" w:lineRule="auto"/>
        <w:jc w:val="both"/>
        <w:rPr>
          <w:rFonts w:ascii="Arial" w:eastAsia="Times New Roman" w:hAnsi="Arial" w:cs="Arial"/>
          <w:color w:val="000000" w:themeColor="text1"/>
        </w:rPr>
      </w:pPr>
    </w:p>
    <w:p w14:paraId="69CD27AA" w14:textId="463B68F0" w:rsidR="00C016F2" w:rsidRPr="0035727F" w:rsidRDefault="00C016F2" w:rsidP="00C016F2">
      <w:pPr>
        <w:spacing w:before="100" w:beforeAutospacing="1" w:after="100" w:afterAutospacing="1" w:line="360" w:lineRule="auto"/>
        <w:jc w:val="both"/>
        <w:rPr>
          <w:rFonts w:ascii="Arial" w:eastAsia="Times New Roman" w:hAnsi="Arial" w:cs="Arial"/>
          <w:color w:val="000000" w:themeColor="text1"/>
        </w:rPr>
      </w:pPr>
    </w:p>
    <w:p w14:paraId="69FCEFF4" w14:textId="77777777" w:rsidR="0035727F" w:rsidRPr="0035727F" w:rsidRDefault="0035727F" w:rsidP="0035727F">
      <w:pPr>
        <w:rPr>
          <w:rFonts w:ascii="Arial" w:hAnsi="Arial" w:cs="Arial"/>
        </w:rPr>
      </w:pPr>
    </w:p>
    <w:p w14:paraId="278E602C" w14:textId="77777777" w:rsidR="0035727F" w:rsidRPr="0035727F" w:rsidRDefault="0035727F" w:rsidP="0035727F">
      <w:pPr>
        <w:rPr>
          <w:rFonts w:ascii="Arial" w:hAnsi="Arial" w:cs="Arial"/>
        </w:rPr>
      </w:pPr>
    </w:p>
    <w:p w14:paraId="1C0C4D7B" w14:textId="77777777" w:rsidR="0035727F" w:rsidRPr="0035727F" w:rsidRDefault="0035727F" w:rsidP="0035727F">
      <w:pPr>
        <w:rPr>
          <w:rFonts w:ascii="Arial" w:hAnsi="Arial" w:cs="Arial"/>
        </w:rPr>
      </w:pPr>
    </w:p>
    <w:p w14:paraId="1F0524D4" w14:textId="77777777" w:rsidR="0035727F" w:rsidRPr="0035727F" w:rsidRDefault="0035727F" w:rsidP="0035727F">
      <w:pPr>
        <w:rPr>
          <w:rFonts w:ascii="Arial" w:hAnsi="Arial" w:cs="Arial"/>
        </w:rPr>
      </w:pPr>
    </w:p>
    <w:p w14:paraId="236294E3" w14:textId="77777777" w:rsidR="0035727F" w:rsidRPr="0035727F" w:rsidRDefault="0035727F" w:rsidP="0035727F">
      <w:pPr>
        <w:rPr>
          <w:rFonts w:ascii="Arial" w:hAnsi="Arial" w:cs="Arial"/>
        </w:rPr>
      </w:pPr>
    </w:p>
    <w:p w14:paraId="17F680F7" w14:textId="77777777" w:rsidR="0035727F" w:rsidRPr="0035727F" w:rsidRDefault="0035727F" w:rsidP="0035727F">
      <w:pPr>
        <w:rPr>
          <w:rFonts w:ascii="Arial" w:hAnsi="Arial" w:cs="Arial"/>
        </w:rPr>
      </w:pPr>
    </w:p>
    <w:p w14:paraId="712331D9" w14:textId="77777777" w:rsidR="0035727F" w:rsidRPr="0035727F" w:rsidRDefault="0035727F" w:rsidP="00360847">
      <w:pPr>
        <w:pStyle w:val="Title"/>
        <w:jc w:val="center"/>
        <w:rPr>
          <w:rFonts w:ascii="Arial" w:hAnsi="Arial" w:cs="Arial"/>
          <w:sz w:val="48"/>
          <w:szCs w:val="48"/>
        </w:rPr>
      </w:pPr>
      <w:r w:rsidRPr="0035727F">
        <w:rPr>
          <w:rFonts w:ascii="Arial" w:hAnsi="Arial" w:cs="Arial"/>
          <w:sz w:val="48"/>
          <w:szCs w:val="48"/>
        </w:rPr>
        <w:t>Component 1 – Individual Report</w:t>
      </w:r>
    </w:p>
    <w:p w14:paraId="6E3C3D20" w14:textId="77777777" w:rsidR="0035727F" w:rsidRPr="0035727F" w:rsidRDefault="0035727F" w:rsidP="00360847">
      <w:pPr>
        <w:pStyle w:val="Title"/>
        <w:jc w:val="center"/>
        <w:rPr>
          <w:rFonts w:ascii="Arial" w:hAnsi="Arial" w:cs="Arial"/>
          <w:sz w:val="48"/>
          <w:szCs w:val="48"/>
        </w:rPr>
      </w:pPr>
      <w:r w:rsidRPr="0035727F">
        <w:rPr>
          <w:rFonts w:ascii="Arial" w:hAnsi="Arial" w:cs="Arial"/>
          <w:sz w:val="48"/>
          <w:szCs w:val="48"/>
        </w:rPr>
        <w:t>LCBB5002_BIRM</w:t>
      </w:r>
    </w:p>
    <w:p w14:paraId="1801F907" w14:textId="77777777" w:rsidR="0035727F" w:rsidRPr="0035727F" w:rsidRDefault="0035727F" w:rsidP="00360847">
      <w:pPr>
        <w:pStyle w:val="Title"/>
        <w:jc w:val="center"/>
        <w:rPr>
          <w:rFonts w:ascii="Arial" w:hAnsi="Arial" w:cs="Arial"/>
          <w:sz w:val="48"/>
          <w:szCs w:val="48"/>
        </w:rPr>
      </w:pPr>
      <w:r w:rsidRPr="0035727F">
        <w:rPr>
          <w:rFonts w:ascii="Arial" w:hAnsi="Arial" w:cs="Arial"/>
          <w:sz w:val="48"/>
          <w:szCs w:val="48"/>
        </w:rPr>
        <w:t>Management Accounting</w:t>
      </w:r>
    </w:p>
    <w:p w14:paraId="1EBB3386" w14:textId="77777777" w:rsidR="0035727F" w:rsidRPr="0035727F" w:rsidRDefault="0035727F" w:rsidP="0035727F">
      <w:pPr>
        <w:rPr>
          <w:rFonts w:ascii="Arial" w:hAnsi="Arial" w:cs="Arial"/>
        </w:rPr>
      </w:pPr>
    </w:p>
    <w:p w14:paraId="0EB45514" w14:textId="77777777" w:rsidR="0035727F" w:rsidRPr="0035727F" w:rsidRDefault="0035727F" w:rsidP="0035727F">
      <w:pPr>
        <w:rPr>
          <w:rFonts w:ascii="Arial" w:hAnsi="Arial" w:cs="Arial"/>
        </w:rPr>
      </w:pPr>
    </w:p>
    <w:p w14:paraId="373098FD" w14:textId="77777777" w:rsidR="0035727F" w:rsidRPr="0035727F" w:rsidRDefault="0035727F" w:rsidP="0035727F">
      <w:pPr>
        <w:rPr>
          <w:rFonts w:ascii="Arial" w:hAnsi="Arial" w:cs="Arial"/>
        </w:rPr>
      </w:pPr>
    </w:p>
    <w:p w14:paraId="5E69E8A4" w14:textId="77777777" w:rsidR="0035727F" w:rsidRPr="0035727F" w:rsidRDefault="0035727F" w:rsidP="0035727F">
      <w:pPr>
        <w:rPr>
          <w:rFonts w:ascii="Arial" w:hAnsi="Arial" w:cs="Arial"/>
        </w:rPr>
      </w:pPr>
    </w:p>
    <w:p w14:paraId="200EC767" w14:textId="77777777" w:rsidR="0035727F" w:rsidRPr="0035727F" w:rsidRDefault="0035727F" w:rsidP="0035727F">
      <w:pPr>
        <w:rPr>
          <w:rFonts w:ascii="Arial" w:hAnsi="Arial" w:cs="Arial"/>
        </w:rPr>
      </w:pPr>
    </w:p>
    <w:p w14:paraId="72047C81" w14:textId="77777777" w:rsidR="0035727F" w:rsidRPr="0035727F" w:rsidRDefault="0035727F" w:rsidP="0035727F">
      <w:pPr>
        <w:rPr>
          <w:rFonts w:ascii="Arial" w:hAnsi="Arial" w:cs="Arial"/>
        </w:rPr>
      </w:pPr>
    </w:p>
    <w:p w14:paraId="312942A5" w14:textId="77777777" w:rsidR="0035727F" w:rsidRPr="0035727F" w:rsidRDefault="0035727F" w:rsidP="0035727F">
      <w:pPr>
        <w:rPr>
          <w:rFonts w:ascii="Arial" w:hAnsi="Arial" w:cs="Arial"/>
        </w:rPr>
      </w:pPr>
    </w:p>
    <w:p w14:paraId="2C0124F8" w14:textId="77777777" w:rsidR="0035727F" w:rsidRPr="0035727F" w:rsidRDefault="0035727F" w:rsidP="0035727F">
      <w:pPr>
        <w:rPr>
          <w:rFonts w:ascii="Arial" w:hAnsi="Arial" w:cs="Arial"/>
          <w:sz w:val="24"/>
          <w:szCs w:val="24"/>
        </w:rPr>
      </w:pPr>
      <w:r w:rsidRPr="0035727F">
        <w:rPr>
          <w:rFonts w:ascii="Arial" w:hAnsi="Arial" w:cs="Arial"/>
          <w:sz w:val="24"/>
          <w:szCs w:val="24"/>
        </w:rPr>
        <w:t>Student: Radu-Daniel Catrina</w:t>
      </w:r>
    </w:p>
    <w:p w14:paraId="42F40919" w14:textId="77777777" w:rsidR="0035727F" w:rsidRPr="0035727F" w:rsidRDefault="0035727F" w:rsidP="0035727F">
      <w:pPr>
        <w:rPr>
          <w:rFonts w:ascii="Arial" w:hAnsi="Arial" w:cs="Arial"/>
          <w:sz w:val="24"/>
          <w:szCs w:val="24"/>
        </w:rPr>
      </w:pPr>
      <w:r w:rsidRPr="0035727F">
        <w:rPr>
          <w:rFonts w:ascii="Arial" w:hAnsi="Arial" w:cs="Arial"/>
          <w:sz w:val="24"/>
          <w:szCs w:val="24"/>
        </w:rPr>
        <w:t>Student Number: 2123271</w:t>
      </w:r>
    </w:p>
    <w:p w14:paraId="270DD71B" w14:textId="77777777" w:rsidR="0035727F" w:rsidRPr="0035727F" w:rsidRDefault="0035727F" w:rsidP="0035727F">
      <w:pPr>
        <w:rPr>
          <w:rFonts w:ascii="Arial" w:hAnsi="Arial" w:cs="Arial"/>
          <w:sz w:val="24"/>
          <w:szCs w:val="24"/>
        </w:rPr>
      </w:pPr>
      <w:r w:rsidRPr="0035727F">
        <w:rPr>
          <w:rFonts w:ascii="Arial" w:hAnsi="Arial" w:cs="Arial"/>
          <w:sz w:val="24"/>
          <w:szCs w:val="24"/>
        </w:rPr>
        <w:t xml:space="preserve">Lecturer Name: </w:t>
      </w:r>
      <w:proofErr w:type="spellStart"/>
      <w:r w:rsidRPr="0035727F">
        <w:rPr>
          <w:rFonts w:ascii="Arial" w:hAnsi="Arial" w:cs="Arial"/>
          <w:sz w:val="24"/>
          <w:szCs w:val="24"/>
        </w:rPr>
        <w:t>Muno</w:t>
      </w:r>
      <w:proofErr w:type="spellEnd"/>
      <w:r w:rsidRPr="0035727F">
        <w:rPr>
          <w:rFonts w:ascii="Arial" w:hAnsi="Arial" w:cs="Arial"/>
          <w:sz w:val="24"/>
          <w:szCs w:val="24"/>
        </w:rPr>
        <w:t xml:space="preserve"> </w:t>
      </w:r>
      <w:proofErr w:type="spellStart"/>
      <w:r w:rsidRPr="0035727F">
        <w:rPr>
          <w:rFonts w:ascii="Arial" w:hAnsi="Arial" w:cs="Arial"/>
          <w:sz w:val="24"/>
          <w:szCs w:val="24"/>
        </w:rPr>
        <w:t>Zuwirai</w:t>
      </w:r>
      <w:proofErr w:type="spellEnd"/>
    </w:p>
    <w:p w14:paraId="42AF4A74" w14:textId="602E107D" w:rsidR="00C016F2" w:rsidRDefault="00C016F2" w:rsidP="00C016F2">
      <w:pPr>
        <w:spacing w:before="100" w:beforeAutospacing="1" w:after="100" w:afterAutospacing="1" w:line="360" w:lineRule="auto"/>
        <w:jc w:val="both"/>
        <w:rPr>
          <w:rFonts w:ascii="Arial" w:eastAsia="Times New Roman" w:hAnsi="Arial" w:cs="Arial"/>
          <w:color w:val="000000" w:themeColor="text1"/>
        </w:rPr>
      </w:pPr>
    </w:p>
    <w:p w14:paraId="623B74D5" w14:textId="1DFDFF06" w:rsidR="00360847" w:rsidRDefault="00360847" w:rsidP="00C016F2">
      <w:pPr>
        <w:spacing w:before="100" w:beforeAutospacing="1" w:after="100" w:afterAutospacing="1" w:line="360" w:lineRule="auto"/>
        <w:jc w:val="both"/>
        <w:rPr>
          <w:rFonts w:ascii="Arial" w:eastAsia="Times New Roman" w:hAnsi="Arial" w:cs="Arial"/>
          <w:color w:val="000000" w:themeColor="text1"/>
        </w:rPr>
      </w:pPr>
    </w:p>
    <w:p w14:paraId="342D5562" w14:textId="4A316006" w:rsidR="00360847" w:rsidRDefault="00360847" w:rsidP="00C016F2">
      <w:pPr>
        <w:spacing w:before="100" w:beforeAutospacing="1" w:after="100" w:afterAutospacing="1" w:line="360" w:lineRule="auto"/>
        <w:jc w:val="both"/>
        <w:rPr>
          <w:rFonts w:ascii="Arial" w:eastAsia="Times New Roman" w:hAnsi="Arial" w:cs="Arial"/>
          <w:color w:val="000000" w:themeColor="text1"/>
        </w:rPr>
      </w:pPr>
    </w:p>
    <w:p w14:paraId="633DB4B2" w14:textId="7361FF0D" w:rsidR="00360847" w:rsidRDefault="00360847" w:rsidP="00C016F2">
      <w:pPr>
        <w:spacing w:before="100" w:beforeAutospacing="1" w:after="100" w:afterAutospacing="1" w:line="360" w:lineRule="auto"/>
        <w:jc w:val="both"/>
        <w:rPr>
          <w:rFonts w:ascii="Arial" w:eastAsia="Times New Roman" w:hAnsi="Arial" w:cs="Arial"/>
          <w:color w:val="000000" w:themeColor="text1"/>
        </w:rPr>
      </w:pPr>
    </w:p>
    <w:p w14:paraId="118291E2" w14:textId="59233DD4" w:rsidR="00B4324A" w:rsidRDefault="00B4324A" w:rsidP="00C016F2">
      <w:pPr>
        <w:spacing w:before="100" w:beforeAutospacing="1" w:after="100" w:afterAutospacing="1" w:line="360" w:lineRule="auto"/>
        <w:jc w:val="both"/>
        <w:rPr>
          <w:rFonts w:ascii="Arial" w:eastAsia="Times New Roman" w:hAnsi="Arial" w:cs="Arial"/>
          <w:color w:val="000000" w:themeColor="text1"/>
        </w:rPr>
      </w:pPr>
    </w:p>
    <w:p w14:paraId="7FC1F276" w14:textId="77777777" w:rsidR="00B4324A" w:rsidRDefault="00B4324A" w:rsidP="00C016F2">
      <w:pPr>
        <w:spacing w:before="100" w:beforeAutospacing="1" w:after="100" w:afterAutospacing="1" w:line="360" w:lineRule="auto"/>
        <w:jc w:val="both"/>
        <w:rPr>
          <w:rFonts w:ascii="Arial" w:eastAsia="Times New Roman" w:hAnsi="Arial" w:cs="Arial"/>
          <w:color w:val="000000" w:themeColor="text1"/>
        </w:rPr>
      </w:pPr>
    </w:p>
    <w:p w14:paraId="0BE90028" w14:textId="77777777" w:rsidR="00B4324A" w:rsidRDefault="00B4324A" w:rsidP="00C016F2">
      <w:pPr>
        <w:spacing w:before="100" w:beforeAutospacing="1" w:after="100" w:afterAutospacing="1" w:line="360" w:lineRule="auto"/>
        <w:jc w:val="both"/>
        <w:rPr>
          <w:rFonts w:ascii="Arial" w:eastAsia="Times New Roman" w:hAnsi="Arial" w:cs="Arial"/>
          <w:color w:val="000000" w:themeColor="text1"/>
        </w:rPr>
      </w:pPr>
    </w:p>
    <w:p w14:paraId="51878F46" w14:textId="5806764D" w:rsidR="009241E4" w:rsidRPr="00B4324A" w:rsidRDefault="00B4324A" w:rsidP="00B4324A">
      <w:pPr>
        <w:spacing w:before="100" w:beforeAutospacing="1" w:after="100" w:afterAutospacing="1" w:line="360" w:lineRule="auto"/>
        <w:jc w:val="center"/>
        <w:rPr>
          <w:rFonts w:ascii="Arial" w:eastAsia="Times New Roman" w:hAnsi="Arial" w:cs="Arial"/>
          <w:color w:val="000000" w:themeColor="text1"/>
          <w:sz w:val="32"/>
          <w:szCs w:val="32"/>
        </w:rPr>
      </w:pPr>
      <w:r w:rsidRPr="00B4324A">
        <w:rPr>
          <w:rFonts w:ascii="Arial" w:eastAsia="Times New Roman" w:hAnsi="Arial" w:cs="Arial"/>
          <w:color w:val="000000" w:themeColor="text1"/>
          <w:sz w:val="32"/>
          <w:szCs w:val="32"/>
        </w:rPr>
        <w:t>Table of Contents</w:t>
      </w:r>
    </w:p>
    <w:p w14:paraId="5E080352" w14:textId="6D0392EC" w:rsidR="00B4324A" w:rsidRPr="00B4324A" w:rsidRDefault="00B4324A">
      <w:pPr>
        <w:pStyle w:val="TOC1"/>
        <w:tabs>
          <w:tab w:val="left" w:pos="440"/>
          <w:tab w:val="right" w:leader="dot" w:pos="9350"/>
        </w:tabs>
        <w:rPr>
          <w:rFonts w:ascii="Arial" w:hAnsi="Arial" w:cs="Arial"/>
          <w:b w:val="0"/>
          <w:bCs w:val="0"/>
          <w:caps w:val="0"/>
          <w:noProof/>
          <w:sz w:val="22"/>
          <w:szCs w:val="22"/>
          <w:lang w:val="en-GB" w:eastAsia="en-GB"/>
        </w:rPr>
      </w:pPr>
      <w:r w:rsidRPr="00B4324A">
        <w:rPr>
          <w:rFonts w:ascii="Arial" w:eastAsia="Times New Roman" w:hAnsi="Arial" w:cs="Arial"/>
          <w:color w:val="000000" w:themeColor="text1"/>
          <w:sz w:val="22"/>
          <w:szCs w:val="22"/>
        </w:rPr>
        <w:fldChar w:fldCharType="begin"/>
      </w:r>
      <w:r w:rsidRPr="00B4324A">
        <w:rPr>
          <w:rFonts w:ascii="Arial" w:eastAsia="Times New Roman" w:hAnsi="Arial" w:cs="Arial"/>
          <w:color w:val="000000" w:themeColor="text1"/>
          <w:sz w:val="22"/>
          <w:szCs w:val="22"/>
        </w:rPr>
        <w:instrText xml:space="preserve"> TOC \o "1-3" \h \z \u </w:instrText>
      </w:r>
      <w:r w:rsidRPr="00B4324A">
        <w:rPr>
          <w:rFonts w:ascii="Arial" w:eastAsia="Times New Roman" w:hAnsi="Arial" w:cs="Arial"/>
          <w:color w:val="000000" w:themeColor="text1"/>
          <w:sz w:val="22"/>
          <w:szCs w:val="22"/>
        </w:rPr>
        <w:fldChar w:fldCharType="separate"/>
      </w:r>
      <w:hyperlink w:anchor="_Toc128778817" w:history="1">
        <w:r w:rsidRPr="00B4324A">
          <w:rPr>
            <w:rStyle w:val="Hyperlink"/>
            <w:rFonts w:ascii="Arial" w:eastAsia="Times New Roman" w:hAnsi="Arial" w:cs="Arial"/>
            <w:noProof/>
            <w:sz w:val="22"/>
            <w:szCs w:val="22"/>
          </w:rPr>
          <w:t>1</w:t>
        </w:r>
        <w:r w:rsidRPr="00B4324A">
          <w:rPr>
            <w:rFonts w:ascii="Arial" w:hAnsi="Arial" w:cs="Arial"/>
            <w:b w:val="0"/>
            <w:bCs w:val="0"/>
            <w:caps w:val="0"/>
            <w:noProof/>
            <w:sz w:val="22"/>
            <w:szCs w:val="22"/>
            <w:lang w:val="en-GB" w:eastAsia="en-GB"/>
          </w:rPr>
          <w:tab/>
        </w:r>
        <w:r w:rsidRPr="00B4324A">
          <w:rPr>
            <w:rStyle w:val="Hyperlink"/>
            <w:rFonts w:ascii="Arial" w:eastAsia="Times New Roman" w:hAnsi="Arial" w:cs="Arial"/>
            <w:noProof/>
            <w:sz w:val="22"/>
            <w:szCs w:val="22"/>
          </w:rPr>
          <w:t>Introduction</w:t>
        </w:r>
        <w:r w:rsidRPr="00B4324A">
          <w:rPr>
            <w:rFonts w:ascii="Arial" w:hAnsi="Arial" w:cs="Arial"/>
            <w:noProof/>
            <w:webHidden/>
            <w:sz w:val="22"/>
            <w:szCs w:val="22"/>
          </w:rPr>
          <w:tab/>
        </w:r>
        <w:r w:rsidRPr="00B4324A">
          <w:rPr>
            <w:rFonts w:ascii="Arial" w:hAnsi="Arial" w:cs="Arial"/>
            <w:noProof/>
            <w:webHidden/>
            <w:sz w:val="22"/>
            <w:szCs w:val="22"/>
          </w:rPr>
          <w:fldChar w:fldCharType="begin"/>
        </w:r>
        <w:r w:rsidRPr="00B4324A">
          <w:rPr>
            <w:rFonts w:ascii="Arial" w:hAnsi="Arial" w:cs="Arial"/>
            <w:noProof/>
            <w:webHidden/>
            <w:sz w:val="22"/>
            <w:szCs w:val="22"/>
          </w:rPr>
          <w:instrText xml:space="preserve"> PAGEREF _Toc128778817 \h </w:instrText>
        </w:r>
        <w:r w:rsidRPr="00B4324A">
          <w:rPr>
            <w:rFonts w:ascii="Arial" w:hAnsi="Arial" w:cs="Arial"/>
            <w:noProof/>
            <w:webHidden/>
            <w:sz w:val="22"/>
            <w:szCs w:val="22"/>
          </w:rPr>
        </w:r>
        <w:r w:rsidRPr="00B4324A">
          <w:rPr>
            <w:rFonts w:ascii="Arial" w:hAnsi="Arial" w:cs="Arial"/>
            <w:noProof/>
            <w:webHidden/>
            <w:sz w:val="22"/>
            <w:szCs w:val="22"/>
          </w:rPr>
          <w:fldChar w:fldCharType="separate"/>
        </w:r>
        <w:r w:rsidRPr="00B4324A">
          <w:rPr>
            <w:rFonts w:ascii="Arial" w:hAnsi="Arial" w:cs="Arial"/>
            <w:noProof/>
            <w:webHidden/>
            <w:sz w:val="22"/>
            <w:szCs w:val="22"/>
          </w:rPr>
          <w:t>1</w:t>
        </w:r>
        <w:r w:rsidRPr="00B4324A">
          <w:rPr>
            <w:rFonts w:ascii="Arial" w:hAnsi="Arial" w:cs="Arial"/>
            <w:noProof/>
            <w:webHidden/>
            <w:sz w:val="22"/>
            <w:szCs w:val="22"/>
          </w:rPr>
          <w:fldChar w:fldCharType="end"/>
        </w:r>
      </w:hyperlink>
    </w:p>
    <w:p w14:paraId="74744AA9" w14:textId="7907EC13" w:rsidR="00B4324A" w:rsidRPr="00B4324A" w:rsidRDefault="00B4324A">
      <w:pPr>
        <w:pStyle w:val="TOC1"/>
        <w:tabs>
          <w:tab w:val="left" w:pos="440"/>
          <w:tab w:val="right" w:leader="dot" w:pos="9350"/>
        </w:tabs>
        <w:rPr>
          <w:rFonts w:ascii="Arial" w:hAnsi="Arial" w:cs="Arial"/>
          <w:b w:val="0"/>
          <w:bCs w:val="0"/>
          <w:caps w:val="0"/>
          <w:noProof/>
          <w:sz w:val="22"/>
          <w:szCs w:val="22"/>
          <w:lang w:val="en-GB" w:eastAsia="en-GB"/>
        </w:rPr>
      </w:pPr>
      <w:hyperlink w:anchor="_Toc128778818" w:history="1">
        <w:r w:rsidRPr="00B4324A">
          <w:rPr>
            <w:rStyle w:val="Hyperlink"/>
            <w:rFonts w:ascii="Arial" w:eastAsia="Times New Roman" w:hAnsi="Arial" w:cs="Arial"/>
            <w:noProof/>
            <w:sz w:val="22"/>
            <w:szCs w:val="22"/>
          </w:rPr>
          <w:t>2</w:t>
        </w:r>
        <w:r w:rsidRPr="00B4324A">
          <w:rPr>
            <w:rFonts w:ascii="Arial" w:hAnsi="Arial" w:cs="Arial"/>
            <w:b w:val="0"/>
            <w:bCs w:val="0"/>
            <w:caps w:val="0"/>
            <w:noProof/>
            <w:sz w:val="22"/>
            <w:szCs w:val="22"/>
            <w:lang w:val="en-GB" w:eastAsia="en-GB"/>
          </w:rPr>
          <w:tab/>
        </w:r>
        <w:r w:rsidRPr="00B4324A">
          <w:rPr>
            <w:rStyle w:val="Hyperlink"/>
            <w:rFonts w:ascii="Arial" w:eastAsia="Times New Roman" w:hAnsi="Arial" w:cs="Arial"/>
            <w:noProof/>
            <w:sz w:val="22"/>
            <w:szCs w:val="22"/>
          </w:rPr>
          <w:t>Difference between marginal costing and absorbing costing</w:t>
        </w:r>
        <w:r w:rsidRPr="00B4324A">
          <w:rPr>
            <w:rFonts w:ascii="Arial" w:hAnsi="Arial" w:cs="Arial"/>
            <w:noProof/>
            <w:webHidden/>
            <w:sz w:val="22"/>
            <w:szCs w:val="22"/>
          </w:rPr>
          <w:tab/>
        </w:r>
        <w:r w:rsidRPr="00B4324A">
          <w:rPr>
            <w:rFonts w:ascii="Arial" w:hAnsi="Arial" w:cs="Arial"/>
            <w:noProof/>
            <w:webHidden/>
            <w:sz w:val="22"/>
            <w:szCs w:val="22"/>
          </w:rPr>
          <w:fldChar w:fldCharType="begin"/>
        </w:r>
        <w:r w:rsidRPr="00B4324A">
          <w:rPr>
            <w:rFonts w:ascii="Arial" w:hAnsi="Arial" w:cs="Arial"/>
            <w:noProof/>
            <w:webHidden/>
            <w:sz w:val="22"/>
            <w:szCs w:val="22"/>
          </w:rPr>
          <w:instrText xml:space="preserve"> PAGEREF _Toc128778818 \h </w:instrText>
        </w:r>
        <w:r w:rsidRPr="00B4324A">
          <w:rPr>
            <w:rFonts w:ascii="Arial" w:hAnsi="Arial" w:cs="Arial"/>
            <w:noProof/>
            <w:webHidden/>
            <w:sz w:val="22"/>
            <w:szCs w:val="22"/>
          </w:rPr>
        </w:r>
        <w:r w:rsidRPr="00B4324A">
          <w:rPr>
            <w:rFonts w:ascii="Arial" w:hAnsi="Arial" w:cs="Arial"/>
            <w:noProof/>
            <w:webHidden/>
            <w:sz w:val="22"/>
            <w:szCs w:val="22"/>
          </w:rPr>
          <w:fldChar w:fldCharType="separate"/>
        </w:r>
        <w:r w:rsidRPr="00B4324A">
          <w:rPr>
            <w:rFonts w:ascii="Arial" w:hAnsi="Arial" w:cs="Arial"/>
            <w:noProof/>
            <w:webHidden/>
            <w:sz w:val="22"/>
            <w:szCs w:val="22"/>
          </w:rPr>
          <w:t>2</w:t>
        </w:r>
        <w:r w:rsidRPr="00B4324A">
          <w:rPr>
            <w:rFonts w:ascii="Arial" w:hAnsi="Arial" w:cs="Arial"/>
            <w:noProof/>
            <w:webHidden/>
            <w:sz w:val="22"/>
            <w:szCs w:val="22"/>
          </w:rPr>
          <w:fldChar w:fldCharType="end"/>
        </w:r>
      </w:hyperlink>
    </w:p>
    <w:p w14:paraId="2C61287C" w14:textId="5C0033BB" w:rsidR="00B4324A" w:rsidRPr="00B4324A" w:rsidRDefault="00B4324A">
      <w:pPr>
        <w:pStyle w:val="TOC1"/>
        <w:tabs>
          <w:tab w:val="left" w:pos="440"/>
          <w:tab w:val="right" w:leader="dot" w:pos="9350"/>
        </w:tabs>
        <w:rPr>
          <w:rFonts w:ascii="Arial" w:hAnsi="Arial" w:cs="Arial"/>
          <w:b w:val="0"/>
          <w:bCs w:val="0"/>
          <w:caps w:val="0"/>
          <w:noProof/>
          <w:sz w:val="22"/>
          <w:szCs w:val="22"/>
          <w:lang w:val="en-GB" w:eastAsia="en-GB"/>
        </w:rPr>
      </w:pPr>
      <w:hyperlink w:anchor="_Toc128778819" w:history="1">
        <w:r w:rsidRPr="00B4324A">
          <w:rPr>
            <w:rStyle w:val="Hyperlink"/>
            <w:rFonts w:ascii="Arial" w:hAnsi="Arial" w:cs="Arial"/>
            <w:noProof/>
            <w:sz w:val="22"/>
            <w:szCs w:val="22"/>
          </w:rPr>
          <w:t>3</w:t>
        </w:r>
        <w:r w:rsidRPr="00B4324A">
          <w:rPr>
            <w:rFonts w:ascii="Arial" w:hAnsi="Arial" w:cs="Arial"/>
            <w:b w:val="0"/>
            <w:bCs w:val="0"/>
            <w:caps w:val="0"/>
            <w:noProof/>
            <w:sz w:val="22"/>
            <w:szCs w:val="22"/>
            <w:lang w:val="en-GB" w:eastAsia="en-GB"/>
          </w:rPr>
          <w:tab/>
        </w:r>
        <w:r w:rsidRPr="00B4324A">
          <w:rPr>
            <w:rStyle w:val="Hyperlink"/>
            <w:rFonts w:ascii="Arial" w:hAnsi="Arial" w:cs="Arial"/>
            <w:noProof/>
            <w:sz w:val="22"/>
            <w:szCs w:val="22"/>
          </w:rPr>
          <w:t>Marginal Costing Statement</w:t>
        </w:r>
        <w:r w:rsidRPr="00B4324A">
          <w:rPr>
            <w:rFonts w:ascii="Arial" w:hAnsi="Arial" w:cs="Arial"/>
            <w:noProof/>
            <w:webHidden/>
            <w:sz w:val="22"/>
            <w:szCs w:val="22"/>
          </w:rPr>
          <w:tab/>
        </w:r>
        <w:r w:rsidRPr="00B4324A">
          <w:rPr>
            <w:rFonts w:ascii="Arial" w:hAnsi="Arial" w:cs="Arial"/>
            <w:noProof/>
            <w:webHidden/>
            <w:sz w:val="22"/>
            <w:szCs w:val="22"/>
          </w:rPr>
          <w:fldChar w:fldCharType="begin"/>
        </w:r>
        <w:r w:rsidRPr="00B4324A">
          <w:rPr>
            <w:rFonts w:ascii="Arial" w:hAnsi="Arial" w:cs="Arial"/>
            <w:noProof/>
            <w:webHidden/>
            <w:sz w:val="22"/>
            <w:szCs w:val="22"/>
          </w:rPr>
          <w:instrText xml:space="preserve"> PAGEREF _Toc128778819 \h </w:instrText>
        </w:r>
        <w:r w:rsidRPr="00B4324A">
          <w:rPr>
            <w:rFonts w:ascii="Arial" w:hAnsi="Arial" w:cs="Arial"/>
            <w:noProof/>
            <w:webHidden/>
            <w:sz w:val="22"/>
            <w:szCs w:val="22"/>
          </w:rPr>
        </w:r>
        <w:r w:rsidRPr="00B4324A">
          <w:rPr>
            <w:rFonts w:ascii="Arial" w:hAnsi="Arial" w:cs="Arial"/>
            <w:noProof/>
            <w:webHidden/>
            <w:sz w:val="22"/>
            <w:szCs w:val="22"/>
          </w:rPr>
          <w:fldChar w:fldCharType="separate"/>
        </w:r>
        <w:r w:rsidRPr="00B4324A">
          <w:rPr>
            <w:rFonts w:ascii="Arial" w:hAnsi="Arial" w:cs="Arial"/>
            <w:noProof/>
            <w:webHidden/>
            <w:sz w:val="22"/>
            <w:szCs w:val="22"/>
          </w:rPr>
          <w:t>3</w:t>
        </w:r>
        <w:r w:rsidRPr="00B4324A">
          <w:rPr>
            <w:rFonts w:ascii="Arial" w:hAnsi="Arial" w:cs="Arial"/>
            <w:noProof/>
            <w:webHidden/>
            <w:sz w:val="22"/>
            <w:szCs w:val="22"/>
          </w:rPr>
          <w:fldChar w:fldCharType="end"/>
        </w:r>
      </w:hyperlink>
    </w:p>
    <w:p w14:paraId="265AF6E3" w14:textId="21E6A436" w:rsidR="00B4324A" w:rsidRPr="00B4324A" w:rsidRDefault="00B4324A">
      <w:pPr>
        <w:pStyle w:val="TOC2"/>
        <w:tabs>
          <w:tab w:val="left" w:pos="880"/>
          <w:tab w:val="right" w:leader="dot" w:pos="9350"/>
        </w:tabs>
        <w:rPr>
          <w:rFonts w:ascii="Arial" w:hAnsi="Arial" w:cs="Arial"/>
          <w:smallCaps w:val="0"/>
          <w:noProof/>
          <w:sz w:val="22"/>
          <w:szCs w:val="22"/>
          <w:lang w:val="en-GB" w:eastAsia="en-GB"/>
        </w:rPr>
      </w:pPr>
      <w:hyperlink w:anchor="_Toc128778820" w:history="1">
        <w:r w:rsidRPr="00B4324A">
          <w:rPr>
            <w:rStyle w:val="Hyperlink"/>
            <w:rFonts w:ascii="Arial" w:hAnsi="Arial" w:cs="Arial"/>
            <w:noProof/>
            <w:sz w:val="22"/>
            <w:szCs w:val="22"/>
          </w:rPr>
          <w:t>3.1</w:t>
        </w:r>
        <w:r w:rsidRPr="00B4324A">
          <w:rPr>
            <w:rFonts w:ascii="Arial" w:hAnsi="Arial" w:cs="Arial"/>
            <w:smallCaps w:val="0"/>
            <w:noProof/>
            <w:sz w:val="22"/>
            <w:szCs w:val="22"/>
            <w:lang w:val="en-GB" w:eastAsia="en-GB"/>
          </w:rPr>
          <w:tab/>
        </w:r>
        <w:r w:rsidRPr="00B4324A">
          <w:rPr>
            <w:rStyle w:val="Hyperlink"/>
            <w:rFonts w:ascii="Arial" w:hAnsi="Arial" w:cs="Arial"/>
            <w:noProof/>
            <w:sz w:val="22"/>
            <w:szCs w:val="22"/>
          </w:rPr>
          <w:t>Marginal costing statement when Hoists production is stopped</w:t>
        </w:r>
        <w:r w:rsidRPr="00B4324A">
          <w:rPr>
            <w:rFonts w:ascii="Arial" w:hAnsi="Arial" w:cs="Arial"/>
            <w:noProof/>
            <w:webHidden/>
            <w:sz w:val="22"/>
            <w:szCs w:val="22"/>
          </w:rPr>
          <w:tab/>
        </w:r>
        <w:r w:rsidRPr="00B4324A">
          <w:rPr>
            <w:rFonts w:ascii="Arial" w:hAnsi="Arial" w:cs="Arial"/>
            <w:noProof/>
            <w:webHidden/>
            <w:sz w:val="22"/>
            <w:szCs w:val="22"/>
          </w:rPr>
          <w:fldChar w:fldCharType="begin"/>
        </w:r>
        <w:r w:rsidRPr="00B4324A">
          <w:rPr>
            <w:rFonts w:ascii="Arial" w:hAnsi="Arial" w:cs="Arial"/>
            <w:noProof/>
            <w:webHidden/>
            <w:sz w:val="22"/>
            <w:szCs w:val="22"/>
          </w:rPr>
          <w:instrText xml:space="preserve"> PAGEREF _Toc128778820 \h </w:instrText>
        </w:r>
        <w:r w:rsidRPr="00B4324A">
          <w:rPr>
            <w:rFonts w:ascii="Arial" w:hAnsi="Arial" w:cs="Arial"/>
            <w:noProof/>
            <w:webHidden/>
            <w:sz w:val="22"/>
            <w:szCs w:val="22"/>
          </w:rPr>
        </w:r>
        <w:r w:rsidRPr="00B4324A">
          <w:rPr>
            <w:rFonts w:ascii="Arial" w:hAnsi="Arial" w:cs="Arial"/>
            <w:noProof/>
            <w:webHidden/>
            <w:sz w:val="22"/>
            <w:szCs w:val="22"/>
          </w:rPr>
          <w:fldChar w:fldCharType="separate"/>
        </w:r>
        <w:r w:rsidRPr="00B4324A">
          <w:rPr>
            <w:rFonts w:ascii="Arial" w:hAnsi="Arial" w:cs="Arial"/>
            <w:noProof/>
            <w:webHidden/>
            <w:sz w:val="22"/>
            <w:szCs w:val="22"/>
          </w:rPr>
          <w:t>7</w:t>
        </w:r>
        <w:r w:rsidRPr="00B4324A">
          <w:rPr>
            <w:rFonts w:ascii="Arial" w:hAnsi="Arial" w:cs="Arial"/>
            <w:noProof/>
            <w:webHidden/>
            <w:sz w:val="22"/>
            <w:szCs w:val="22"/>
          </w:rPr>
          <w:fldChar w:fldCharType="end"/>
        </w:r>
      </w:hyperlink>
    </w:p>
    <w:p w14:paraId="0ABE3424" w14:textId="1B151AF0" w:rsidR="00B4324A" w:rsidRPr="00B4324A" w:rsidRDefault="00B4324A">
      <w:pPr>
        <w:pStyle w:val="TOC2"/>
        <w:tabs>
          <w:tab w:val="left" w:pos="880"/>
          <w:tab w:val="right" w:leader="dot" w:pos="9350"/>
        </w:tabs>
        <w:rPr>
          <w:rFonts w:ascii="Arial" w:hAnsi="Arial" w:cs="Arial"/>
          <w:smallCaps w:val="0"/>
          <w:noProof/>
          <w:sz w:val="22"/>
          <w:szCs w:val="22"/>
          <w:lang w:val="en-GB" w:eastAsia="en-GB"/>
        </w:rPr>
      </w:pPr>
      <w:hyperlink w:anchor="_Toc128778821" w:history="1">
        <w:r w:rsidRPr="00B4324A">
          <w:rPr>
            <w:rStyle w:val="Hyperlink"/>
            <w:rFonts w:ascii="Arial" w:hAnsi="Arial" w:cs="Arial"/>
            <w:noProof/>
            <w:sz w:val="22"/>
            <w:szCs w:val="22"/>
          </w:rPr>
          <w:t>3.2</w:t>
        </w:r>
        <w:r w:rsidRPr="00B4324A">
          <w:rPr>
            <w:rFonts w:ascii="Arial" w:hAnsi="Arial" w:cs="Arial"/>
            <w:smallCaps w:val="0"/>
            <w:noProof/>
            <w:sz w:val="22"/>
            <w:szCs w:val="22"/>
            <w:lang w:val="en-GB" w:eastAsia="en-GB"/>
          </w:rPr>
          <w:tab/>
        </w:r>
        <w:r w:rsidRPr="00B4324A">
          <w:rPr>
            <w:rStyle w:val="Hyperlink"/>
            <w:rFonts w:ascii="Arial" w:hAnsi="Arial" w:cs="Arial"/>
            <w:noProof/>
            <w:sz w:val="22"/>
            <w:szCs w:val="22"/>
          </w:rPr>
          <w:t>Marginal costing statement when Mobile Beds production is stopped</w:t>
        </w:r>
        <w:r w:rsidRPr="00B4324A">
          <w:rPr>
            <w:rFonts w:ascii="Arial" w:hAnsi="Arial" w:cs="Arial"/>
            <w:noProof/>
            <w:webHidden/>
            <w:sz w:val="22"/>
            <w:szCs w:val="22"/>
          </w:rPr>
          <w:tab/>
        </w:r>
        <w:r w:rsidRPr="00B4324A">
          <w:rPr>
            <w:rFonts w:ascii="Arial" w:hAnsi="Arial" w:cs="Arial"/>
            <w:noProof/>
            <w:webHidden/>
            <w:sz w:val="22"/>
            <w:szCs w:val="22"/>
          </w:rPr>
          <w:fldChar w:fldCharType="begin"/>
        </w:r>
        <w:r w:rsidRPr="00B4324A">
          <w:rPr>
            <w:rFonts w:ascii="Arial" w:hAnsi="Arial" w:cs="Arial"/>
            <w:noProof/>
            <w:webHidden/>
            <w:sz w:val="22"/>
            <w:szCs w:val="22"/>
          </w:rPr>
          <w:instrText xml:space="preserve"> PAGEREF _Toc128778821 \h </w:instrText>
        </w:r>
        <w:r w:rsidRPr="00B4324A">
          <w:rPr>
            <w:rFonts w:ascii="Arial" w:hAnsi="Arial" w:cs="Arial"/>
            <w:noProof/>
            <w:webHidden/>
            <w:sz w:val="22"/>
            <w:szCs w:val="22"/>
          </w:rPr>
        </w:r>
        <w:r w:rsidRPr="00B4324A">
          <w:rPr>
            <w:rFonts w:ascii="Arial" w:hAnsi="Arial" w:cs="Arial"/>
            <w:noProof/>
            <w:webHidden/>
            <w:sz w:val="22"/>
            <w:szCs w:val="22"/>
          </w:rPr>
          <w:fldChar w:fldCharType="separate"/>
        </w:r>
        <w:r w:rsidRPr="00B4324A">
          <w:rPr>
            <w:rFonts w:ascii="Arial" w:hAnsi="Arial" w:cs="Arial"/>
            <w:noProof/>
            <w:webHidden/>
            <w:sz w:val="22"/>
            <w:szCs w:val="22"/>
          </w:rPr>
          <w:t>8</w:t>
        </w:r>
        <w:r w:rsidRPr="00B4324A">
          <w:rPr>
            <w:rFonts w:ascii="Arial" w:hAnsi="Arial" w:cs="Arial"/>
            <w:noProof/>
            <w:webHidden/>
            <w:sz w:val="22"/>
            <w:szCs w:val="22"/>
          </w:rPr>
          <w:fldChar w:fldCharType="end"/>
        </w:r>
      </w:hyperlink>
    </w:p>
    <w:p w14:paraId="3DE2FC1B" w14:textId="2F0B1869" w:rsidR="00B4324A" w:rsidRPr="00B4324A" w:rsidRDefault="00B4324A">
      <w:pPr>
        <w:pStyle w:val="TOC2"/>
        <w:tabs>
          <w:tab w:val="left" w:pos="880"/>
          <w:tab w:val="right" w:leader="dot" w:pos="9350"/>
        </w:tabs>
        <w:rPr>
          <w:rFonts w:ascii="Arial" w:hAnsi="Arial" w:cs="Arial"/>
          <w:smallCaps w:val="0"/>
          <w:noProof/>
          <w:sz w:val="22"/>
          <w:szCs w:val="22"/>
          <w:lang w:val="en-GB" w:eastAsia="en-GB"/>
        </w:rPr>
      </w:pPr>
      <w:hyperlink w:anchor="_Toc128778822" w:history="1">
        <w:r w:rsidRPr="00B4324A">
          <w:rPr>
            <w:rStyle w:val="Hyperlink"/>
            <w:rFonts w:ascii="Arial" w:eastAsia="Times New Roman" w:hAnsi="Arial" w:cs="Arial"/>
            <w:noProof/>
            <w:sz w:val="22"/>
            <w:szCs w:val="22"/>
          </w:rPr>
          <w:t>3.3</w:t>
        </w:r>
        <w:r w:rsidRPr="00B4324A">
          <w:rPr>
            <w:rFonts w:ascii="Arial" w:hAnsi="Arial" w:cs="Arial"/>
            <w:smallCaps w:val="0"/>
            <w:noProof/>
            <w:sz w:val="22"/>
            <w:szCs w:val="22"/>
            <w:lang w:val="en-GB" w:eastAsia="en-GB"/>
          </w:rPr>
          <w:tab/>
        </w:r>
        <w:r w:rsidRPr="00B4324A">
          <w:rPr>
            <w:rStyle w:val="Hyperlink"/>
            <w:rFonts w:ascii="Arial" w:eastAsia="Times New Roman" w:hAnsi="Arial" w:cs="Arial"/>
            <w:noProof/>
            <w:sz w:val="22"/>
            <w:szCs w:val="22"/>
          </w:rPr>
          <w:t>Advise for MSG</w:t>
        </w:r>
        <w:r w:rsidRPr="00B4324A">
          <w:rPr>
            <w:rFonts w:ascii="Arial" w:hAnsi="Arial" w:cs="Arial"/>
            <w:noProof/>
            <w:webHidden/>
            <w:sz w:val="22"/>
            <w:szCs w:val="22"/>
          </w:rPr>
          <w:tab/>
        </w:r>
        <w:r w:rsidRPr="00B4324A">
          <w:rPr>
            <w:rFonts w:ascii="Arial" w:hAnsi="Arial" w:cs="Arial"/>
            <w:noProof/>
            <w:webHidden/>
            <w:sz w:val="22"/>
            <w:szCs w:val="22"/>
          </w:rPr>
          <w:fldChar w:fldCharType="begin"/>
        </w:r>
        <w:r w:rsidRPr="00B4324A">
          <w:rPr>
            <w:rFonts w:ascii="Arial" w:hAnsi="Arial" w:cs="Arial"/>
            <w:noProof/>
            <w:webHidden/>
            <w:sz w:val="22"/>
            <w:szCs w:val="22"/>
          </w:rPr>
          <w:instrText xml:space="preserve"> PAGEREF _Toc128778822 \h </w:instrText>
        </w:r>
        <w:r w:rsidRPr="00B4324A">
          <w:rPr>
            <w:rFonts w:ascii="Arial" w:hAnsi="Arial" w:cs="Arial"/>
            <w:noProof/>
            <w:webHidden/>
            <w:sz w:val="22"/>
            <w:szCs w:val="22"/>
          </w:rPr>
        </w:r>
        <w:r w:rsidRPr="00B4324A">
          <w:rPr>
            <w:rFonts w:ascii="Arial" w:hAnsi="Arial" w:cs="Arial"/>
            <w:noProof/>
            <w:webHidden/>
            <w:sz w:val="22"/>
            <w:szCs w:val="22"/>
          </w:rPr>
          <w:fldChar w:fldCharType="separate"/>
        </w:r>
        <w:r w:rsidRPr="00B4324A">
          <w:rPr>
            <w:rFonts w:ascii="Arial" w:hAnsi="Arial" w:cs="Arial"/>
            <w:noProof/>
            <w:webHidden/>
            <w:sz w:val="22"/>
            <w:szCs w:val="22"/>
          </w:rPr>
          <w:t>9</w:t>
        </w:r>
        <w:r w:rsidRPr="00B4324A">
          <w:rPr>
            <w:rFonts w:ascii="Arial" w:hAnsi="Arial" w:cs="Arial"/>
            <w:noProof/>
            <w:webHidden/>
            <w:sz w:val="22"/>
            <w:szCs w:val="22"/>
          </w:rPr>
          <w:fldChar w:fldCharType="end"/>
        </w:r>
      </w:hyperlink>
    </w:p>
    <w:p w14:paraId="47EE6609" w14:textId="5F1706EC" w:rsidR="00B4324A" w:rsidRPr="00B4324A" w:rsidRDefault="00B4324A">
      <w:pPr>
        <w:pStyle w:val="TOC1"/>
        <w:tabs>
          <w:tab w:val="left" w:pos="440"/>
          <w:tab w:val="right" w:leader="dot" w:pos="9350"/>
        </w:tabs>
        <w:rPr>
          <w:rFonts w:ascii="Arial" w:hAnsi="Arial" w:cs="Arial"/>
          <w:b w:val="0"/>
          <w:bCs w:val="0"/>
          <w:caps w:val="0"/>
          <w:noProof/>
          <w:sz w:val="22"/>
          <w:szCs w:val="22"/>
          <w:lang w:val="en-GB" w:eastAsia="en-GB"/>
        </w:rPr>
      </w:pPr>
      <w:hyperlink w:anchor="_Toc128778823" w:history="1">
        <w:r w:rsidRPr="00B4324A">
          <w:rPr>
            <w:rStyle w:val="Hyperlink"/>
            <w:rFonts w:ascii="Arial" w:hAnsi="Arial" w:cs="Arial"/>
            <w:noProof/>
            <w:sz w:val="22"/>
            <w:szCs w:val="22"/>
          </w:rPr>
          <w:t>4</w:t>
        </w:r>
        <w:r w:rsidRPr="00B4324A">
          <w:rPr>
            <w:rFonts w:ascii="Arial" w:hAnsi="Arial" w:cs="Arial"/>
            <w:b w:val="0"/>
            <w:bCs w:val="0"/>
            <w:caps w:val="0"/>
            <w:noProof/>
            <w:sz w:val="22"/>
            <w:szCs w:val="22"/>
            <w:lang w:val="en-GB" w:eastAsia="en-GB"/>
          </w:rPr>
          <w:tab/>
        </w:r>
        <w:r w:rsidRPr="00B4324A">
          <w:rPr>
            <w:rStyle w:val="Hyperlink"/>
            <w:rFonts w:ascii="Arial" w:hAnsi="Arial" w:cs="Arial"/>
            <w:noProof/>
            <w:sz w:val="22"/>
            <w:szCs w:val="22"/>
          </w:rPr>
          <w:t>Break-even Point</w:t>
        </w:r>
        <w:r w:rsidRPr="00B4324A">
          <w:rPr>
            <w:rFonts w:ascii="Arial" w:hAnsi="Arial" w:cs="Arial"/>
            <w:noProof/>
            <w:webHidden/>
            <w:sz w:val="22"/>
            <w:szCs w:val="22"/>
          </w:rPr>
          <w:tab/>
        </w:r>
        <w:r w:rsidRPr="00B4324A">
          <w:rPr>
            <w:rFonts w:ascii="Arial" w:hAnsi="Arial" w:cs="Arial"/>
            <w:noProof/>
            <w:webHidden/>
            <w:sz w:val="22"/>
            <w:szCs w:val="22"/>
          </w:rPr>
          <w:fldChar w:fldCharType="begin"/>
        </w:r>
        <w:r w:rsidRPr="00B4324A">
          <w:rPr>
            <w:rFonts w:ascii="Arial" w:hAnsi="Arial" w:cs="Arial"/>
            <w:noProof/>
            <w:webHidden/>
            <w:sz w:val="22"/>
            <w:szCs w:val="22"/>
          </w:rPr>
          <w:instrText xml:space="preserve"> PAGEREF _Toc128778823 \h </w:instrText>
        </w:r>
        <w:r w:rsidRPr="00B4324A">
          <w:rPr>
            <w:rFonts w:ascii="Arial" w:hAnsi="Arial" w:cs="Arial"/>
            <w:noProof/>
            <w:webHidden/>
            <w:sz w:val="22"/>
            <w:szCs w:val="22"/>
          </w:rPr>
        </w:r>
        <w:r w:rsidRPr="00B4324A">
          <w:rPr>
            <w:rFonts w:ascii="Arial" w:hAnsi="Arial" w:cs="Arial"/>
            <w:noProof/>
            <w:webHidden/>
            <w:sz w:val="22"/>
            <w:szCs w:val="22"/>
          </w:rPr>
          <w:fldChar w:fldCharType="separate"/>
        </w:r>
        <w:r w:rsidRPr="00B4324A">
          <w:rPr>
            <w:rFonts w:ascii="Arial" w:hAnsi="Arial" w:cs="Arial"/>
            <w:noProof/>
            <w:webHidden/>
            <w:sz w:val="22"/>
            <w:szCs w:val="22"/>
          </w:rPr>
          <w:t>9</w:t>
        </w:r>
        <w:r w:rsidRPr="00B4324A">
          <w:rPr>
            <w:rFonts w:ascii="Arial" w:hAnsi="Arial" w:cs="Arial"/>
            <w:noProof/>
            <w:webHidden/>
            <w:sz w:val="22"/>
            <w:szCs w:val="22"/>
          </w:rPr>
          <w:fldChar w:fldCharType="end"/>
        </w:r>
      </w:hyperlink>
    </w:p>
    <w:p w14:paraId="1FCD3306" w14:textId="6768B72F" w:rsidR="00B4324A" w:rsidRPr="00B4324A" w:rsidRDefault="00B4324A">
      <w:pPr>
        <w:pStyle w:val="TOC1"/>
        <w:tabs>
          <w:tab w:val="left" w:pos="440"/>
          <w:tab w:val="right" w:leader="dot" w:pos="9350"/>
        </w:tabs>
        <w:rPr>
          <w:rFonts w:ascii="Arial" w:hAnsi="Arial" w:cs="Arial"/>
          <w:b w:val="0"/>
          <w:bCs w:val="0"/>
          <w:caps w:val="0"/>
          <w:noProof/>
          <w:sz w:val="22"/>
          <w:szCs w:val="22"/>
          <w:lang w:val="en-GB" w:eastAsia="en-GB"/>
        </w:rPr>
      </w:pPr>
      <w:hyperlink w:anchor="_Toc128778824" w:history="1">
        <w:r w:rsidRPr="00B4324A">
          <w:rPr>
            <w:rStyle w:val="Hyperlink"/>
            <w:rFonts w:ascii="Arial" w:hAnsi="Arial" w:cs="Arial"/>
            <w:noProof/>
            <w:sz w:val="22"/>
            <w:szCs w:val="22"/>
          </w:rPr>
          <w:t>5</w:t>
        </w:r>
        <w:r w:rsidRPr="00B4324A">
          <w:rPr>
            <w:rFonts w:ascii="Arial" w:hAnsi="Arial" w:cs="Arial"/>
            <w:b w:val="0"/>
            <w:bCs w:val="0"/>
            <w:caps w:val="0"/>
            <w:noProof/>
            <w:sz w:val="22"/>
            <w:szCs w:val="22"/>
            <w:lang w:val="en-GB" w:eastAsia="en-GB"/>
          </w:rPr>
          <w:tab/>
        </w:r>
        <w:r w:rsidRPr="00B4324A">
          <w:rPr>
            <w:rStyle w:val="Hyperlink"/>
            <w:rFonts w:ascii="Arial" w:hAnsi="Arial" w:cs="Arial"/>
            <w:noProof/>
            <w:sz w:val="22"/>
            <w:szCs w:val="22"/>
          </w:rPr>
          <w:t>Conclusion</w:t>
        </w:r>
        <w:r w:rsidRPr="00B4324A">
          <w:rPr>
            <w:rFonts w:ascii="Arial" w:hAnsi="Arial" w:cs="Arial"/>
            <w:noProof/>
            <w:webHidden/>
            <w:sz w:val="22"/>
            <w:szCs w:val="22"/>
          </w:rPr>
          <w:tab/>
        </w:r>
        <w:r w:rsidRPr="00B4324A">
          <w:rPr>
            <w:rFonts w:ascii="Arial" w:hAnsi="Arial" w:cs="Arial"/>
            <w:noProof/>
            <w:webHidden/>
            <w:sz w:val="22"/>
            <w:szCs w:val="22"/>
          </w:rPr>
          <w:fldChar w:fldCharType="begin"/>
        </w:r>
        <w:r w:rsidRPr="00B4324A">
          <w:rPr>
            <w:rFonts w:ascii="Arial" w:hAnsi="Arial" w:cs="Arial"/>
            <w:noProof/>
            <w:webHidden/>
            <w:sz w:val="22"/>
            <w:szCs w:val="22"/>
          </w:rPr>
          <w:instrText xml:space="preserve"> PAGEREF _Toc128778824 \h </w:instrText>
        </w:r>
        <w:r w:rsidRPr="00B4324A">
          <w:rPr>
            <w:rFonts w:ascii="Arial" w:hAnsi="Arial" w:cs="Arial"/>
            <w:noProof/>
            <w:webHidden/>
            <w:sz w:val="22"/>
            <w:szCs w:val="22"/>
          </w:rPr>
        </w:r>
        <w:r w:rsidRPr="00B4324A">
          <w:rPr>
            <w:rFonts w:ascii="Arial" w:hAnsi="Arial" w:cs="Arial"/>
            <w:noProof/>
            <w:webHidden/>
            <w:sz w:val="22"/>
            <w:szCs w:val="22"/>
          </w:rPr>
          <w:fldChar w:fldCharType="separate"/>
        </w:r>
        <w:r w:rsidRPr="00B4324A">
          <w:rPr>
            <w:rFonts w:ascii="Arial" w:hAnsi="Arial" w:cs="Arial"/>
            <w:noProof/>
            <w:webHidden/>
            <w:sz w:val="22"/>
            <w:szCs w:val="22"/>
          </w:rPr>
          <w:t>10</w:t>
        </w:r>
        <w:r w:rsidRPr="00B4324A">
          <w:rPr>
            <w:rFonts w:ascii="Arial" w:hAnsi="Arial" w:cs="Arial"/>
            <w:noProof/>
            <w:webHidden/>
            <w:sz w:val="22"/>
            <w:szCs w:val="22"/>
          </w:rPr>
          <w:fldChar w:fldCharType="end"/>
        </w:r>
      </w:hyperlink>
    </w:p>
    <w:p w14:paraId="1E2B3929" w14:textId="08CFEF04" w:rsidR="00B4324A" w:rsidRPr="00B4324A" w:rsidRDefault="00B4324A">
      <w:pPr>
        <w:pStyle w:val="TOC1"/>
        <w:tabs>
          <w:tab w:val="left" w:pos="440"/>
          <w:tab w:val="right" w:leader="dot" w:pos="9350"/>
        </w:tabs>
        <w:rPr>
          <w:rFonts w:ascii="Arial" w:hAnsi="Arial" w:cs="Arial"/>
          <w:b w:val="0"/>
          <w:bCs w:val="0"/>
          <w:caps w:val="0"/>
          <w:noProof/>
          <w:sz w:val="22"/>
          <w:szCs w:val="22"/>
          <w:lang w:val="en-GB" w:eastAsia="en-GB"/>
        </w:rPr>
      </w:pPr>
      <w:hyperlink w:anchor="_Toc128778825" w:history="1">
        <w:r w:rsidRPr="00B4324A">
          <w:rPr>
            <w:rStyle w:val="Hyperlink"/>
            <w:rFonts w:ascii="Arial" w:hAnsi="Arial" w:cs="Arial"/>
            <w:noProof/>
            <w:sz w:val="22"/>
            <w:szCs w:val="22"/>
          </w:rPr>
          <w:t>6</w:t>
        </w:r>
        <w:r w:rsidRPr="00B4324A">
          <w:rPr>
            <w:rFonts w:ascii="Arial" w:hAnsi="Arial" w:cs="Arial"/>
            <w:b w:val="0"/>
            <w:bCs w:val="0"/>
            <w:caps w:val="0"/>
            <w:noProof/>
            <w:sz w:val="22"/>
            <w:szCs w:val="22"/>
            <w:lang w:val="en-GB" w:eastAsia="en-GB"/>
          </w:rPr>
          <w:tab/>
        </w:r>
        <w:r w:rsidRPr="00B4324A">
          <w:rPr>
            <w:rStyle w:val="Hyperlink"/>
            <w:rFonts w:ascii="Arial" w:hAnsi="Arial" w:cs="Arial"/>
            <w:noProof/>
            <w:sz w:val="22"/>
            <w:szCs w:val="22"/>
          </w:rPr>
          <w:t>References</w:t>
        </w:r>
        <w:r w:rsidRPr="00B4324A">
          <w:rPr>
            <w:rFonts w:ascii="Arial" w:hAnsi="Arial" w:cs="Arial"/>
            <w:noProof/>
            <w:webHidden/>
            <w:sz w:val="22"/>
            <w:szCs w:val="22"/>
          </w:rPr>
          <w:tab/>
        </w:r>
        <w:r w:rsidRPr="00B4324A">
          <w:rPr>
            <w:rFonts w:ascii="Arial" w:hAnsi="Arial" w:cs="Arial"/>
            <w:noProof/>
            <w:webHidden/>
            <w:sz w:val="22"/>
            <w:szCs w:val="22"/>
          </w:rPr>
          <w:fldChar w:fldCharType="begin"/>
        </w:r>
        <w:r w:rsidRPr="00B4324A">
          <w:rPr>
            <w:rFonts w:ascii="Arial" w:hAnsi="Arial" w:cs="Arial"/>
            <w:noProof/>
            <w:webHidden/>
            <w:sz w:val="22"/>
            <w:szCs w:val="22"/>
          </w:rPr>
          <w:instrText xml:space="preserve"> PAGEREF _Toc128778825 \h </w:instrText>
        </w:r>
        <w:r w:rsidRPr="00B4324A">
          <w:rPr>
            <w:rFonts w:ascii="Arial" w:hAnsi="Arial" w:cs="Arial"/>
            <w:noProof/>
            <w:webHidden/>
            <w:sz w:val="22"/>
            <w:szCs w:val="22"/>
          </w:rPr>
        </w:r>
        <w:r w:rsidRPr="00B4324A">
          <w:rPr>
            <w:rFonts w:ascii="Arial" w:hAnsi="Arial" w:cs="Arial"/>
            <w:noProof/>
            <w:webHidden/>
            <w:sz w:val="22"/>
            <w:szCs w:val="22"/>
          </w:rPr>
          <w:fldChar w:fldCharType="separate"/>
        </w:r>
        <w:r w:rsidRPr="00B4324A">
          <w:rPr>
            <w:rFonts w:ascii="Arial" w:hAnsi="Arial" w:cs="Arial"/>
            <w:noProof/>
            <w:webHidden/>
            <w:sz w:val="22"/>
            <w:szCs w:val="22"/>
          </w:rPr>
          <w:t>11</w:t>
        </w:r>
        <w:r w:rsidRPr="00B4324A">
          <w:rPr>
            <w:rFonts w:ascii="Arial" w:hAnsi="Arial" w:cs="Arial"/>
            <w:noProof/>
            <w:webHidden/>
            <w:sz w:val="22"/>
            <w:szCs w:val="22"/>
          </w:rPr>
          <w:fldChar w:fldCharType="end"/>
        </w:r>
      </w:hyperlink>
    </w:p>
    <w:p w14:paraId="7027BA8F" w14:textId="7B3C9469" w:rsidR="009241E4" w:rsidRDefault="00B4324A" w:rsidP="00C016F2">
      <w:pPr>
        <w:spacing w:before="100" w:beforeAutospacing="1" w:after="100" w:afterAutospacing="1" w:line="360" w:lineRule="auto"/>
        <w:jc w:val="both"/>
        <w:rPr>
          <w:rFonts w:ascii="Arial" w:eastAsia="Times New Roman" w:hAnsi="Arial" w:cs="Arial"/>
          <w:color w:val="000000" w:themeColor="text1"/>
        </w:rPr>
      </w:pPr>
      <w:r w:rsidRPr="00B4324A">
        <w:rPr>
          <w:rFonts w:ascii="Arial" w:eastAsia="Times New Roman" w:hAnsi="Arial" w:cs="Arial"/>
          <w:color w:val="000000" w:themeColor="text1"/>
        </w:rPr>
        <w:fldChar w:fldCharType="end"/>
      </w:r>
    </w:p>
    <w:p w14:paraId="118E27A0" w14:textId="1592E7D0" w:rsidR="00360847" w:rsidRDefault="00360847" w:rsidP="00C016F2">
      <w:pPr>
        <w:spacing w:before="100" w:beforeAutospacing="1" w:after="100" w:afterAutospacing="1" w:line="360" w:lineRule="auto"/>
        <w:jc w:val="both"/>
        <w:rPr>
          <w:rFonts w:ascii="Arial" w:eastAsia="Times New Roman" w:hAnsi="Arial" w:cs="Arial"/>
          <w:color w:val="000000" w:themeColor="text1"/>
        </w:rPr>
      </w:pPr>
    </w:p>
    <w:p w14:paraId="57B55FC5" w14:textId="691E8DA8" w:rsidR="00360847" w:rsidRDefault="00360847" w:rsidP="00C016F2">
      <w:pPr>
        <w:spacing w:before="100" w:beforeAutospacing="1" w:after="100" w:afterAutospacing="1" w:line="360" w:lineRule="auto"/>
        <w:jc w:val="both"/>
        <w:rPr>
          <w:rFonts w:ascii="Arial" w:eastAsia="Times New Roman" w:hAnsi="Arial" w:cs="Arial"/>
          <w:color w:val="000000" w:themeColor="text1"/>
        </w:rPr>
      </w:pPr>
    </w:p>
    <w:p w14:paraId="6922A195" w14:textId="709DAEA3" w:rsidR="00360847" w:rsidRDefault="00360847" w:rsidP="00C016F2">
      <w:pPr>
        <w:spacing w:before="100" w:beforeAutospacing="1" w:after="100" w:afterAutospacing="1" w:line="360" w:lineRule="auto"/>
        <w:jc w:val="both"/>
        <w:rPr>
          <w:rFonts w:ascii="Arial" w:eastAsia="Times New Roman" w:hAnsi="Arial" w:cs="Arial"/>
          <w:color w:val="000000" w:themeColor="text1"/>
        </w:rPr>
      </w:pPr>
    </w:p>
    <w:p w14:paraId="6C41976D" w14:textId="77777777" w:rsidR="00360847" w:rsidRPr="0035727F" w:rsidRDefault="00360847" w:rsidP="00C016F2">
      <w:pPr>
        <w:spacing w:before="100" w:beforeAutospacing="1" w:after="100" w:afterAutospacing="1" w:line="360" w:lineRule="auto"/>
        <w:jc w:val="both"/>
        <w:rPr>
          <w:rFonts w:ascii="Arial" w:eastAsia="Times New Roman" w:hAnsi="Arial" w:cs="Arial"/>
          <w:color w:val="000000" w:themeColor="text1"/>
        </w:rPr>
      </w:pPr>
    </w:p>
    <w:p w14:paraId="3E5A51BA" w14:textId="77777777" w:rsidR="00C016F2" w:rsidRPr="0035727F" w:rsidRDefault="00C016F2" w:rsidP="00C016F2">
      <w:pPr>
        <w:spacing w:before="100" w:beforeAutospacing="1" w:after="100" w:afterAutospacing="1" w:line="360" w:lineRule="auto"/>
        <w:jc w:val="both"/>
        <w:rPr>
          <w:rFonts w:ascii="Arial" w:eastAsia="Times New Roman" w:hAnsi="Arial" w:cs="Arial"/>
          <w:color w:val="000000" w:themeColor="text1"/>
        </w:rPr>
      </w:pPr>
    </w:p>
    <w:p w14:paraId="29FE25BD" w14:textId="77777777" w:rsidR="00C016F2" w:rsidRPr="0035727F" w:rsidRDefault="00C016F2" w:rsidP="00C016F2">
      <w:pPr>
        <w:spacing w:before="100" w:beforeAutospacing="1" w:after="100" w:afterAutospacing="1" w:line="360" w:lineRule="auto"/>
        <w:jc w:val="both"/>
        <w:rPr>
          <w:rFonts w:ascii="Arial" w:eastAsia="Times New Roman" w:hAnsi="Arial" w:cs="Arial"/>
          <w:color w:val="000000" w:themeColor="text1"/>
        </w:rPr>
      </w:pPr>
    </w:p>
    <w:p w14:paraId="15FA7CFC" w14:textId="77777777" w:rsidR="00C016F2" w:rsidRPr="0035727F" w:rsidRDefault="00C016F2" w:rsidP="00C016F2">
      <w:pPr>
        <w:spacing w:before="100" w:beforeAutospacing="1" w:after="100" w:afterAutospacing="1" w:line="360" w:lineRule="auto"/>
        <w:jc w:val="both"/>
        <w:rPr>
          <w:rFonts w:ascii="Arial" w:eastAsia="Times New Roman" w:hAnsi="Arial" w:cs="Arial"/>
          <w:color w:val="000000" w:themeColor="text1"/>
        </w:rPr>
      </w:pPr>
    </w:p>
    <w:p w14:paraId="4599814D" w14:textId="20DF7420" w:rsidR="00C016F2" w:rsidRDefault="00C016F2" w:rsidP="00C016F2">
      <w:pPr>
        <w:spacing w:before="100" w:beforeAutospacing="1" w:after="100" w:afterAutospacing="1" w:line="360" w:lineRule="auto"/>
        <w:jc w:val="both"/>
        <w:rPr>
          <w:rFonts w:ascii="Arial" w:eastAsia="Times New Roman" w:hAnsi="Arial" w:cs="Arial"/>
          <w:color w:val="000000" w:themeColor="text1"/>
        </w:rPr>
      </w:pPr>
    </w:p>
    <w:p w14:paraId="34FDB26F" w14:textId="77777777" w:rsidR="000E69DF" w:rsidRDefault="000E69DF" w:rsidP="000E69DF">
      <w:pPr>
        <w:spacing w:before="100" w:beforeAutospacing="1" w:after="100" w:afterAutospacing="1" w:line="360" w:lineRule="auto"/>
        <w:jc w:val="both"/>
        <w:rPr>
          <w:rFonts w:ascii="Arial" w:eastAsia="Times New Roman" w:hAnsi="Arial" w:cs="Arial"/>
          <w:color w:val="000000" w:themeColor="text1"/>
        </w:rPr>
        <w:sectPr w:rsidR="000E69DF">
          <w:pgSz w:w="12240" w:h="15840"/>
          <w:pgMar w:top="1440" w:right="1440" w:bottom="1440" w:left="1440" w:header="720" w:footer="720" w:gutter="0"/>
          <w:cols w:space="720"/>
          <w:docGrid w:linePitch="360"/>
        </w:sectPr>
      </w:pPr>
    </w:p>
    <w:p w14:paraId="72003082" w14:textId="77777777" w:rsidR="000E69DF" w:rsidRPr="0035727F" w:rsidRDefault="000E69DF" w:rsidP="000E69DF">
      <w:pPr>
        <w:spacing w:before="100" w:beforeAutospacing="1" w:after="100" w:afterAutospacing="1" w:line="360" w:lineRule="auto"/>
        <w:jc w:val="both"/>
        <w:rPr>
          <w:rFonts w:ascii="Arial" w:eastAsia="Times New Roman" w:hAnsi="Arial" w:cs="Arial"/>
          <w:color w:val="000000" w:themeColor="text1"/>
        </w:rPr>
      </w:pPr>
    </w:p>
    <w:p w14:paraId="642C6B1F" w14:textId="2C278D8C" w:rsidR="000E69DF" w:rsidRPr="000E69DF" w:rsidRDefault="00D83E7F" w:rsidP="000E69DF">
      <w:pPr>
        <w:pStyle w:val="Heading1"/>
        <w:rPr>
          <w:rFonts w:eastAsia="Times New Roman"/>
        </w:rPr>
      </w:pPr>
      <w:bookmarkStart w:id="0" w:name="_Toc128777550"/>
      <w:bookmarkStart w:id="1" w:name="_Toc128778817"/>
      <w:r w:rsidRPr="0035727F">
        <w:rPr>
          <w:rFonts w:eastAsia="Times New Roman"/>
        </w:rPr>
        <w:t>Introduction</w:t>
      </w:r>
      <w:bookmarkEnd w:id="0"/>
      <w:bookmarkEnd w:id="1"/>
      <w:r w:rsidRPr="0035727F">
        <w:rPr>
          <w:rFonts w:eastAsia="Times New Roman"/>
        </w:rPr>
        <w:t xml:space="preserve"> </w:t>
      </w:r>
    </w:p>
    <w:p w14:paraId="614A030E" w14:textId="17725F6D" w:rsidR="00260C36" w:rsidRDefault="00260C36" w:rsidP="00260C36">
      <w:pPr>
        <w:rPr>
          <w:rFonts w:ascii="Arial" w:hAnsi="Arial" w:cs="Arial"/>
        </w:rPr>
      </w:pPr>
      <w:r>
        <w:rPr>
          <w:rFonts w:ascii="Arial" w:hAnsi="Arial" w:cs="Arial"/>
        </w:rPr>
        <w:t xml:space="preserve">In order to lay a foundation for my work, I will initially attempt to define management accounting as a concept and exemplify its importance. </w:t>
      </w:r>
    </w:p>
    <w:p w14:paraId="0B57A096" w14:textId="77777777" w:rsidR="00260C36" w:rsidRDefault="00260C36" w:rsidP="00260C36">
      <w:pPr>
        <w:spacing w:before="100" w:beforeAutospacing="1" w:after="100" w:afterAutospacing="1" w:line="360" w:lineRule="auto"/>
        <w:jc w:val="both"/>
        <w:rPr>
          <w:rFonts w:ascii="Arial" w:hAnsi="Arial" w:cs="Arial"/>
        </w:rPr>
      </w:pPr>
      <w:r>
        <w:rPr>
          <w:rFonts w:ascii="Arial" w:hAnsi="Arial" w:cs="Arial"/>
        </w:rPr>
        <w:t>Thus, management accounting can be defined as the process of gathering and presenting of financial information to managers, with the purpose of informing and forecasting future investments within an organization. In addition, we can refer to academic sources where management accounting is defined as ‘</w:t>
      </w:r>
      <w:r w:rsidRPr="00340FA5">
        <w:rPr>
          <w:rFonts w:ascii="Arial" w:hAnsi="Arial" w:cs="Arial"/>
        </w:rPr>
        <w:t>the presentation of accounting information in such a way as to assist management in the creation of policy and day-to-day operation of an undertaking</w:t>
      </w:r>
      <w:r>
        <w:rPr>
          <w:rFonts w:ascii="Arial" w:hAnsi="Arial" w:cs="Arial"/>
        </w:rPr>
        <w:t>’ (</w:t>
      </w:r>
      <w:proofErr w:type="spellStart"/>
      <w:r>
        <w:rPr>
          <w:rFonts w:ascii="Arial" w:hAnsi="Arial" w:cs="Arial"/>
        </w:rPr>
        <w:t>Madegowda</w:t>
      </w:r>
      <w:proofErr w:type="spellEnd"/>
      <w:r>
        <w:rPr>
          <w:rFonts w:ascii="Arial" w:hAnsi="Arial" w:cs="Arial"/>
        </w:rPr>
        <w:t>, 2008, p.6).</w:t>
      </w:r>
      <w:r w:rsidRPr="00260C36">
        <w:rPr>
          <w:rFonts w:ascii="Arial" w:hAnsi="Arial" w:cs="Arial"/>
        </w:rPr>
        <w:t xml:space="preserve"> </w:t>
      </w:r>
    </w:p>
    <w:p w14:paraId="0228B54E" w14:textId="3BB842CE" w:rsidR="00260C36" w:rsidRDefault="00260C36" w:rsidP="00260C36">
      <w:pPr>
        <w:spacing w:before="100" w:beforeAutospacing="1" w:after="100" w:afterAutospacing="1" w:line="360" w:lineRule="auto"/>
        <w:jc w:val="both"/>
        <w:rPr>
          <w:rFonts w:ascii="Arial" w:hAnsi="Arial" w:cs="Arial"/>
        </w:rPr>
      </w:pPr>
      <w:r>
        <w:rPr>
          <w:rFonts w:ascii="Arial" w:hAnsi="Arial" w:cs="Arial"/>
        </w:rPr>
        <w:t>Management accountants play a key role in the development and future growth of an organization. They are responsible for budgeting, producing financial statements, advising on strategic planning or producing tax paperwork. As such, they hold great responsibility and influence with a company</w:t>
      </w:r>
      <w:r>
        <w:rPr>
          <w:rFonts w:ascii="Arial" w:hAnsi="Arial" w:cs="Arial"/>
        </w:rPr>
        <w:t>.</w:t>
      </w:r>
    </w:p>
    <w:p w14:paraId="7647183C" w14:textId="77777777" w:rsidR="00260C36" w:rsidRDefault="00D83E7F" w:rsidP="00260C36">
      <w:pPr>
        <w:spacing w:before="100" w:beforeAutospacing="1" w:after="100" w:afterAutospacing="1"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 </w:t>
      </w:r>
      <w:r w:rsidR="00260C36">
        <w:rPr>
          <w:rFonts w:ascii="Arial" w:eastAsia="Times New Roman" w:hAnsi="Arial" w:cs="Arial"/>
          <w:color w:val="000000" w:themeColor="text1"/>
        </w:rPr>
        <w:t>I</w:t>
      </w:r>
      <w:r w:rsidRPr="0035727F">
        <w:rPr>
          <w:rFonts w:ascii="Arial" w:eastAsia="Times New Roman" w:hAnsi="Arial" w:cs="Arial"/>
          <w:color w:val="000000" w:themeColor="text1"/>
        </w:rPr>
        <w:t>n management accounting, there are two types of accounting methods as absorbing costing method and the marginal costing method. Using these two types of methods, a management accounting statement is prepared. These two types of the accounting system are necessary for including different transactions. In the marginal costing method, the fixed costs are not added to product costs but in the absorbing costing method, fixed costs alongside variable costs are added as product costs.</w:t>
      </w:r>
      <w:r w:rsidR="00F24F84" w:rsidRPr="0035727F">
        <w:rPr>
          <w:rFonts w:ascii="Arial" w:eastAsia="Times New Roman" w:hAnsi="Arial" w:cs="Arial"/>
          <w:color w:val="000000" w:themeColor="text1"/>
        </w:rPr>
        <w:t xml:space="preserve"> </w:t>
      </w:r>
    </w:p>
    <w:p w14:paraId="1E32250D" w14:textId="5B5D9691" w:rsidR="00EA41A9" w:rsidRDefault="00260C36" w:rsidP="00260C36">
      <w:pPr>
        <w:spacing w:before="100" w:beforeAutospacing="1" w:after="100" w:afterAutospacing="1" w:line="360" w:lineRule="auto"/>
        <w:jc w:val="both"/>
        <w:rPr>
          <w:rFonts w:ascii="Arial" w:hAnsi="Arial" w:cs="Arial"/>
        </w:rPr>
      </w:pPr>
      <w:r>
        <w:rPr>
          <w:rFonts w:ascii="Arial" w:hAnsi="Arial" w:cs="Arial"/>
        </w:rPr>
        <w:t xml:space="preserve">Presented report is based on Mobility Global (MG), a manufacturer of special personal mobility equipment. The report will reflect on the differences between marginal costing and absorption costing techniques, will include a marginal costing statement for the products they manufacture and </w:t>
      </w:r>
      <w:r>
        <w:rPr>
          <w:rFonts w:ascii="Arial" w:hAnsi="Arial" w:cs="Arial"/>
        </w:rPr>
        <w:t>advice</w:t>
      </w:r>
      <w:r>
        <w:rPr>
          <w:rFonts w:ascii="Arial" w:hAnsi="Arial" w:cs="Arial"/>
        </w:rPr>
        <w:t xml:space="preserve"> regarding the profitability and sustainability of manufacturing said products.</w:t>
      </w:r>
    </w:p>
    <w:p w14:paraId="2BE08576" w14:textId="5F6CDD00" w:rsidR="00260C36" w:rsidRDefault="00260C36" w:rsidP="00260C36">
      <w:pPr>
        <w:spacing w:before="100" w:beforeAutospacing="1" w:after="100" w:afterAutospacing="1" w:line="360" w:lineRule="auto"/>
        <w:jc w:val="both"/>
        <w:rPr>
          <w:rFonts w:ascii="Arial" w:hAnsi="Arial" w:cs="Arial"/>
        </w:rPr>
      </w:pPr>
    </w:p>
    <w:p w14:paraId="6E6740BC" w14:textId="77777777" w:rsidR="00260C36" w:rsidRPr="0035727F" w:rsidRDefault="00260C36" w:rsidP="00260C36">
      <w:pPr>
        <w:spacing w:before="100" w:beforeAutospacing="1" w:after="100" w:afterAutospacing="1" w:line="360" w:lineRule="auto"/>
        <w:jc w:val="both"/>
        <w:rPr>
          <w:rFonts w:ascii="Arial" w:eastAsia="Times New Roman" w:hAnsi="Arial" w:cs="Arial"/>
          <w:color w:val="000000" w:themeColor="text1"/>
        </w:rPr>
      </w:pPr>
    </w:p>
    <w:p w14:paraId="04C41721" w14:textId="77777777" w:rsidR="0005057B" w:rsidRPr="0035727F" w:rsidRDefault="00D83E7F" w:rsidP="0035727F">
      <w:pPr>
        <w:pStyle w:val="Heading1"/>
        <w:rPr>
          <w:rFonts w:eastAsia="Times New Roman"/>
          <w:b w:val="0"/>
        </w:rPr>
      </w:pPr>
      <w:bookmarkStart w:id="2" w:name="_Toc128777551"/>
      <w:bookmarkStart w:id="3" w:name="_Toc128778818"/>
      <w:r w:rsidRPr="0035727F">
        <w:rPr>
          <w:rFonts w:eastAsia="Times New Roman"/>
        </w:rPr>
        <w:lastRenderedPageBreak/>
        <w:t>Difference between marginal costing and absorbing costing</w:t>
      </w:r>
      <w:bookmarkEnd w:id="2"/>
      <w:bookmarkEnd w:id="3"/>
    </w:p>
    <w:p w14:paraId="71B7F153" w14:textId="77777777" w:rsidR="00B56246" w:rsidRPr="0035727F" w:rsidRDefault="00D83E7F" w:rsidP="006E7438">
      <w:pPr>
        <w:spacing w:before="100" w:beforeAutospacing="1" w:after="100" w:afterAutospacing="1"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The marginal costing method is important for management accounting because using this method, the contribution margin can be calculated. In variable costs, product costs are used but the fixed costs are not included here. The absorbing costing method includes both period cost and product cost. This method is important when taxes are included in the financial reporting purpose. the key differences between them are given below:</w:t>
      </w:r>
    </w:p>
    <w:tbl>
      <w:tblPr>
        <w:tblW w:w="9269" w:type="dxa"/>
        <w:tblCellMar>
          <w:top w:w="15" w:type="dxa"/>
          <w:left w:w="15" w:type="dxa"/>
          <w:bottom w:w="15" w:type="dxa"/>
          <w:right w:w="15" w:type="dxa"/>
        </w:tblCellMar>
        <w:tblLook w:val="04A0" w:firstRow="1" w:lastRow="0" w:firstColumn="1" w:lastColumn="0" w:noHBand="0" w:noVBand="1"/>
      </w:tblPr>
      <w:tblGrid>
        <w:gridCol w:w="4548"/>
        <w:gridCol w:w="4721"/>
      </w:tblGrid>
      <w:tr w:rsidR="004609E5" w:rsidRPr="0035727F" w14:paraId="2AFFECF8" w14:textId="77777777" w:rsidTr="00FE302F">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38B20107" w14:textId="77777777" w:rsidR="00B56246" w:rsidRPr="0035727F" w:rsidRDefault="00D83E7F" w:rsidP="00C016F2">
            <w:pPr>
              <w:spacing w:after="300" w:line="240" w:lineRule="auto"/>
              <w:jc w:val="both"/>
              <w:rPr>
                <w:rFonts w:ascii="Arial" w:eastAsia="Times New Roman" w:hAnsi="Arial" w:cs="Arial"/>
                <w:color w:val="000000" w:themeColor="text1"/>
              </w:rPr>
            </w:pPr>
            <w:r w:rsidRPr="0035727F">
              <w:rPr>
                <w:rFonts w:ascii="Arial" w:eastAsia="Times New Roman" w:hAnsi="Arial" w:cs="Arial"/>
                <w:b/>
                <w:bCs/>
                <w:color w:val="000000" w:themeColor="text1"/>
              </w:rPr>
              <w:t>Marginal Costing</w:t>
            </w:r>
          </w:p>
        </w:tc>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1FDE3765" w14:textId="77777777" w:rsidR="00B56246" w:rsidRPr="0035727F" w:rsidRDefault="00D83E7F" w:rsidP="00C016F2">
            <w:pPr>
              <w:spacing w:after="300" w:line="240" w:lineRule="auto"/>
              <w:jc w:val="both"/>
              <w:rPr>
                <w:rFonts w:ascii="Arial" w:eastAsia="Times New Roman" w:hAnsi="Arial" w:cs="Arial"/>
                <w:color w:val="000000" w:themeColor="text1"/>
              </w:rPr>
            </w:pPr>
            <w:r w:rsidRPr="0035727F">
              <w:rPr>
                <w:rFonts w:ascii="Arial" w:eastAsia="Times New Roman" w:hAnsi="Arial" w:cs="Arial"/>
                <w:b/>
                <w:bCs/>
                <w:color w:val="000000" w:themeColor="text1"/>
              </w:rPr>
              <w:t>Absorption Costing</w:t>
            </w:r>
          </w:p>
        </w:tc>
      </w:tr>
      <w:tr w:rsidR="004609E5" w:rsidRPr="0035727F" w14:paraId="064E7DB4" w14:textId="77777777" w:rsidTr="00FE302F">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3732A050" w14:textId="77777777" w:rsidR="00B56246" w:rsidRPr="0035727F" w:rsidRDefault="00D83E7F" w:rsidP="006E7438">
            <w:pPr>
              <w:spacing w:after="30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In the marginal costing method, product costs are considered variable costs. </w:t>
            </w:r>
          </w:p>
        </w:tc>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2C3CFC13" w14:textId="77777777" w:rsidR="00B56246" w:rsidRPr="0035727F" w:rsidRDefault="00D83E7F" w:rsidP="00C016F2">
            <w:pPr>
              <w:spacing w:after="30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In the absorbing costing method, fixed costs, and variable costs are considered product costs </w:t>
            </w:r>
            <w:r w:rsidR="008E3A03" w:rsidRPr="0035727F">
              <w:rPr>
                <w:rFonts w:ascii="Arial" w:eastAsia="Times New Roman" w:hAnsi="Arial" w:cs="Arial"/>
                <w:color w:val="000000" w:themeColor="text1"/>
              </w:rPr>
              <w:t>(</w:t>
            </w:r>
            <w:r w:rsidR="008E3A03" w:rsidRPr="0035727F">
              <w:rPr>
                <w:rFonts w:ascii="Arial" w:hAnsi="Arial" w:cs="Arial"/>
                <w:color w:val="000000" w:themeColor="text1"/>
                <w:shd w:val="clear" w:color="auto" w:fill="FFFFFF"/>
              </w:rPr>
              <w:t>Drury, 2018)</w:t>
            </w:r>
            <w:r w:rsidR="00A7109A" w:rsidRPr="0035727F">
              <w:rPr>
                <w:rFonts w:ascii="Arial" w:eastAsia="Times New Roman" w:hAnsi="Arial" w:cs="Arial"/>
                <w:color w:val="000000" w:themeColor="text1"/>
              </w:rPr>
              <w:t xml:space="preserve">. </w:t>
            </w:r>
          </w:p>
          <w:p w14:paraId="3A9F24AB" w14:textId="77777777" w:rsidR="00B56246" w:rsidRPr="0035727F" w:rsidRDefault="00B56246" w:rsidP="00C016F2">
            <w:pPr>
              <w:spacing w:after="300" w:line="240" w:lineRule="auto"/>
              <w:jc w:val="both"/>
              <w:rPr>
                <w:rFonts w:ascii="Arial" w:eastAsia="Times New Roman" w:hAnsi="Arial" w:cs="Arial"/>
                <w:color w:val="000000" w:themeColor="text1"/>
              </w:rPr>
            </w:pPr>
          </w:p>
        </w:tc>
      </w:tr>
      <w:tr w:rsidR="004609E5" w:rsidRPr="0035727F" w14:paraId="12B03568" w14:textId="77777777" w:rsidTr="00FE302F">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0C39241B" w14:textId="77777777" w:rsidR="00B56246" w:rsidRPr="0035727F" w:rsidRDefault="00D83E7F" w:rsidP="006E7438">
            <w:pPr>
              <w:spacing w:after="30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Fixed cost is demonstrated as period cost and variable cost is demonstrated as product cost </w:t>
            </w:r>
            <w:r w:rsidR="008E3A03" w:rsidRPr="0035727F">
              <w:rPr>
                <w:rFonts w:ascii="Arial" w:eastAsia="Times New Roman" w:hAnsi="Arial" w:cs="Arial"/>
                <w:color w:val="000000" w:themeColor="text1"/>
              </w:rPr>
              <w:t>(</w:t>
            </w:r>
            <w:r w:rsidR="008E3A03" w:rsidRPr="0035727F">
              <w:rPr>
                <w:rFonts w:ascii="Arial" w:hAnsi="Arial" w:cs="Arial"/>
                <w:color w:val="000000" w:themeColor="text1"/>
                <w:shd w:val="clear" w:color="auto" w:fill="FFFFFF"/>
              </w:rPr>
              <w:t>Bromwich &amp; Bhimani, 2015)</w:t>
            </w:r>
            <w:r w:rsidR="00A7109A" w:rsidRPr="0035727F">
              <w:rPr>
                <w:rFonts w:ascii="Arial" w:eastAsia="Times New Roman" w:hAnsi="Arial" w:cs="Arial"/>
                <w:color w:val="000000" w:themeColor="text1"/>
              </w:rPr>
              <w:t>.</w:t>
            </w:r>
          </w:p>
        </w:tc>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072ADEC1" w14:textId="77777777" w:rsidR="00B56246" w:rsidRPr="0035727F" w:rsidRDefault="00D83E7F" w:rsidP="00C016F2">
            <w:pPr>
              <w:spacing w:after="30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As product costs both fixed cost and variable costs are included. </w:t>
            </w:r>
          </w:p>
        </w:tc>
      </w:tr>
      <w:tr w:rsidR="004609E5" w:rsidRPr="0035727F" w14:paraId="110DE3C1" w14:textId="77777777" w:rsidTr="00FE302F">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0CFD9F77" w14:textId="77777777" w:rsidR="00B56246" w:rsidRPr="0035727F" w:rsidRDefault="00D83E7F" w:rsidP="006E7438">
            <w:pPr>
              <w:spacing w:after="30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Overhead costs are breakdown into variable costs and fixed costs. </w:t>
            </w:r>
          </w:p>
        </w:tc>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78DB530C" w14:textId="77777777" w:rsidR="00B56246" w:rsidRPr="0035727F" w:rsidRDefault="00D83E7F" w:rsidP="006E7438">
            <w:pPr>
              <w:spacing w:after="30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On the other hand, overhead costs are included as product costs, distribution costs, and administration costs </w:t>
            </w:r>
            <w:r w:rsidR="008E3A03" w:rsidRPr="0035727F">
              <w:rPr>
                <w:rFonts w:ascii="Arial" w:eastAsia="Times New Roman" w:hAnsi="Arial" w:cs="Arial"/>
                <w:color w:val="000000" w:themeColor="text1"/>
              </w:rPr>
              <w:t>(</w:t>
            </w:r>
            <w:proofErr w:type="spellStart"/>
            <w:r w:rsidR="008E3A03" w:rsidRPr="0035727F">
              <w:rPr>
                <w:rFonts w:ascii="Arial" w:hAnsi="Arial" w:cs="Arial"/>
                <w:color w:val="000000" w:themeColor="text1"/>
              </w:rPr>
              <w:t>Jiambalvo</w:t>
            </w:r>
            <w:proofErr w:type="spellEnd"/>
            <w:r w:rsidR="008E3A03" w:rsidRPr="0035727F">
              <w:rPr>
                <w:rFonts w:ascii="Arial" w:hAnsi="Arial" w:cs="Arial"/>
                <w:color w:val="000000" w:themeColor="text1"/>
              </w:rPr>
              <w:t>, 2019)</w:t>
            </w:r>
            <w:r w:rsidR="00A7109A" w:rsidRPr="0035727F">
              <w:rPr>
                <w:rFonts w:ascii="Arial" w:eastAsia="Times New Roman" w:hAnsi="Arial" w:cs="Arial"/>
                <w:color w:val="000000" w:themeColor="text1"/>
              </w:rPr>
              <w:t xml:space="preserve">. </w:t>
            </w:r>
          </w:p>
        </w:tc>
      </w:tr>
      <w:tr w:rsidR="004609E5" w:rsidRPr="0035727F" w14:paraId="598562A1" w14:textId="77777777" w:rsidTr="00FE302F">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5CE72845" w14:textId="77777777" w:rsidR="00B56246" w:rsidRPr="0035727F" w:rsidRDefault="00D83E7F" w:rsidP="006E7438">
            <w:pPr>
              <w:spacing w:after="30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The profit volume ratio is used to calculate the profit of the company. </w:t>
            </w:r>
          </w:p>
        </w:tc>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2B00D202" w14:textId="77777777" w:rsidR="00D93570" w:rsidRPr="0035727F" w:rsidRDefault="00D83E7F" w:rsidP="000D4BB6">
            <w:pPr>
              <w:spacing w:after="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When the fixed costs are considered product costs, the profit is reduced here. </w:t>
            </w:r>
          </w:p>
        </w:tc>
      </w:tr>
      <w:tr w:rsidR="004609E5" w:rsidRPr="0035727F" w14:paraId="03CA70CC" w14:textId="77777777" w:rsidTr="00FE302F">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6D259466" w14:textId="77777777" w:rsidR="00B56246" w:rsidRPr="0035727F" w:rsidRDefault="00D83E7F" w:rsidP="000D4BB6">
            <w:pPr>
              <w:spacing w:after="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The unit per cost of the next product can be evaluated. </w:t>
            </w:r>
          </w:p>
        </w:tc>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55BB0C0F" w14:textId="77777777" w:rsidR="00B56246" w:rsidRPr="0035727F" w:rsidRDefault="00D83E7F" w:rsidP="000D4BB6">
            <w:pPr>
              <w:spacing w:after="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Each unit per cost of the product can be evaluated.  </w:t>
            </w:r>
          </w:p>
        </w:tc>
      </w:tr>
      <w:tr w:rsidR="004609E5" w:rsidRPr="0035727F" w14:paraId="72DE89E0" w14:textId="77777777" w:rsidTr="00FE302F">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0855F151" w14:textId="77777777" w:rsidR="00B56246" w:rsidRPr="0035727F" w:rsidRDefault="00D83E7F" w:rsidP="000D4BB6">
            <w:pPr>
              <w:spacing w:after="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Using this method, the unit per contribution margin is calculated. </w:t>
            </w:r>
          </w:p>
        </w:tc>
        <w:tc>
          <w:tcPr>
            <w:tcW w:w="0" w:type="auto"/>
            <w:tcBorders>
              <w:top w:val="single" w:sz="6" w:space="0" w:color="DDDDDD"/>
              <w:left w:val="single" w:sz="6" w:space="0" w:color="DDDDDD"/>
              <w:bottom w:val="single" w:sz="6" w:space="0" w:color="DDDDDD"/>
              <w:right w:val="single" w:sz="6" w:space="0" w:color="DDDDDD"/>
            </w:tcBorders>
            <w:tcMar>
              <w:top w:w="150" w:type="dxa"/>
              <w:left w:w="150" w:type="dxa"/>
              <w:bottom w:w="150" w:type="dxa"/>
              <w:right w:w="150" w:type="dxa"/>
            </w:tcMar>
            <w:vAlign w:val="center"/>
            <w:hideMark/>
          </w:tcPr>
          <w:p w14:paraId="64177489" w14:textId="77777777" w:rsidR="00B56246" w:rsidRPr="0035727F" w:rsidRDefault="00D83E7F" w:rsidP="000D4BB6">
            <w:pPr>
              <w:spacing w:after="0" w:line="24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Using this method, the unit per profit is determined. </w:t>
            </w:r>
          </w:p>
        </w:tc>
      </w:tr>
    </w:tbl>
    <w:p w14:paraId="481B29F9" w14:textId="703DB1EB" w:rsidR="0035727F" w:rsidRDefault="0035727F" w:rsidP="00C016F2">
      <w:pPr>
        <w:spacing w:after="300" w:line="360" w:lineRule="auto"/>
        <w:jc w:val="both"/>
        <w:outlineLvl w:val="2"/>
        <w:rPr>
          <w:rFonts w:ascii="Arial" w:eastAsia="Times New Roman" w:hAnsi="Arial" w:cs="Arial"/>
          <w:b/>
          <w:bCs/>
          <w:color w:val="000000" w:themeColor="text1"/>
        </w:rPr>
      </w:pPr>
    </w:p>
    <w:p w14:paraId="09DF7FC8" w14:textId="77777777" w:rsidR="00260C36" w:rsidRPr="0035727F" w:rsidRDefault="00260C36" w:rsidP="00C016F2">
      <w:pPr>
        <w:spacing w:after="300" w:line="360" w:lineRule="auto"/>
        <w:jc w:val="both"/>
        <w:outlineLvl w:val="2"/>
        <w:rPr>
          <w:rFonts w:ascii="Arial" w:eastAsia="Times New Roman" w:hAnsi="Arial" w:cs="Arial"/>
          <w:b/>
          <w:bCs/>
          <w:color w:val="000000" w:themeColor="text1"/>
        </w:rPr>
      </w:pPr>
    </w:p>
    <w:p w14:paraId="72E25758" w14:textId="5F58B11E" w:rsidR="00260C36" w:rsidRDefault="00D83E7F" w:rsidP="00360847">
      <w:pPr>
        <w:pStyle w:val="Heading1"/>
      </w:pPr>
      <w:bookmarkStart w:id="4" w:name="_Toc128777552"/>
      <w:bookmarkStart w:id="5" w:name="_Toc128778819"/>
      <w:r w:rsidRPr="0035727F">
        <w:lastRenderedPageBreak/>
        <w:t>Marginal Costing Statement</w:t>
      </w:r>
      <w:bookmarkEnd w:id="4"/>
      <w:bookmarkEnd w:id="5"/>
    </w:p>
    <w:p w14:paraId="688FAD3A" w14:textId="77777777" w:rsidR="007B7EBD" w:rsidRPr="007B7EBD" w:rsidRDefault="007B7EBD" w:rsidP="007B7EBD"/>
    <w:p w14:paraId="187C7314" w14:textId="77777777" w:rsidR="00107AAD"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 xml:space="preserve">Marginal Costing Statement </w:t>
      </w:r>
      <w:r w:rsidR="00D567CB" w:rsidRPr="0035727F">
        <w:rPr>
          <w:rFonts w:ascii="Arial" w:hAnsi="Arial" w:cs="Arial"/>
          <w:color w:val="000000" w:themeColor="text1"/>
        </w:rPr>
        <w:t>(Wheelchairs)</w:t>
      </w:r>
    </w:p>
    <w:p w14:paraId="795784FA" w14:textId="77777777" w:rsidR="00107AAD"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For Mobile Solution Group</w:t>
      </w:r>
    </w:p>
    <w:p w14:paraId="2D956C4C" w14:textId="77777777" w:rsidR="00107AAD"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For the year-end</w:t>
      </w:r>
    </w:p>
    <w:tbl>
      <w:tblPr>
        <w:tblStyle w:val="GridTable4-Accent5"/>
        <w:tblW w:w="9218" w:type="dxa"/>
        <w:tblLook w:val="04A0" w:firstRow="1" w:lastRow="0" w:firstColumn="1" w:lastColumn="0" w:noHBand="0" w:noVBand="1"/>
      </w:tblPr>
      <w:tblGrid>
        <w:gridCol w:w="5554"/>
        <w:gridCol w:w="1866"/>
        <w:gridCol w:w="1798"/>
      </w:tblGrid>
      <w:tr w:rsidR="004609E5" w:rsidRPr="0035727F" w14:paraId="59CE65DE" w14:textId="77777777" w:rsidTr="004609E5">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5554" w:type="dxa"/>
            <w:hideMark/>
          </w:tcPr>
          <w:p w14:paraId="586874A7"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Particulars</w:t>
            </w:r>
          </w:p>
        </w:tc>
        <w:tc>
          <w:tcPr>
            <w:tcW w:w="1866" w:type="dxa"/>
            <w:hideMark/>
          </w:tcPr>
          <w:p w14:paraId="3A500ABA" w14:textId="77777777" w:rsidR="006839CD"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c>
          <w:tcPr>
            <w:tcW w:w="1798" w:type="dxa"/>
            <w:hideMark/>
          </w:tcPr>
          <w:p w14:paraId="2BB8562A" w14:textId="77777777" w:rsidR="006839CD"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r>
      <w:tr w:rsidR="004609E5" w:rsidRPr="0035727F" w14:paraId="389165C3" w14:textId="77777777" w:rsidTr="004609E5">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5554" w:type="dxa"/>
            <w:hideMark/>
          </w:tcPr>
          <w:p w14:paraId="5E26E2F8"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Sales</w:t>
            </w:r>
          </w:p>
        </w:tc>
        <w:tc>
          <w:tcPr>
            <w:tcW w:w="1866" w:type="dxa"/>
            <w:hideMark/>
          </w:tcPr>
          <w:p w14:paraId="14DE1E76"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798" w:type="dxa"/>
            <w:noWrap/>
            <w:hideMark/>
          </w:tcPr>
          <w:p w14:paraId="28434A98"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20,100</w:t>
            </w:r>
          </w:p>
        </w:tc>
      </w:tr>
      <w:tr w:rsidR="004609E5" w:rsidRPr="0035727F" w14:paraId="0C9265AC" w14:textId="77777777" w:rsidTr="004609E5">
        <w:trPr>
          <w:trHeight w:val="489"/>
        </w:trPr>
        <w:tc>
          <w:tcPr>
            <w:cnfStyle w:val="001000000000" w:firstRow="0" w:lastRow="0" w:firstColumn="1" w:lastColumn="0" w:oddVBand="0" w:evenVBand="0" w:oddHBand="0" w:evenHBand="0" w:firstRowFirstColumn="0" w:firstRowLastColumn="0" w:lastRowFirstColumn="0" w:lastRowLastColumn="0"/>
            <w:tcW w:w="5554" w:type="dxa"/>
            <w:hideMark/>
          </w:tcPr>
          <w:p w14:paraId="3CF9BAB0"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Variable production costs</w:t>
            </w:r>
          </w:p>
        </w:tc>
        <w:tc>
          <w:tcPr>
            <w:tcW w:w="1866" w:type="dxa"/>
            <w:hideMark/>
          </w:tcPr>
          <w:p w14:paraId="537BCB67"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798" w:type="dxa"/>
            <w:hideMark/>
          </w:tcPr>
          <w:p w14:paraId="4F37039C"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7376DDFB" w14:textId="77777777" w:rsidTr="004609E5">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5554" w:type="dxa"/>
            <w:hideMark/>
          </w:tcPr>
          <w:p w14:paraId="67531D79"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materials</w:t>
            </w:r>
          </w:p>
        </w:tc>
        <w:tc>
          <w:tcPr>
            <w:tcW w:w="1866" w:type="dxa"/>
            <w:noWrap/>
            <w:hideMark/>
          </w:tcPr>
          <w:p w14:paraId="7A9E8850"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4,623</w:t>
            </w:r>
          </w:p>
        </w:tc>
        <w:tc>
          <w:tcPr>
            <w:tcW w:w="1798" w:type="dxa"/>
            <w:hideMark/>
          </w:tcPr>
          <w:p w14:paraId="2EE071B4"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1E9FDECC" w14:textId="77777777" w:rsidTr="004609E5">
        <w:trPr>
          <w:trHeight w:val="326"/>
        </w:trPr>
        <w:tc>
          <w:tcPr>
            <w:cnfStyle w:val="001000000000" w:firstRow="0" w:lastRow="0" w:firstColumn="1" w:lastColumn="0" w:oddVBand="0" w:evenVBand="0" w:oddHBand="0" w:evenHBand="0" w:firstRowFirstColumn="0" w:firstRowLastColumn="0" w:lastRowFirstColumn="0" w:lastRowLastColumn="0"/>
            <w:tcW w:w="5554" w:type="dxa"/>
            <w:hideMark/>
          </w:tcPr>
          <w:p w14:paraId="322ECCFD"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labor</w:t>
            </w:r>
          </w:p>
        </w:tc>
        <w:tc>
          <w:tcPr>
            <w:tcW w:w="1866" w:type="dxa"/>
            <w:noWrap/>
            <w:hideMark/>
          </w:tcPr>
          <w:p w14:paraId="487AC17A"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6,231.00</w:t>
            </w:r>
          </w:p>
        </w:tc>
        <w:tc>
          <w:tcPr>
            <w:tcW w:w="1798" w:type="dxa"/>
            <w:hideMark/>
          </w:tcPr>
          <w:p w14:paraId="285D4EAC"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17A28378" w14:textId="77777777" w:rsidTr="004609E5">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5554" w:type="dxa"/>
            <w:hideMark/>
          </w:tcPr>
          <w:p w14:paraId="7633086E"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Other variable expenses </w:t>
            </w:r>
          </w:p>
        </w:tc>
        <w:tc>
          <w:tcPr>
            <w:tcW w:w="1866" w:type="dxa"/>
            <w:hideMark/>
          </w:tcPr>
          <w:p w14:paraId="1ED75960"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2,211</w:t>
            </w:r>
          </w:p>
        </w:tc>
        <w:tc>
          <w:tcPr>
            <w:tcW w:w="1798" w:type="dxa"/>
            <w:hideMark/>
          </w:tcPr>
          <w:p w14:paraId="468C83A1"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3ECA1D03" w14:textId="77777777" w:rsidTr="004609E5">
        <w:trPr>
          <w:trHeight w:val="163"/>
        </w:trPr>
        <w:tc>
          <w:tcPr>
            <w:cnfStyle w:val="001000000000" w:firstRow="0" w:lastRow="0" w:firstColumn="1" w:lastColumn="0" w:oddVBand="0" w:evenVBand="0" w:oddHBand="0" w:evenHBand="0" w:firstRowFirstColumn="0" w:firstRowLastColumn="0" w:lastRowFirstColumn="0" w:lastRowLastColumn="0"/>
            <w:tcW w:w="5554" w:type="dxa"/>
            <w:hideMark/>
          </w:tcPr>
          <w:p w14:paraId="509A4D1D"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866" w:type="dxa"/>
            <w:hideMark/>
          </w:tcPr>
          <w:p w14:paraId="4A8D260E"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798" w:type="dxa"/>
            <w:hideMark/>
          </w:tcPr>
          <w:p w14:paraId="23F9BCBB"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13,065</w:t>
            </w:r>
          </w:p>
        </w:tc>
      </w:tr>
      <w:tr w:rsidR="004609E5" w:rsidRPr="0035727F" w14:paraId="0CF8F9A8" w14:textId="77777777" w:rsidTr="004609E5">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5554" w:type="dxa"/>
            <w:hideMark/>
          </w:tcPr>
          <w:p w14:paraId="6AC7D614"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Contribution Margin </w:t>
            </w:r>
          </w:p>
        </w:tc>
        <w:tc>
          <w:tcPr>
            <w:tcW w:w="1866" w:type="dxa"/>
            <w:hideMark/>
          </w:tcPr>
          <w:p w14:paraId="0F6C9CE1"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798" w:type="dxa"/>
            <w:hideMark/>
          </w:tcPr>
          <w:p w14:paraId="54CB0E85"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7,035</w:t>
            </w:r>
          </w:p>
        </w:tc>
      </w:tr>
      <w:tr w:rsidR="004609E5" w:rsidRPr="0035727F" w14:paraId="727885C6" w14:textId="77777777" w:rsidTr="004609E5">
        <w:trPr>
          <w:trHeight w:val="326"/>
        </w:trPr>
        <w:tc>
          <w:tcPr>
            <w:cnfStyle w:val="001000000000" w:firstRow="0" w:lastRow="0" w:firstColumn="1" w:lastColumn="0" w:oddVBand="0" w:evenVBand="0" w:oddHBand="0" w:evenHBand="0" w:firstRowFirstColumn="0" w:firstRowLastColumn="0" w:lastRowFirstColumn="0" w:lastRowLastColumn="0"/>
            <w:tcW w:w="5554" w:type="dxa"/>
            <w:hideMark/>
          </w:tcPr>
          <w:p w14:paraId="468E66BE"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Costs:</w:t>
            </w:r>
          </w:p>
        </w:tc>
        <w:tc>
          <w:tcPr>
            <w:tcW w:w="1866" w:type="dxa"/>
            <w:noWrap/>
            <w:hideMark/>
          </w:tcPr>
          <w:p w14:paraId="60085027"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798" w:type="dxa"/>
            <w:noWrap/>
            <w:hideMark/>
          </w:tcPr>
          <w:p w14:paraId="39F7CCCC"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015C1547" w14:textId="77777777" w:rsidTr="004609E5">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5554" w:type="dxa"/>
            <w:hideMark/>
          </w:tcPr>
          <w:p w14:paraId="14B0EAB4"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Overheads</w:t>
            </w:r>
          </w:p>
        </w:tc>
        <w:tc>
          <w:tcPr>
            <w:tcW w:w="1866" w:type="dxa"/>
            <w:noWrap/>
            <w:hideMark/>
          </w:tcPr>
          <w:p w14:paraId="6228B2E9"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798" w:type="dxa"/>
            <w:noWrap/>
            <w:hideMark/>
          </w:tcPr>
          <w:p w14:paraId="4E648556"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6,030</w:t>
            </w:r>
          </w:p>
        </w:tc>
      </w:tr>
      <w:tr w:rsidR="004609E5" w:rsidRPr="0035727F" w14:paraId="094ED07C" w14:textId="77777777" w:rsidTr="004609E5">
        <w:trPr>
          <w:trHeight w:val="163"/>
        </w:trPr>
        <w:tc>
          <w:tcPr>
            <w:cnfStyle w:val="001000000000" w:firstRow="0" w:lastRow="0" w:firstColumn="1" w:lastColumn="0" w:oddVBand="0" w:evenVBand="0" w:oddHBand="0" w:evenHBand="0" w:firstRowFirstColumn="0" w:firstRowLastColumn="0" w:lastRowFirstColumn="0" w:lastRowLastColumn="0"/>
            <w:tcW w:w="5554" w:type="dxa"/>
            <w:hideMark/>
          </w:tcPr>
          <w:p w14:paraId="44A900E3"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Profit </w:t>
            </w:r>
          </w:p>
        </w:tc>
        <w:tc>
          <w:tcPr>
            <w:tcW w:w="1866" w:type="dxa"/>
            <w:noWrap/>
            <w:hideMark/>
          </w:tcPr>
          <w:p w14:paraId="2293D1DE"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798" w:type="dxa"/>
            <w:noWrap/>
            <w:hideMark/>
          </w:tcPr>
          <w:p w14:paraId="1BE708F1"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1,005</w:t>
            </w:r>
          </w:p>
        </w:tc>
      </w:tr>
    </w:tbl>
    <w:p w14:paraId="2FA0CABD" w14:textId="6962AD98" w:rsidR="002A110E" w:rsidRDefault="00D83E7F" w:rsidP="00C016F2">
      <w:pPr>
        <w:spacing w:line="360" w:lineRule="auto"/>
        <w:jc w:val="both"/>
        <w:rPr>
          <w:rFonts w:ascii="Arial" w:eastAsia="Times New Roman" w:hAnsi="Arial" w:cs="Arial"/>
          <w:color w:val="000000" w:themeColor="text1"/>
        </w:rPr>
      </w:pPr>
      <w:r w:rsidRPr="0035727F">
        <w:rPr>
          <w:rFonts w:ascii="Arial" w:hAnsi="Arial" w:cs="Arial"/>
          <w:color w:val="000000" w:themeColor="text1"/>
        </w:rPr>
        <w:t xml:space="preserve">Preparing the marginal costing statement, it is found that the profit is </w:t>
      </w:r>
      <w:r w:rsidRPr="0035727F">
        <w:rPr>
          <w:rFonts w:ascii="Arial" w:eastAsia="Times New Roman" w:hAnsi="Arial" w:cs="Arial"/>
          <w:color w:val="000000" w:themeColor="text1"/>
        </w:rPr>
        <w:t xml:space="preserve">£1,005. Here 40 wheelchair production and each of the production costs are less. So, wheelchair generates positive profit for the company. </w:t>
      </w:r>
    </w:p>
    <w:p w14:paraId="69413B62" w14:textId="068FFCF1" w:rsidR="0035727F" w:rsidRDefault="0035727F" w:rsidP="00C016F2">
      <w:pPr>
        <w:spacing w:line="360" w:lineRule="auto"/>
        <w:jc w:val="both"/>
        <w:rPr>
          <w:rFonts w:ascii="Arial" w:eastAsia="Times New Roman" w:hAnsi="Arial" w:cs="Arial"/>
          <w:color w:val="000000" w:themeColor="text1"/>
        </w:rPr>
      </w:pPr>
    </w:p>
    <w:p w14:paraId="5CE750F6" w14:textId="2B5B2650" w:rsidR="0035727F" w:rsidRDefault="0035727F" w:rsidP="00C016F2">
      <w:pPr>
        <w:spacing w:line="360" w:lineRule="auto"/>
        <w:jc w:val="both"/>
        <w:rPr>
          <w:rFonts w:ascii="Arial" w:hAnsi="Arial" w:cs="Arial"/>
          <w:color w:val="000000" w:themeColor="text1"/>
        </w:rPr>
      </w:pPr>
    </w:p>
    <w:p w14:paraId="62D98C53" w14:textId="2ED8EF8B" w:rsidR="00360847" w:rsidRDefault="00360847" w:rsidP="00C016F2">
      <w:pPr>
        <w:spacing w:line="360" w:lineRule="auto"/>
        <w:jc w:val="both"/>
        <w:rPr>
          <w:rFonts w:ascii="Arial" w:hAnsi="Arial" w:cs="Arial"/>
          <w:color w:val="000000" w:themeColor="text1"/>
        </w:rPr>
      </w:pPr>
    </w:p>
    <w:p w14:paraId="536A7DBD" w14:textId="3766981F" w:rsidR="00260C36" w:rsidRDefault="00260C36" w:rsidP="00C016F2">
      <w:pPr>
        <w:spacing w:line="360" w:lineRule="auto"/>
        <w:jc w:val="both"/>
        <w:rPr>
          <w:rFonts w:ascii="Arial" w:hAnsi="Arial" w:cs="Arial"/>
          <w:color w:val="000000" w:themeColor="text1"/>
        </w:rPr>
      </w:pPr>
    </w:p>
    <w:p w14:paraId="75E6BCA4" w14:textId="2FDFE88C" w:rsidR="00260C36" w:rsidRDefault="00260C36" w:rsidP="00C016F2">
      <w:pPr>
        <w:spacing w:line="360" w:lineRule="auto"/>
        <w:jc w:val="both"/>
        <w:rPr>
          <w:rFonts w:ascii="Arial" w:hAnsi="Arial" w:cs="Arial"/>
          <w:color w:val="000000" w:themeColor="text1"/>
        </w:rPr>
      </w:pPr>
    </w:p>
    <w:p w14:paraId="3BE91E33" w14:textId="79384E1C" w:rsidR="00260C36" w:rsidRDefault="00260C36" w:rsidP="00C016F2">
      <w:pPr>
        <w:spacing w:line="360" w:lineRule="auto"/>
        <w:jc w:val="both"/>
        <w:rPr>
          <w:rFonts w:ascii="Arial" w:hAnsi="Arial" w:cs="Arial"/>
          <w:color w:val="000000" w:themeColor="text1"/>
        </w:rPr>
      </w:pPr>
    </w:p>
    <w:p w14:paraId="0019823C" w14:textId="6DA5E739" w:rsidR="00260C36" w:rsidRDefault="00260C36" w:rsidP="00C016F2">
      <w:pPr>
        <w:spacing w:line="360" w:lineRule="auto"/>
        <w:jc w:val="both"/>
        <w:rPr>
          <w:rFonts w:ascii="Arial" w:hAnsi="Arial" w:cs="Arial"/>
          <w:color w:val="000000" w:themeColor="text1"/>
        </w:rPr>
      </w:pPr>
    </w:p>
    <w:p w14:paraId="10A47517" w14:textId="102CAC87" w:rsidR="00260C36" w:rsidRDefault="00260C36" w:rsidP="00C016F2">
      <w:pPr>
        <w:spacing w:line="360" w:lineRule="auto"/>
        <w:jc w:val="both"/>
        <w:rPr>
          <w:rFonts w:ascii="Arial" w:hAnsi="Arial" w:cs="Arial"/>
          <w:color w:val="000000" w:themeColor="text1"/>
        </w:rPr>
      </w:pPr>
    </w:p>
    <w:p w14:paraId="1CE38139" w14:textId="5EE13ACD" w:rsidR="00260C36" w:rsidRDefault="00260C36" w:rsidP="00C016F2">
      <w:pPr>
        <w:spacing w:line="360" w:lineRule="auto"/>
        <w:jc w:val="both"/>
        <w:rPr>
          <w:rFonts w:ascii="Arial" w:hAnsi="Arial" w:cs="Arial"/>
          <w:color w:val="000000" w:themeColor="text1"/>
        </w:rPr>
      </w:pPr>
    </w:p>
    <w:p w14:paraId="0199B52D" w14:textId="77777777" w:rsidR="00260C36" w:rsidRPr="0035727F" w:rsidRDefault="00260C36" w:rsidP="00C016F2">
      <w:pPr>
        <w:spacing w:line="360" w:lineRule="auto"/>
        <w:jc w:val="both"/>
        <w:rPr>
          <w:rFonts w:ascii="Arial" w:hAnsi="Arial" w:cs="Arial"/>
          <w:color w:val="000000" w:themeColor="text1"/>
        </w:rPr>
      </w:pPr>
    </w:p>
    <w:p w14:paraId="468E7626" w14:textId="77777777" w:rsidR="00C23657"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Marginal Costing Statement (Hoists)</w:t>
      </w:r>
    </w:p>
    <w:p w14:paraId="62576033" w14:textId="77777777" w:rsidR="00C23657"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For Mobile Solution Group</w:t>
      </w:r>
    </w:p>
    <w:p w14:paraId="4D1280E8" w14:textId="77777777" w:rsidR="00C23657"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For the year-end</w:t>
      </w:r>
    </w:p>
    <w:tbl>
      <w:tblPr>
        <w:tblStyle w:val="GridTable4-Accent5"/>
        <w:tblW w:w="9198" w:type="dxa"/>
        <w:tblLook w:val="04A0" w:firstRow="1" w:lastRow="0" w:firstColumn="1" w:lastColumn="0" w:noHBand="0" w:noVBand="1"/>
      </w:tblPr>
      <w:tblGrid>
        <w:gridCol w:w="5419"/>
        <w:gridCol w:w="1924"/>
        <w:gridCol w:w="1855"/>
      </w:tblGrid>
      <w:tr w:rsidR="004609E5" w:rsidRPr="0035727F" w14:paraId="2AAF008C" w14:textId="77777777" w:rsidTr="004609E5">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5419" w:type="dxa"/>
            <w:hideMark/>
          </w:tcPr>
          <w:p w14:paraId="59E83233"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Particulars</w:t>
            </w:r>
          </w:p>
        </w:tc>
        <w:tc>
          <w:tcPr>
            <w:tcW w:w="1924" w:type="dxa"/>
            <w:hideMark/>
          </w:tcPr>
          <w:p w14:paraId="3BDABA46" w14:textId="77777777" w:rsidR="006839CD"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c>
          <w:tcPr>
            <w:tcW w:w="1855" w:type="dxa"/>
            <w:hideMark/>
          </w:tcPr>
          <w:p w14:paraId="5128F0E9" w14:textId="77777777" w:rsidR="006839CD"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r>
      <w:tr w:rsidR="004609E5" w:rsidRPr="0035727F" w14:paraId="762F3E56" w14:textId="77777777" w:rsidTr="004609E5">
        <w:trPr>
          <w:cnfStyle w:val="000000100000" w:firstRow="0" w:lastRow="0" w:firstColumn="0" w:lastColumn="0" w:oddVBand="0" w:evenVBand="0" w:oddHBand="1" w:evenHBand="0" w:firstRowFirstColumn="0" w:firstRowLastColumn="0" w:lastRowFirstColumn="0" w:lastRowLastColumn="0"/>
          <w:trHeight w:val="212"/>
        </w:trPr>
        <w:tc>
          <w:tcPr>
            <w:cnfStyle w:val="001000000000" w:firstRow="0" w:lastRow="0" w:firstColumn="1" w:lastColumn="0" w:oddVBand="0" w:evenVBand="0" w:oddHBand="0" w:evenHBand="0" w:firstRowFirstColumn="0" w:firstRowLastColumn="0" w:lastRowFirstColumn="0" w:lastRowLastColumn="0"/>
            <w:tcW w:w="5419" w:type="dxa"/>
            <w:hideMark/>
          </w:tcPr>
          <w:p w14:paraId="16B4D5E6"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Sales</w:t>
            </w:r>
          </w:p>
        </w:tc>
        <w:tc>
          <w:tcPr>
            <w:tcW w:w="1924" w:type="dxa"/>
            <w:hideMark/>
          </w:tcPr>
          <w:p w14:paraId="327EA6A2"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855" w:type="dxa"/>
            <w:hideMark/>
          </w:tcPr>
          <w:p w14:paraId="3FCB52AB"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18,630</w:t>
            </w:r>
          </w:p>
        </w:tc>
      </w:tr>
      <w:tr w:rsidR="004609E5" w:rsidRPr="0035727F" w14:paraId="282A15C0" w14:textId="77777777" w:rsidTr="004609E5">
        <w:trPr>
          <w:trHeight w:val="636"/>
        </w:trPr>
        <w:tc>
          <w:tcPr>
            <w:cnfStyle w:val="001000000000" w:firstRow="0" w:lastRow="0" w:firstColumn="1" w:lastColumn="0" w:oddVBand="0" w:evenVBand="0" w:oddHBand="0" w:evenHBand="0" w:firstRowFirstColumn="0" w:firstRowLastColumn="0" w:lastRowFirstColumn="0" w:lastRowLastColumn="0"/>
            <w:tcW w:w="5419" w:type="dxa"/>
            <w:hideMark/>
          </w:tcPr>
          <w:p w14:paraId="0D776FBE"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Variable production costs</w:t>
            </w:r>
          </w:p>
        </w:tc>
        <w:tc>
          <w:tcPr>
            <w:tcW w:w="1924" w:type="dxa"/>
            <w:hideMark/>
          </w:tcPr>
          <w:p w14:paraId="3A06814C"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855" w:type="dxa"/>
            <w:hideMark/>
          </w:tcPr>
          <w:p w14:paraId="269B2012"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65825F65" w14:textId="77777777" w:rsidTr="004609E5">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5419" w:type="dxa"/>
            <w:hideMark/>
          </w:tcPr>
          <w:p w14:paraId="71913DF7"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materials</w:t>
            </w:r>
          </w:p>
        </w:tc>
        <w:tc>
          <w:tcPr>
            <w:tcW w:w="1924" w:type="dxa"/>
            <w:noWrap/>
            <w:hideMark/>
          </w:tcPr>
          <w:p w14:paraId="6C03170D"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6,893.10</w:t>
            </w:r>
          </w:p>
        </w:tc>
        <w:tc>
          <w:tcPr>
            <w:tcW w:w="1855" w:type="dxa"/>
            <w:hideMark/>
          </w:tcPr>
          <w:p w14:paraId="4D984455"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042B88C3" w14:textId="77777777" w:rsidTr="004609E5">
        <w:trPr>
          <w:trHeight w:val="424"/>
        </w:trPr>
        <w:tc>
          <w:tcPr>
            <w:cnfStyle w:val="001000000000" w:firstRow="0" w:lastRow="0" w:firstColumn="1" w:lastColumn="0" w:oddVBand="0" w:evenVBand="0" w:oddHBand="0" w:evenHBand="0" w:firstRowFirstColumn="0" w:firstRowLastColumn="0" w:lastRowFirstColumn="0" w:lastRowLastColumn="0"/>
            <w:tcW w:w="5419" w:type="dxa"/>
            <w:hideMark/>
          </w:tcPr>
          <w:p w14:paraId="5592A2D2"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labor</w:t>
            </w:r>
          </w:p>
        </w:tc>
        <w:tc>
          <w:tcPr>
            <w:tcW w:w="1924" w:type="dxa"/>
            <w:noWrap/>
            <w:hideMark/>
          </w:tcPr>
          <w:p w14:paraId="757D392A"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7,824.60</w:t>
            </w:r>
          </w:p>
        </w:tc>
        <w:tc>
          <w:tcPr>
            <w:tcW w:w="1855" w:type="dxa"/>
            <w:hideMark/>
          </w:tcPr>
          <w:p w14:paraId="6006E928"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3A26C258" w14:textId="77777777" w:rsidTr="004609E5">
        <w:trPr>
          <w:cnfStyle w:val="000000100000" w:firstRow="0" w:lastRow="0" w:firstColumn="0" w:lastColumn="0" w:oddVBand="0" w:evenVBand="0" w:oddHBand="1" w:evenHBand="0" w:firstRowFirstColumn="0" w:firstRowLastColumn="0" w:lastRowFirstColumn="0" w:lastRowLastColumn="0"/>
          <w:trHeight w:val="848"/>
        </w:trPr>
        <w:tc>
          <w:tcPr>
            <w:cnfStyle w:val="001000000000" w:firstRow="0" w:lastRow="0" w:firstColumn="1" w:lastColumn="0" w:oddVBand="0" w:evenVBand="0" w:oddHBand="0" w:evenHBand="0" w:firstRowFirstColumn="0" w:firstRowLastColumn="0" w:lastRowFirstColumn="0" w:lastRowLastColumn="0"/>
            <w:tcW w:w="5419" w:type="dxa"/>
            <w:hideMark/>
          </w:tcPr>
          <w:p w14:paraId="152A6387"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Other variable expenses </w:t>
            </w:r>
          </w:p>
        </w:tc>
        <w:tc>
          <w:tcPr>
            <w:tcW w:w="1924" w:type="dxa"/>
            <w:noWrap/>
            <w:hideMark/>
          </w:tcPr>
          <w:p w14:paraId="1638FED9"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4,657.50</w:t>
            </w:r>
          </w:p>
        </w:tc>
        <w:tc>
          <w:tcPr>
            <w:tcW w:w="1855" w:type="dxa"/>
            <w:hideMark/>
          </w:tcPr>
          <w:p w14:paraId="23958547"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4D5F164F" w14:textId="77777777" w:rsidTr="004609E5">
        <w:trPr>
          <w:trHeight w:val="212"/>
        </w:trPr>
        <w:tc>
          <w:tcPr>
            <w:cnfStyle w:val="001000000000" w:firstRow="0" w:lastRow="0" w:firstColumn="1" w:lastColumn="0" w:oddVBand="0" w:evenVBand="0" w:oddHBand="0" w:evenHBand="0" w:firstRowFirstColumn="0" w:firstRowLastColumn="0" w:lastRowFirstColumn="0" w:lastRowLastColumn="0"/>
            <w:tcW w:w="5419" w:type="dxa"/>
            <w:hideMark/>
          </w:tcPr>
          <w:p w14:paraId="7BFA83BB"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924" w:type="dxa"/>
            <w:hideMark/>
          </w:tcPr>
          <w:p w14:paraId="549C8E00"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855" w:type="dxa"/>
            <w:hideMark/>
          </w:tcPr>
          <w:p w14:paraId="15007397"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19,375</w:t>
            </w:r>
          </w:p>
        </w:tc>
      </w:tr>
      <w:tr w:rsidR="004609E5" w:rsidRPr="0035727F" w14:paraId="60007471" w14:textId="77777777" w:rsidTr="004609E5">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5419" w:type="dxa"/>
            <w:hideMark/>
          </w:tcPr>
          <w:p w14:paraId="53E7C637"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Contribution Margin </w:t>
            </w:r>
          </w:p>
        </w:tc>
        <w:tc>
          <w:tcPr>
            <w:tcW w:w="1924" w:type="dxa"/>
            <w:hideMark/>
          </w:tcPr>
          <w:p w14:paraId="7DAC0CEF"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855" w:type="dxa"/>
            <w:hideMark/>
          </w:tcPr>
          <w:p w14:paraId="4C792EAD"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-745</w:t>
            </w:r>
          </w:p>
        </w:tc>
      </w:tr>
      <w:tr w:rsidR="004609E5" w:rsidRPr="0035727F" w14:paraId="47C85FCC" w14:textId="77777777" w:rsidTr="004609E5">
        <w:trPr>
          <w:trHeight w:val="424"/>
        </w:trPr>
        <w:tc>
          <w:tcPr>
            <w:cnfStyle w:val="001000000000" w:firstRow="0" w:lastRow="0" w:firstColumn="1" w:lastColumn="0" w:oddVBand="0" w:evenVBand="0" w:oddHBand="0" w:evenHBand="0" w:firstRowFirstColumn="0" w:firstRowLastColumn="0" w:lastRowFirstColumn="0" w:lastRowLastColumn="0"/>
            <w:tcW w:w="5419" w:type="dxa"/>
            <w:hideMark/>
          </w:tcPr>
          <w:p w14:paraId="0C800BD7"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Costs:</w:t>
            </w:r>
          </w:p>
        </w:tc>
        <w:tc>
          <w:tcPr>
            <w:tcW w:w="1924" w:type="dxa"/>
            <w:noWrap/>
            <w:hideMark/>
          </w:tcPr>
          <w:p w14:paraId="2752E317"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855" w:type="dxa"/>
            <w:noWrap/>
            <w:hideMark/>
          </w:tcPr>
          <w:p w14:paraId="31DEB4BC"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68D5D138" w14:textId="77777777" w:rsidTr="004609E5">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5419" w:type="dxa"/>
            <w:hideMark/>
          </w:tcPr>
          <w:p w14:paraId="6D0FE43B"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Overheads</w:t>
            </w:r>
          </w:p>
        </w:tc>
        <w:tc>
          <w:tcPr>
            <w:tcW w:w="1924" w:type="dxa"/>
            <w:noWrap/>
            <w:hideMark/>
          </w:tcPr>
          <w:p w14:paraId="15B3A472"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855" w:type="dxa"/>
            <w:noWrap/>
            <w:hideMark/>
          </w:tcPr>
          <w:p w14:paraId="27B86A61"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5,962</w:t>
            </w:r>
          </w:p>
        </w:tc>
      </w:tr>
      <w:tr w:rsidR="004609E5" w:rsidRPr="0035727F" w14:paraId="76206F3D" w14:textId="77777777" w:rsidTr="004609E5">
        <w:trPr>
          <w:trHeight w:val="212"/>
        </w:trPr>
        <w:tc>
          <w:tcPr>
            <w:cnfStyle w:val="001000000000" w:firstRow="0" w:lastRow="0" w:firstColumn="1" w:lastColumn="0" w:oddVBand="0" w:evenVBand="0" w:oddHBand="0" w:evenHBand="0" w:firstRowFirstColumn="0" w:firstRowLastColumn="0" w:lastRowFirstColumn="0" w:lastRowLastColumn="0"/>
            <w:tcW w:w="5419" w:type="dxa"/>
            <w:hideMark/>
          </w:tcPr>
          <w:p w14:paraId="6DC84435"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Profit </w:t>
            </w:r>
          </w:p>
        </w:tc>
        <w:tc>
          <w:tcPr>
            <w:tcW w:w="1924" w:type="dxa"/>
            <w:noWrap/>
            <w:hideMark/>
          </w:tcPr>
          <w:p w14:paraId="36ED908D"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1855" w:type="dxa"/>
            <w:noWrap/>
            <w:hideMark/>
          </w:tcPr>
          <w:p w14:paraId="52CF4F42"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-6,707</w:t>
            </w:r>
          </w:p>
        </w:tc>
      </w:tr>
    </w:tbl>
    <w:p w14:paraId="55587650" w14:textId="55261417" w:rsidR="002A110E" w:rsidRDefault="00D83E7F" w:rsidP="00C016F2">
      <w:pPr>
        <w:spacing w:line="360" w:lineRule="auto"/>
        <w:jc w:val="both"/>
        <w:rPr>
          <w:rFonts w:ascii="Arial" w:eastAsia="Times New Roman" w:hAnsi="Arial" w:cs="Arial"/>
          <w:color w:val="000000" w:themeColor="text1"/>
        </w:rPr>
      </w:pPr>
      <w:r w:rsidRPr="0035727F">
        <w:rPr>
          <w:rFonts w:ascii="Arial" w:hAnsi="Arial" w:cs="Arial"/>
          <w:color w:val="000000" w:themeColor="text1"/>
        </w:rPr>
        <w:t xml:space="preserve">Preparing the marginal costing statement, it is found that the profit is </w:t>
      </w:r>
      <w:r w:rsidRPr="0035727F">
        <w:rPr>
          <w:rFonts w:ascii="Arial" w:eastAsia="Times New Roman" w:hAnsi="Arial" w:cs="Arial"/>
          <w:color w:val="000000" w:themeColor="text1"/>
        </w:rPr>
        <w:t>-£6,707. Here 93 Hoists production and each of the production cost is high. So, wheelchair generates negative profit for the company.</w:t>
      </w:r>
    </w:p>
    <w:p w14:paraId="30DDA001" w14:textId="4150248C" w:rsidR="0035727F" w:rsidRDefault="0035727F" w:rsidP="00C016F2">
      <w:pPr>
        <w:spacing w:line="360" w:lineRule="auto"/>
        <w:jc w:val="both"/>
        <w:rPr>
          <w:rFonts w:ascii="Arial" w:eastAsia="Times New Roman" w:hAnsi="Arial" w:cs="Arial"/>
          <w:color w:val="000000" w:themeColor="text1"/>
        </w:rPr>
      </w:pPr>
    </w:p>
    <w:p w14:paraId="3A96F510" w14:textId="4C44375C" w:rsidR="0035727F" w:rsidRDefault="0035727F" w:rsidP="00C016F2">
      <w:pPr>
        <w:spacing w:line="360" w:lineRule="auto"/>
        <w:jc w:val="both"/>
        <w:rPr>
          <w:rFonts w:ascii="Arial" w:eastAsia="Times New Roman" w:hAnsi="Arial" w:cs="Arial"/>
          <w:color w:val="000000" w:themeColor="text1"/>
        </w:rPr>
      </w:pPr>
    </w:p>
    <w:p w14:paraId="700CA860" w14:textId="30A4508E" w:rsidR="0035727F" w:rsidRDefault="0035727F" w:rsidP="00C016F2">
      <w:pPr>
        <w:spacing w:line="360" w:lineRule="auto"/>
        <w:jc w:val="both"/>
        <w:rPr>
          <w:rFonts w:ascii="Arial" w:eastAsia="Times New Roman" w:hAnsi="Arial" w:cs="Arial"/>
          <w:color w:val="000000" w:themeColor="text1"/>
        </w:rPr>
      </w:pPr>
    </w:p>
    <w:p w14:paraId="2AB31DCC" w14:textId="348AD627" w:rsidR="0035727F" w:rsidRDefault="0035727F" w:rsidP="00C016F2">
      <w:pPr>
        <w:spacing w:line="360" w:lineRule="auto"/>
        <w:jc w:val="both"/>
        <w:rPr>
          <w:rFonts w:ascii="Arial" w:eastAsia="Times New Roman" w:hAnsi="Arial" w:cs="Arial"/>
          <w:color w:val="000000" w:themeColor="text1"/>
        </w:rPr>
      </w:pPr>
    </w:p>
    <w:p w14:paraId="4D46751A" w14:textId="2307459B" w:rsidR="0035727F" w:rsidRDefault="0035727F" w:rsidP="00C016F2">
      <w:pPr>
        <w:spacing w:line="360" w:lineRule="auto"/>
        <w:jc w:val="both"/>
        <w:rPr>
          <w:rFonts w:ascii="Arial" w:eastAsia="Times New Roman" w:hAnsi="Arial" w:cs="Arial"/>
          <w:color w:val="000000" w:themeColor="text1"/>
        </w:rPr>
      </w:pPr>
    </w:p>
    <w:p w14:paraId="69061902" w14:textId="29FA496E" w:rsidR="0035727F" w:rsidRDefault="0035727F" w:rsidP="00C016F2">
      <w:pPr>
        <w:spacing w:line="360" w:lineRule="auto"/>
        <w:jc w:val="both"/>
        <w:rPr>
          <w:rFonts w:ascii="Arial" w:eastAsia="Times New Roman" w:hAnsi="Arial" w:cs="Arial"/>
          <w:color w:val="000000" w:themeColor="text1"/>
        </w:rPr>
      </w:pPr>
    </w:p>
    <w:p w14:paraId="6D42A2F2" w14:textId="315B8AC1" w:rsidR="0035727F" w:rsidRDefault="0035727F" w:rsidP="00C016F2">
      <w:pPr>
        <w:spacing w:line="360" w:lineRule="auto"/>
        <w:jc w:val="both"/>
        <w:rPr>
          <w:rFonts w:ascii="Arial" w:hAnsi="Arial" w:cs="Arial"/>
          <w:color w:val="000000" w:themeColor="text1"/>
        </w:rPr>
      </w:pPr>
    </w:p>
    <w:p w14:paraId="1FE6CFAE" w14:textId="4EE92E02" w:rsidR="00360847" w:rsidRDefault="00360847" w:rsidP="00C016F2">
      <w:pPr>
        <w:spacing w:line="360" w:lineRule="auto"/>
        <w:jc w:val="both"/>
        <w:rPr>
          <w:rFonts w:ascii="Arial" w:hAnsi="Arial" w:cs="Arial"/>
          <w:color w:val="000000" w:themeColor="text1"/>
        </w:rPr>
      </w:pPr>
    </w:p>
    <w:p w14:paraId="6296E51B" w14:textId="77777777" w:rsidR="00360847" w:rsidRPr="0035727F" w:rsidRDefault="00360847" w:rsidP="00C016F2">
      <w:pPr>
        <w:spacing w:line="360" w:lineRule="auto"/>
        <w:jc w:val="both"/>
        <w:rPr>
          <w:rFonts w:ascii="Arial" w:hAnsi="Arial" w:cs="Arial"/>
          <w:color w:val="000000" w:themeColor="text1"/>
        </w:rPr>
      </w:pPr>
    </w:p>
    <w:p w14:paraId="3DBFBE58" w14:textId="77777777" w:rsidR="006839CD"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Marginal Costing Statement (Mobile Beds)</w:t>
      </w:r>
    </w:p>
    <w:p w14:paraId="7FF6034B" w14:textId="77777777" w:rsidR="006839CD"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For Mobile Solution Group</w:t>
      </w:r>
    </w:p>
    <w:p w14:paraId="1BE93F79" w14:textId="77777777" w:rsidR="006839CD"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For the year-end</w:t>
      </w:r>
    </w:p>
    <w:tbl>
      <w:tblPr>
        <w:tblStyle w:val="GridTable4-Accent5"/>
        <w:tblW w:w="9320" w:type="dxa"/>
        <w:tblInd w:w="-5" w:type="dxa"/>
        <w:tblLook w:val="04A0" w:firstRow="1" w:lastRow="0" w:firstColumn="1" w:lastColumn="0" w:noHBand="0" w:noVBand="1"/>
      </w:tblPr>
      <w:tblGrid>
        <w:gridCol w:w="3770"/>
        <w:gridCol w:w="2775"/>
        <w:gridCol w:w="2775"/>
      </w:tblGrid>
      <w:tr w:rsidR="004609E5" w:rsidRPr="0035727F" w14:paraId="1E0D4679" w14:textId="77777777" w:rsidTr="00260C36">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3770" w:type="dxa"/>
            <w:hideMark/>
          </w:tcPr>
          <w:p w14:paraId="5E34B5BC"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Particulars</w:t>
            </w:r>
          </w:p>
        </w:tc>
        <w:tc>
          <w:tcPr>
            <w:tcW w:w="2775" w:type="dxa"/>
            <w:hideMark/>
          </w:tcPr>
          <w:p w14:paraId="272CD0A7" w14:textId="77777777" w:rsidR="006839CD"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c>
          <w:tcPr>
            <w:tcW w:w="2775" w:type="dxa"/>
            <w:hideMark/>
          </w:tcPr>
          <w:p w14:paraId="7D4D6AF5" w14:textId="77777777" w:rsidR="006839CD"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r>
      <w:tr w:rsidR="004609E5" w:rsidRPr="0035727F" w14:paraId="497EFE05" w14:textId="77777777" w:rsidTr="00260C36">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3770" w:type="dxa"/>
            <w:hideMark/>
          </w:tcPr>
          <w:p w14:paraId="7E554108"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Sales</w:t>
            </w:r>
          </w:p>
        </w:tc>
        <w:tc>
          <w:tcPr>
            <w:tcW w:w="2775" w:type="dxa"/>
            <w:hideMark/>
          </w:tcPr>
          <w:p w14:paraId="27ACCF23"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775" w:type="dxa"/>
            <w:hideMark/>
          </w:tcPr>
          <w:p w14:paraId="2B9335AD"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19,302</w:t>
            </w:r>
          </w:p>
        </w:tc>
      </w:tr>
      <w:tr w:rsidR="004609E5" w:rsidRPr="0035727F" w14:paraId="3414DEDC" w14:textId="77777777" w:rsidTr="00260C36">
        <w:trPr>
          <w:trHeight w:val="644"/>
        </w:trPr>
        <w:tc>
          <w:tcPr>
            <w:cnfStyle w:val="001000000000" w:firstRow="0" w:lastRow="0" w:firstColumn="1" w:lastColumn="0" w:oddVBand="0" w:evenVBand="0" w:oddHBand="0" w:evenHBand="0" w:firstRowFirstColumn="0" w:firstRowLastColumn="0" w:lastRowFirstColumn="0" w:lastRowLastColumn="0"/>
            <w:tcW w:w="3770" w:type="dxa"/>
            <w:hideMark/>
          </w:tcPr>
          <w:p w14:paraId="27E3ED4B"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Variable production costs</w:t>
            </w:r>
          </w:p>
        </w:tc>
        <w:tc>
          <w:tcPr>
            <w:tcW w:w="2775" w:type="dxa"/>
            <w:hideMark/>
          </w:tcPr>
          <w:p w14:paraId="6E132A2A"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775" w:type="dxa"/>
            <w:hideMark/>
          </w:tcPr>
          <w:p w14:paraId="704577E1"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14B875C4" w14:textId="77777777" w:rsidTr="00260C36">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3770" w:type="dxa"/>
            <w:hideMark/>
          </w:tcPr>
          <w:p w14:paraId="1FB67BF6"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materials</w:t>
            </w:r>
          </w:p>
        </w:tc>
        <w:tc>
          <w:tcPr>
            <w:tcW w:w="2775" w:type="dxa"/>
            <w:noWrap/>
            <w:hideMark/>
          </w:tcPr>
          <w:p w14:paraId="36BE3E45"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9,264.96</w:t>
            </w:r>
          </w:p>
        </w:tc>
        <w:tc>
          <w:tcPr>
            <w:tcW w:w="2775" w:type="dxa"/>
            <w:hideMark/>
          </w:tcPr>
          <w:p w14:paraId="3B67B5DB"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4ACB012C" w14:textId="77777777" w:rsidTr="00260C36">
        <w:trPr>
          <w:trHeight w:val="429"/>
        </w:trPr>
        <w:tc>
          <w:tcPr>
            <w:cnfStyle w:val="001000000000" w:firstRow="0" w:lastRow="0" w:firstColumn="1" w:lastColumn="0" w:oddVBand="0" w:evenVBand="0" w:oddHBand="0" w:evenHBand="0" w:firstRowFirstColumn="0" w:firstRowLastColumn="0" w:lastRowFirstColumn="0" w:lastRowLastColumn="0"/>
            <w:tcW w:w="3770" w:type="dxa"/>
            <w:hideMark/>
          </w:tcPr>
          <w:p w14:paraId="038AA691"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labor</w:t>
            </w:r>
          </w:p>
        </w:tc>
        <w:tc>
          <w:tcPr>
            <w:tcW w:w="2775" w:type="dxa"/>
            <w:noWrap/>
            <w:hideMark/>
          </w:tcPr>
          <w:p w14:paraId="7924AB4A"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6,755.70</w:t>
            </w:r>
          </w:p>
        </w:tc>
        <w:tc>
          <w:tcPr>
            <w:tcW w:w="2775" w:type="dxa"/>
            <w:hideMark/>
          </w:tcPr>
          <w:p w14:paraId="0ECC32F1"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06F00CAD" w14:textId="77777777" w:rsidTr="00260C36">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3770" w:type="dxa"/>
            <w:hideMark/>
          </w:tcPr>
          <w:p w14:paraId="68F8C29C"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Other variable expenses </w:t>
            </w:r>
          </w:p>
        </w:tc>
        <w:tc>
          <w:tcPr>
            <w:tcW w:w="2775" w:type="dxa"/>
            <w:noWrap/>
            <w:hideMark/>
          </w:tcPr>
          <w:p w14:paraId="2A4EBB68"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3,088.32</w:t>
            </w:r>
          </w:p>
        </w:tc>
        <w:tc>
          <w:tcPr>
            <w:tcW w:w="2775" w:type="dxa"/>
            <w:hideMark/>
          </w:tcPr>
          <w:p w14:paraId="29784B5E"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27B12740" w14:textId="77777777" w:rsidTr="00260C36">
        <w:trPr>
          <w:trHeight w:val="214"/>
        </w:trPr>
        <w:tc>
          <w:tcPr>
            <w:cnfStyle w:val="001000000000" w:firstRow="0" w:lastRow="0" w:firstColumn="1" w:lastColumn="0" w:oddVBand="0" w:evenVBand="0" w:oddHBand="0" w:evenHBand="0" w:firstRowFirstColumn="0" w:firstRowLastColumn="0" w:lastRowFirstColumn="0" w:lastRowLastColumn="0"/>
            <w:tcW w:w="3770" w:type="dxa"/>
            <w:hideMark/>
          </w:tcPr>
          <w:p w14:paraId="4222ECD0"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775" w:type="dxa"/>
            <w:hideMark/>
          </w:tcPr>
          <w:p w14:paraId="50E3C898"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775" w:type="dxa"/>
            <w:hideMark/>
          </w:tcPr>
          <w:p w14:paraId="4D9351AD"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19,109</w:t>
            </w:r>
          </w:p>
        </w:tc>
      </w:tr>
      <w:tr w:rsidR="004609E5" w:rsidRPr="0035727F" w14:paraId="557FAA22" w14:textId="77777777" w:rsidTr="00260C36">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3770" w:type="dxa"/>
            <w:hideMark/>
          </w:tcPr>
          <w:p w14:paraId="523B8E14"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Contribution Margin </w:t>
            </w:r>
          </w:p>
        </w:tc>
        <w:tc>
          <w:tcPr>
            <w:tcW w:w="2775" w:type="dxa"/>
            <w:hideMark/>
          </w:tcPr>
          <w:p w14:paraId="51C66836"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775" w:type="dxa"/>
            <w:hideMark/>
          </w:tcPr>
          <w:p w14:paraId="4398BC61"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193</w:t>
            </w:r>
          </w:p>
        </w:tc>
      </w:tr>
      <w:tr w:rsidR="004609E5" w:rsidRPr="0035727F" w14:paraId="640BC3AC" w14:textId="77777777" w:rsidTr="00260C36">
        <w:trPr>
          <w:trHeight w:val="429"/>
        </w:trPr>
        <w:tc>
          <w:tcPr>
            <w:cnfStyle w:val="001000000000" w:firstRow="0" w:lastRow="0" w:firstColumn="1" w:lastColumn="0" w:oddVBand="0" w:evenVBand="0" w:oddHBand="0" w:evenHBand="0" w:firstRowFirstColumn="0" w:firstRowLastColumn="0" w:lastRowFirstColumn="0" w:lastRowLastColumn="0"/>
            <w:tcW w:w="3770" w:type="dxa"/>
            <w:hideMark/>
          </w:tcPr>
          <w:p w14:paraId="1DAEAC7A"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Costs:</w:t>
            </w:r>
          </w:p>
        </w:tc>
        <w:tc>
          <w:tcPr>
            <w:tcW w:w="2775" w:type="dxa"/>
            <w:noWrap/>
            <w:hideMark/>
          </w:tcPr>
          <w:p w14:paraId="511B7ACB"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775" w:type="dxa"/>
            <w:noWrap/>
            <w:hideMark/>
          </w:tcPr>
          <w:p w14:paraId="2642999C"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7111817E" w14:textId="77777777" w:rsidTr="00260C36">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3770" w:type="dxa"/>
            <w:hideMark/>
          </w:tcPr>
          <w:p w14:paraId="325E7AB2"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Overheads</w:t>
            </w:r>
          </w:p>
        </w:tc>
        <w:tc>
          <w:tcPr>
            <w:tcW w:w="2775" w:type="dxa"/>
            <w:noWrap/>
            <w:hideMark/>
          </w:tcPr>
          <w:p w14:paraId="6D95D701"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775" w:type="dxa"/>
            <w:noWrap/>
            <w:hideMark/>
          </w:tcPr>
          <w:p w14:paraId="28662120"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7,334.76</w:t>
            </w:r>
          </w:p>
        </w:tc>
      </w:tr>
      <w:tr w:rsidR="004609E5" w:rsidRPr="0035727F" w14:paraId="32927C46" w14:textId="77777777" w:rsidTr="00260C36">
        <w:trPr>
          <w:trHeight w:val="214"/>
        </w:trPr>
        <w:tc>
          <w:tcPr>
            <w:cnfStyle w:val="001000000000" w:firstRow="0" w:lastRow="0" w:firstColumn="1" w:lastColumn="0" w:oddVBand="0" w:evenVBand="0" w:oddHBand="0" w:evenHBand="0" w:firstRowFirstColumn="0" w:firstRowLastColumn="0" w:lastRowFirstColumn="0" w:lastRowLastColumn="0"/>
            <w:tcW w:w="3770" w:type="dxa"/>
            <w:hideMark/>
          </w:tcPr>
          <w:p w14:paraId="47A1B9CE"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Profit </w:t>
            </w:r>
          </w:p>
        </w:tc>
        <w:tc>
          <w:tcPr>
            <w:tcW w:w="2775" w:type="dxa"/>
            <w:noWrap/>
            <w:hideMark/>
          </w:tcPr>
          <w:p w14:paraId="2261F791"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775" w:type="dxa"/>
            <w:noWrap/>
            <w:hideMark/>
          </w:tcPr>
          <w:p w14:paraId="23634673"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-7,142</w:t>
            </w:r>
          </w:p>
        </w:tc>
      </w:tr>
    </w:tbl>
    <w:p w14:paraId="38B662BF" w14:textId="30720157" w:rsidR="006839CD" w:rsidRDefault="00D83E7F" w:rsidP="00C016F2">
      <w:pPr>
        <w:spacing w:line="360" w:lineRule="auto"/>
        <w:jc w:val="both"/>
        <w:rPr>
          <w:rFonts w:ascii="Arial" w:eastAsia="Times New Roman" w:hAnsi="Arial" w:cs="Arial"/>
          <w:color w:val="000000" w:themeColor="text1"/>
        </w:rPr>
      </w:pPr>
      <w:r w:rsidRPr="0035727F">
        <w:rPr>
          <w:rFonts w:ascii="Arial" w:hAnsi="Arial" w:cs="Arial"/>
          <w:color w:val="000000" w:themeColor="text1"/>
        </w:rPr>
        <w:t xml:space="preserve">Preparing the marginal costing statement, it is found that the profit is </w:t>
      </w:r>
      <w:r w:rsidRPr="0035727F">
        <w:rPr>
          <w:rFonts w:ascii="Arial" w:eastAsia="Times New Roman" w:hAnsi="Arial" w:cs="Arial"/>
          <w:color w:val="000000" w:themeColor="text1"/>
        </w:rPr>
        <w:t>-£7,142. Here 77 mobile beds production and each of the production costs are high. So, wheelchair generates negative profit for the company.</w:t>
      </w:r>
    </w:p>
    <w:p w14:paraId="20AA31C3" w14:textId="3C43C06F" w:rsidR="0035727F" w:rsidRDefault="0035727F" w:rsidP="00C016F2">
      <w:pPr>
        <w:spacing w:line="360" w:lineRule="auto"/>
        <w:jc w:val="both"/>
        <w:rPr>
          <w:rFonts w:ascii="Arial" w:eastAsia="Times New Roman" w:hAnsi="Arial" w:cs="Arial"/>
          <w:color w:val="000000" w:themeColor="text1"/>
        </w:rPr>
      </w:pPr>
    </w:p>
    <w:p w14:paraId="0E3A3DD1" w14:textId="6B622615" w:rsidR="0035727F" w:rsidRDefault="0035727F" w:rsidP="00C016F2">
      <w:pPr>
        <w:spacing w:line="360" w:lineRule="auto"/>
        <w:jc w:val="both"/>
        <w:rPr>
          <w:rFonts w:ascii="Arial" w:eastAsia="Times New Roman" w:hAnsi="Arial" w:cs="Arial"/>
          <w:color w:val="000000" w:themeColor="text1"/>
        </w:rPr>
      </w:pPr>
    </w:p>
    <w:p w14:paraId="2F5BE572" w14:textId="737E1CF4" w:rsidR="0035727F" w:rsidRDefault="0035727F" w:rsidP="00C016F2">
      <w:pPr>
        <w:spacing w:line="360" w:lineRule="auto"/>
        <w:jc w:val="both"/>
        <w:rPr>
          <w:rFonts w:ascii="Arial" w:eastAsia="Times New Roman" w:hAnsi="Arial" w:cs="Arial"/>
          <w:color w:val="000000" w:themeColor="text1"/>
        </w:rPr>
      </w:pPr>
    </w:p>
    <w:p w14:paraId="4829B4FA" w14:textId="0310A9E0" w:rsidR="0035727F" w:rsidRDefault="0035727F" w:rsidP="00C016F2">
      <w:pPr>
        <w:spacing w:line="360" w:lineRule="auto"/>
        <w:jc w:val="both"/>
        <w:rPr>
          <w:rFonts w:ascii="Arial" w:eastAsia="Times New Roman" w:hAnsi="Arial" w:cs="Arial"/>
          <w:color w:val="000000" w:themeColor="text1"/>
        </w:rPr>
      </w:pPr>
    </w:p>
    <w:p w14:paraId="31519BB1" w14:textId="22CE9A50" w:rsidR="0035727F" w:rsidRDefault="0035727F" w:rsidP="00C016F2">
      <w:pPr>
        <w:spacing w:line="360" w:lineRule="auto"/>
        <w:jc w:val="both"/>
        <w:rPr>
          <w:rFonts w:ascii="Arial" w:eastAsia="Times New Roman" w:hAnsi="Arial" w:cs="Arial"/>
          <w:color w:val="000000" w:themeColor="text1"/>
        </w:rPr>
      </w:pPr>
    </w:p>
    <w:p w14:paraId="6B02C4B4" w14:textId="64411ED5" w:rsidR="0035727F" w:rsidRDefault="0035727F" w:rsidP="00C016F2">
      <w:pPr>
        <w:spacing w:line="360" w:lineRule="auto"/>
        <w:jc w:val="both"/>
        <w:rPr>
          <w:rFonts w:ascii="Arial" w:eastAsia="Times New Roman" w:hAnsi="Arial" w:cs="Arial"/>
          <w:color w:val="000000" w:themeColor="text1"/>
        </w:rPr>
      </w:pPr>
    </w:p>
    <w:p w14:paraId="3148AB85" w14:textId="74B9F736" w:rsidR="0035727F" w:rsidRDefault="0035727F" w:rsidP="00C016F2">
      <w:pPr>
        <w:spacing w:line="360" w:lineRule="auto"/>
        <w:jc w:val="both"/>
        <w:rPr>
          <w:rFonts w:ascii="Arial" w:eastAsia="Times New Roman" w:hAnsi="Arial" w:cs="Arial"/>
          <w:color w:val="000000" w:themeColor="text1"/>
        </w:rPr>
      </w:pPr>
    </w:p>
    <w:p w14:paraId="1D4DCAE1" w14:textId="77777777" w:rsidR="00360847" w:rsidRDefault="00360847" w:rsidP="00C016F2">
      <w:pPr>
        <w:spacing w:line="360" w:lineRule="auto"/>
        <w:jc w:val="both"/>
        <w:rPr>
          <w:rFonts w:ascii="Arial" w:eastAsia="Times New Roman" w:hAnsi="Arial" w:cs="Arial"/>
          <w:color w:val="000000" w:themeColor="text1"/>
        </w:rPr>
      </w:pPr>
    </w:p>
    <w:p w14:paraId="770EFCE4" w14:textId="77777777" w:rsidR="0035727F" w:rsidRPr="0035727F" w:rsidRDefault="0035727F" w:rsidP="00C016F2">
      <w:pPr>
        <w:spacing w:line="360" w:lineRule="auto"/>
        <w:jc w:val="both"/>
        <w:rPr>
          <w:rFonts w:ascii="Arial" w:hAnsi="Arial" w:cs="Arial"/>
          <w:color w:val="000000" w:themeColor="text1"/>
        </w:rPr>
      </w:pPr>
    </w:p>
    <w:p w14:paraId="47F700A5" w14:textId="77777777" w:rsidR="006839CD"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Marginal Costing Statement (Total)</w:t>
      </w:r>
    </w:p>
    <w:p w14:paraId="69E089D0" w14:textId="77777777" w:rsidR="006839CD"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For Mobile Solution Group</w:t>
      </w:r>
    </w:p>
    <w:p w14:paraId="6613E287" w14:textId="77777777" w:rsidR="006839CD" w:rsidRPr="0035727F" w:rsidRDefault="00D83E7F" w:rsidP="002A110E">
      <w:pPr>
        <w:pBdr>
          <w:top w:val="single" w:sz="4" w:space="1" w:color="auto"/>
          <w:left w:val="single" w:sz="4" w:space="4" w:color="auto"/>
          <w:bottom w:val="single" w:sz="4" w:space="1" w:color="auto"/>
          <w:right w:val="single" w:sz="4" w:space="4" w:color="auto"/>
        </w:pBdr>
        <w:spacing w:line="240" w:lineRule="auto"/>
        <w:jc w:val="center"/>
        <w:rPr>
          <w:rFonts w:ascii="Arial" w:hAnsi="Arial" w:cs="Arial"/>
          <w:color w:val="000000" w:themeColor="text1"/>
        </w:rPr>
      </w:pPr>
      <w:r w:rsidRPr="0035727F">
        <w:rPr>
          <w:rFonts w:ascii="Arial" w:hAnsi="Arial" w:cs="Arial"/>
          <w:color w:val="000000" w:themeColor="text1"/>
        </w:rPr>
        <w:t>For the year-end</w:t>
      </w:r>
    </w:p>
    <w:tbl>
      <w:tblPr>
        <w:tblStyle w:val="GridTable4-Accent5"/>
        <w:tblW w:w="9422" w:type="dxa"/>
        <w:tblLook w:val="04A0" w:firstRow="1" w:lastRow="0" w:firstColumn="1" w:lastColumn="0" w:noHBand="0" w:noVBand="1"/>
      </w:tblPr>
      <w:tblGrid>
        <w:gridCol w:w="4526"/>
        <w:gridCol w:w="2448"/>
        <w:gridCol w:w="2448"/>
      </w:tblGrid>
      <w:tr w:rsidR="004609E5" w:rsidRPr="0035727F" w14:paraId="6B9AE29A" w14:textId="77777777" w:rsidTr="004609E5">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4526" w:type="dxa"/>
            <w:hideMark/>
          </w:tcPr>
          <w:p w14:paraId="23E63973"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Particulars</w:t>
            </w:r>
          </w:p>
        </w:tc>
        <w:tc>
          <w:tcPr>
            <w:tcW w:w="2448" w:type="dxa"/>
            <w:hideMark/>
          </w:tcPr>
          <w:p w14:paraId="5236B38A" w14:textId="77777777" w:rsidR="006839CD"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c>
          <w:tcPr>
            <w:tcW w:w="2448" w:type="dxa"/>
            <w:hideMark/>
          </w:tcPr>
          <w:p w14:paraId="179288E8" w14:textId="77777777" w:rsidR="006839CD"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r>
      <w:tr w:rsidR="004609E5" w:rsidRPr="0035727F" w14:paraId="4EEC021A" w14:textId="77777777" w:rsidTr="004609E5">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4526" w:type="dxa"/>
            <w:hideMark/>
          </w:tcPr>
          <w:p w14:paraId="2FF4223C"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Sales</w:t>
            </w:r>
          </w:p>
        </w:tc>
        <w:tc>
          <w:tcPr>
            <w:tcW w:w="2448" w:type="dxa"/>
            <w:hideMark/>
          </w:tcPr>
          <w:p w14:paraId="43D22E0A"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48" w:type="dxa"/>
            <w:noWrap/>
            <w:hideMark/>
          </w:tcPr>
          <w:p w14:paraId="713D1217"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58,032</w:t>
            </w:r>
          </w:p>
        </w:tc>
      </w:tr>
      <w:tr w:rsidR="004609E5" w:rsidRPr="0035727F" w14:paraId="30C599F4" w14:textId="77777777" w:rsidTr="004609E5">
        <w:trPr>
          <w:trHeight w:val="756"/>
        </w:trPr>
        <w:tc>
          <w:tcPr>
            <w:cnfStyle w:val="001000000000" w:firstRow="0" w:lastRow="0" w:firstColumn="1" w:lastColumn="0" w:oddVBand="0" w:evenVBand="0" w:oddHBand="0" w:evenHBand="0" w:firstRowFirstColumn="0" w:firstRowLastColumn="0" w:lastRowFirstColumn="0" w:lastRowLastColumn="0"/>
            <w:tcW w:w="4526" w:type="dxa"/>
            <w:hideMark/>
          </w:tcPr>
          <w:p w14:paraId="4F198220"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Variable production costs</w:t>
            </w:r>
          </w:p>
        </w:tc>
        <w:tc>
          <w:tcPr>
            <w:tcW w:w="2448" w:type="dxa"/>
            <w:hideMark/>
          </w:tcPr>
          <w:p w14:paraId="20A1E7EF"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48" w:type="dxa"/>
            <w:hideMark/>
          </w:tcPr>
          <w:p w14:paraId="7E4B7B49"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28C6FCBA" w14:textId="77777777" w:rsidTr="004609E5">
        <w:trPr>
          <w:cnfStyle w:val="000000100000" w:firstRow="0" w:lastRow="0" w:firstColumn="0" w:lastColumn="0" w:oddVBand="0" w:evenVBand="0" w:oddHBand="1" w:evenHBand="0" w:firstRowFirstColumn="0" w:firstRowLastColumn="0" w:lastRowFirstColumn="0" w:lastRowLastColumn="0"/>
          <w:trHeight w:val="756"/>
        </w:trPr>
        <w:tc>
          <w:tcPr>
            <w:cnfStyle w:val="001000000000" w:firstRow="0" w:lastRow="0" w:firstColumn="1" w:lastColumn="0" w:oddVBand="0" w:evenVBand="0" w:oddHBand="0" w:evenHBand="0" w:firstRowFirstColumn="0" w:firstRowLastColumn="0" w:lastRowFirstColumn="0" w:lastRowLastColumn="0"/>
            <w:tcW w:w="4526" w:type="dxa"/>
            <w:hideMark/>
          </w:tcPr>
          <w:p w14:paraId="27AFF7FD"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materials</w:t>
            </w:r>
          </w:p>
        </w:tc>
        <w:tc>
          <w:tcPr>
            <w:tcW w:w="2448" w:type="dxa"/>
            <w:noWrap/>
            <w:hideMark/>
          </w:tcPr>
          <w:p w14:paraId="24C9704A"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20,781.06</w:t>
            </w:r>
          </w:p>
        </w:tc>
        <w:tc>
          <w:tcPr>
            <w:tcW w:w="2448" w:type="dxa"/>
            <w:hideMark/>
          </w:tcPr>
          <w:p w14:paraId="5EE59661"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099D4B01" w14:textId="77777777" w:rsidTr="004609E5">
        <w:trPr>
          <w:trHeight w:val="504"/>
        </w:trPr>
        <w:tc>
          <w:tcPr>
            <w:cnfStyle w:val="001000000000" w:firstRow="0" w:lastRow="0" w:firstColumn="1" w:lastColumn="0" w:oddVBand="0" w:evenVBand="0" w:oddHBand="0" w:evenHBand="0" w:firstRowFirstColumn="0" w:firstRowLastColumn="0" w:lastRowFirstColumn="0" w:lastRowLastColumn="0"/>
            <w:tcW w:w="4526" w:type="dxa"/>
            <w:hideMark/>
          </w:tcPr>
          <w:p w14:paraId="74DA3E37"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labor</w:t>
            </w:r>
          </w:p>
        </w:tc>
        <w:tc>
          <w:tcPr>
            <w:tcW w:w="2448" w:type="dxa"/>
            <w:noWrap/>
            <w:hideMark/>
          </w:tcPr>
          <w:p w14:paraId="7391AB3B"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20,811.30</w:t>
            </w:r>
          </w:p>
        </w:tc>
        <w:tc>
          <w:tcPr>
            <w:tcW w:w="2448" w:type="dxa"/>
            <w:hideMark/>
          </w:tcPr>
          <w:p w14:paraId="3662DBF6"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4252AA87" w14:textId="77777777" w:rsidTr="004609E5">
        <w:trPr>
          <w:cnfStyle w:val="000000100000" w:firstRow="0" w:lastRow="0" w:firstColumn="0" w:lastColumn="0" w:oddVBand="0" w:evenVBand="0" w:oddHBand="1" w:evenHBand="0" w:firstRowFirstColumn="0" w:firstRowLastColumn="0" w:lastRowFirstColumn="0" w:lastRowLastColumn="0"/>
          <w:trHeight w:val="1009"/>
        </w:trPr>
        <w:tc>
          <w:tcPr>
            <w:cnfStyle w:val="001000000000" w:firstRow="0" w:lastRow="0" w:firstColumn="1" w:lastColumn="0" w:oddVBand="0" w:evenVBand="0" w:oddHBand="0" w:evenHBand="0" w:firstRowFirstColumn="0" w:firstRowLastColumn="0" w:lastRowFirstColumn="0" w:lastRowLastColumn="0"/>
            <w:tcW w:w="4526" w:type="dxa"/>
            <w:hideMark/>
          </w:tcPr>
          <w:p w14:paraId="725328A5"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Other variable expenses </w:t>
            </w:r>
          </w:p>
        </w:tc>
        <w:tc>
          <w:tcPr>
            <w:tcW w:w="2448" w:type="dxa"/>
            <w:noWrap/>
            <w:hideMark/>
          </w:tcPr>
          <w:p w14:paraId="7B4B467C"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9,956.82</w:t>
            </w:r>
          </w:p>
        </w:tc>
        <w:tc>
          <w:tcPr>
            <w:tcW w:w="2448" w:type="dxa"/>
            <w:hideMark/>
          </w:tcPr>
          <w:p w14:paraId="11DC0FB1"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66E110F6" w14:textId="77777777" w:rsidTr="004609E5">
        <w:trPr>
          <w:trHeight w:val="252"/>
        </w:trPr>
        <w:tc>
          <w:tcPr>
            <w:cnfStyle w:val="001000000000" w:firstRow="0" w:lastRow="0" w:firstColumn="1" w:lastColumn="0" w:oddVBand="0" w:evenVBand="0" w:oddHBand="0" w:evenHBand="0" w:firstRowFirstColumn="0" w:firstRowLastColumn="0" w:lastRowFirstColumn="0" w:lastRowLastColumn="0"/>
            <w:tcW w:w="4526" w:type="dxa"/>
            <w:hideMark/>
          </w:tcPr>
          <w:p w14:paraId="7864E3D7"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48" w:type="dxa"/>
            <w:hideMark/>
          </w:tcPr>
          <w:p w14:paraId="5185B766"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48" w:type="dxa"/>
            <w:hideMark/>
          </w:tcPr>
          <w:p w14:paraId="11D9AD7B"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51,549</w:t>
            </w:r>
          </w:p>
        </w:tc>
      </w:tr>
      <w:tr w:rsidR="004609E5" w:rsidRPr="0035727F" w14:paraId="7D83AA8B" w14:textId="77777777" w:rsidTr="004609E5">
        <w:trPr>
          <w:cnfStyle w:val="000000100000" w:firstRow="0" w:lastRow="0" w:firstColumn="0" w:lastColumn="0" w:oddVBand="0" w:evenVBand="0" w:oddHBand="1" w:evenHBand="0" w:firstRowFirstColumn="0" w:firstRowLastColumn="0" w:lastRowFirstColumn="0" w:lastRowLastColumn="0"/>
          <w:trHeight w:val="756"/>
        </w:trPr>
        <w:tc>
          <w:tcPr>
            <w:cnfStyle w:val="001000000000" w:firstRow="0" w:lastRow="0" w:firstColumn="1" w:lastColumn="0" w:oddVBand="0" w:evenVBand="0" w:oddHBand="0" w:evenHBand="0" w:firstRowFirstColumn="0" w:firstRowLastColumn="0" w:lastRowFirstColumn="0" w:lastRowLastColumn="0"/>
            <w:tcW w:w="4526" w:type="dxa"/>
            <w:hideMark/>
          </w:tcPr>
          <w:p w14:paraId="63549FEE"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Contribution Margin </w:t>
            </w:r>
          </w:p>
        </w:tc>
        <w:tc>
          <w:tcPr>
            <w:tcW w:w="2448" w:type="dxa"/>
            <w:hideMark/>
          </w:tcPr>
          <w:p w14:paraId="40886340"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48" w:type="dxa"/>
            <w:hideMark/>
          </w:tcPr>
          <w:p w14:paraId="4B545668"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6,483</w:t>
            </w:r>
          </w:p>
        </w:tc>
      </w:tr>
      <w:tr w:rsidR="004609E5" w:rsidRPr="0035727F" w14:paraId="5D93F244" w14:textId="77777777" w:rsidTr="004609E5">
        <w:trPr>
          <w:trHeight w:val="504"/>
        </w:trPr>
        <w:tc>
          <w:tcPr>
            <w:cnfStyle w:val="001000000000" w:firstRow="0" w:lastRow="0" w:firstColumn="1" w:lastColumn="0" w:oddVBand="0" w:evenVBand="0" w:oddHBand="0" w:evenHBand="0" w:firstRowFirstColumn="0" w:firstRowLastColumn="0" w:lastRowFirstColumn="0" w:lastRowLastColumn="0"/>
            <w:tcW w:w="4526" w:type="dxa"/>
            <w:hideMark/>
          </w:tcPr>
          <w:p w14:paraId="3F32A3BC"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Costs:</w:t>
            </w:r>
          </w:p>
        </w:tc>
        <w:tc>
          <w:tcPr>
            <w:tcW w:w="2448" w:type="dxa"/>
            <w:noWrap/>
            <w:hideMark/>
          </w:tcPr>
          <w:p w14:paraId="14C04C46"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48" w:type="dxa"/>
            <w:noWrap/>
            <w:hideMark/>
          </w:tcPr>
          <w:p w14:paraId="303ADF44"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29D40FDE" w14:textId="77777777" w:rsidTr="004609E5">
        <w:trPr>
          <w:cnfStyle w:val="000000100000" w:firstRow="0" w:lastRow="0" w:firstColumn="0" w:lastColumn="0" w:oddVBand="0" w:evenVBand="0" w:oddHBand="1" w:evenHBand="0" w:firstRowFirstColumn="0" w:firstRowLastColumn="0" w:lastRowFirstColumn="0" w:lastRowLastColumn="0"/>
          <w:trHeight w:val="756"/>
        </w:trPr>
        <w:tc>
          <w:tcPr>
            <w:cnfStyle w:val="001000000000" w:firstRow="0" w:lastRow="0" w:firstColumn="1" w:lastColumn="0" w:oddVBand="0" w:evenVBand="0" w:oddHBand="0" w:evenHBand="0" w:firstRowFirstColumn="0" w:firstRowLastColumn="0" w:lastRowFirstColumn="0" w:lastRowLastColumn="0"/>
            <w:tcW w:w="4526" w:type="dxa"/>
            <w:hideMark/>
          </w:tcPr>
          <w:p w14:paraId="0FC20E3F"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Overheads</w:t>
            </w:r>
          </w:p>
        </w:tc>
        <w:tc>
          <w:tcPr>
            <w:tcW w:w="2448" w:type="dxa"/>
            <w:noWrap/>
            <w:hideMark/>
          </w:tcPr>
          <w:p w14:paraId="22A93DD0"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48" w:type="dxa"/>
            <w:noWrap/>
            <w:hideMark/>
          </w:tcPr>
          <w:p w14:paraId="51B50D82" w14:textId="77777777" w:rsidR="006839CD"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19,326.36</w:t>
            </w:r>
          </w:p>
        </w:tc>
      </w:tr>
      <w:tr w:rsidR="004609E5" w:rsidRPr="0035727F" w14:paraId="19D0D26F" w14:textId="77777777" w:rsidTr="004609E5">
        <w:trPr>
          <w:trHeight w:val="252"/>
        </w:trPr>
        <w:tc>
          <w:tcPr>
            <w:cnfStyle w:val="001000000000" w:firstRow="0" w:lastRow="0" w:firstColumn="1" w:lastColumn="0" w:oddVBand="0" w:evenVBand="0" w:oddHBand="0" w:evenHBand="0" w:firstRowFirstColumn="0" w:firstRowLastColumn="0" w:lastRowFirstColumn="0" w:lastRowLastColumn="0"/>
            <w:tcW w:w="4526" w:type="dxa"/>
            <w:hideMark/>
          </w:tcPr>
          <w:p w14:paraId="477170BE" w14:textId="77777777" w:rsidR="006839CD"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Profit </w:t>
            </w:r>
          </w:p>
        </w:tc>
        <w:tc>
          <w:tcPr>
            <w:tcW w:w="2448" w:type="dxa"/>
            <w:noWrap/>
            <w:hideMark/>
          </w:tcPr>
          <w:p w14:paraId="65FF1298"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48" w:type="dxa"/>
            <w:noWrap/>
            <w:hideMark/>
          </w:tcPr>
          <w:p w14:paraId="05794ECD" w14:textId="77777777" w:rsidR="006839CD"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-12,844</w:t>
            </w:r>
          </w:p>
        </w:tc>
      </w:tr>
    </w:tbl>
    <w:p w14:paraId="7B25BC7F" w14:textId="77777777" w:rsidR="00C449F4" w:rsidRPr="0035727F" w:rsidRDefault="00D83E7F" w:rsidP="00C016F2">
      <w:pPr>
        <w:spacing w:line="360" w:lineRule="auto"/>
        <w:jc w:val="both"/>
        <w:rPr>
          <w:rFonts w:ascii="Arial" w:hAnsi="Arial" w:cs="Arial"/>
          <w:color w:val="000000" w:themeColor="text1"/>
        </w:rPr>
      </w:pPr>
      <w:r w:rsidRPr="0035727F">
        <w:rPr>
          <w:rFonts w:ascii="Arial" w:hAnsi="Arial" w:cs="Arial"/>
          <w:color w:val="000000" w:themeColor="text1"/>
        </w:rPr>
        <w:t xml:space="preserve">It is found that wheelchair production has positive profit for the company but Hoists production and Mobile bed production generate negative profit for the company. Preparing a marginal costing statement for the overall production, it is found that the company generates negative profit amounting </w:t>
      </w:r>
      <w:r w:rsidRPr="0035727F">
        <w:rPr>
          <w:rFonts w:ascii="Arial" w:eastAsia="Times New Roman" w:hAnsi="Arial" w:cs="Arial"/>
          <w:color w:val="000000" w:themeColor="text1"/>
        </w:rPr>
        <w:t>-£12,844. So, the company will face losses due to Hoists and Mobile Beds production.</w:t>
      </w:r>
    </w:p>
    <w:p w14:paraId="4E0F3CF4" w14:textId="77777777" w:rsidR="00360847" w:rsidRDefault="00360847" w:rsidP="00C016F2">
      <w:pPr>
        <w:spacing w:line="360" w:lineRule="auto"/>
        <w:jc w:val="both"/>
        <w:rPr>
          <w:rFonts w:ascii="Arial" w:hAnsi="Arial" w:cs="Arial"/>
          <w:b/>
          <w:color w:val="000000" w:themeColor="text1"/>
        </w:rPr>
      </w:pPr>
    </w:p>
    <w:p w14:paraId="1F3EDC4A" w14:textId="77777777" w:rsidR="00360847" w:rsidRDefault="00360847" w:rsidP="00C016F2">
      <w:pPr>
        <w:spacing w:line="360" w:lineRule="auto"/>
        <w:jc w:val="both"/>
        <w:rPr>
          <w:rFonts w:ascii="Arial" w:hAnsi="Arial" w:cs="Arial"/>
          <w:b/>
          <w:color w:val="000000" w:themeColor="text1"/>
        </w:rPr>
      </w:pPr>
    </w:p>
    <w:p w14:paraId="110E6740" w14:textId="77777777" w:rsidR="00360847" w:rsidRDefault="00360847" w:rsidP="00C016F2">
      <w:pPr>
        <w:spacing w:line="360" w:lineRule="auto"/>
        <w:jc w:val="both"/>
        <w:rPr>
          <w:rFonts w:ascii="Arial" w:hAnsi="Arial" w:cs="Arial"/>
          <w:b/>
          <w:color w:val="000000" w:themeColor="text1"/>
        </w:rPr>
      </w:pPr>
    </w:p>
    <w:p w14:paraId="2188E762" w14:textId="77777777" w:rsidR="00360847" w:rsidRDefault="00360847" w:rsidP="00C016F2">
      <w:pPr>
        <w:spacing w:line="360" w:lineRule="auto"/>
        <w:jc w:val="both"/>
        <w:rPr>
          <w:rFonts w:ascii="Arial" w:hAnsi="Arial" w:cs="Arial"/>
          <w:b/>
          <w:color w:val="000000" w:themeColor="text1"/>
        </w:rPr>
      </w:pPr>
    </w:p>
    <w:p w14:paraId="448F2902" w14:textId="77777777" w:rsidR="00360847" w:rsidRDefault="00360847" w:rsidP="00C016F2">
      <w:pPr>
        <w:spacing w:line="360" w:lineRule="auto"/>
        <w:jc w:val="both"/>
        <w:rPr>
          <w:rFonts w:ascii="Arial" w:hAnsi="Arial" w:cs="Arial"/>
          <w:b/>
          <w:color w:val="000000" w:themeColor="text1"/>
        </w:rPr>
      </w:pPr>
    </w:p>
    <w:p w14:paraId="7D8A5EBE" w14:textId="77777777" w:rsidR="00360847" w:rsidRDefault="00360847" w:rsidP="00C016F2">
      <w:pPr>
        <w:spacing w:line="360" w:lineRule="auto"/>
        <w:jc w:val="both"/>
        <w:rPr>
          <w:rFonts w:ascii="Arial" w:hAnsi="Arial" w:cs="Arial"/>
          <w:b/>
          <w:color w:val="000000" w:themeColor="text1"/>
        </w:rPr>
      </w:pPr>
    </w:p>
    <w:p w14:paraId="7CBBBF17" w14:textId="77777777" w:rsidR="00360847" w:rsidRDefault="00360847" w:rsidP="00C016F2">
      <w:pPr>
        <w:spacing w:line="360" w:lineRule="auto"/>
        <w:jc w:val="both"/>
        <w:rPr>
          <w:rFonts w:ascii="Arial" w:hAnsi="Arial" w:cs="Arial"/>
          <w:b/>
          <w:color w:val="000000" w:themeColor="text1"/>
        </w:rPr>
      </w:pPr>
    </w:p>
    <w:p w14:paraId="71BD3B9C" w14:textId="171C4CC3" w:rsidR="002216BB" w:rsidRPr="00260C36" w:rsidRDefault="00D83E7F" w:rsidP="00BE44E1">
      <w:pPr>
        <w:pStyle w:val="Heading2"/>
      </w:pPr>
      <w:bookmarkStart w:id="6" w:name="_Toc128777553"/>
      <w:bookmarkStart w:id="7" w:name="_Toc128778820"/>
      <w:r w:rsidRPr="00260C36">
        <w:t>Marginal costing statement when Hoists production is stopped</w:t>
      </w:r>
      <w:bookmarkEnd w:id="6"/>
      <w:bookmarkEnd w:id="7"/>
    </w:p>
    <w:p w14:paraId="33B983BF" w14:textId="77777777" w:rsidR="00BE44E1" w:rsidRPr="00BE44E1" w:rsidRDefault="00BE44E1" w:rsidP="00BE44E1"/>
    <w:p w14:paraId="03A4CA09" w14:textId="77777777" w:rsidR="001018F6" w:rsidRPr="0035727F" w:rsidRDefault="00D83E7F" w:rsidP="00C016F2">
      <w:pPr>
        <w:spacing w:line="360" w:lineRule="auto"/>
        <w:jc w:val="both"/>
        <w:rPr>
          <w:rFonts w:ascii="Arial" w:hAnsi="Arial" w:cs="Arial"/>
          <w:color w:val="000000" w:themeColor="text1"/>
        </w:rPr>
      </w:pPr>
      <w:r w:rsidRPr="0035727F">
        <w:rPr>
          <w:rFonts w:ascii="Arial" w:hAnsi="Arial" w:cs="Arial"/>
          <w:color w:val="000000" w:themeColor="text1"/>
        </w:rPr>
        <w:t xml:space="preserve">As it is found that Hoists production for the company is generating negative profit for the company, it is time to stop Hoists production for the company. Hoists production has higher units but it has higher units per cost which increase the cost of the company and generate negative profit for the company.  Considering this, it would be a good decision for MSG, if it stops Hoists production. If MSG continues Hoists production, it will face loss due to negative profit and its cost will be higher. So, MSG should stop Hoists production and increase wheelchair production for increasing the profitability of the company. </w:t>
      </w:r>
    </w:p>
    <w:tbl>
      <w:tblPr>
        <w:tblStyle w:val="GridTable4-Accent5"/>
        <w:tblW w:w="9456" w:type="dxa"/>
        <w:tblLook w:val="04A0" w:firstRow="1" w:lastRow="0" w:firstColumn="1" w:lastColumn="0" w:noHBand="0" w:noVBand="1"/>
      </w:tblPr>
      <w:tblGrid>
        <w:gridCol w:w="4542"/>
        <w:gridCol w:w="2457"/>
        <w:gridCol w:w="2457"/>
      </w:tblGrid>
      <w:tr w:rsidR="004609E5" w:rsidRPr="0035727F" w14:paraId="53CFD5FE" w14:textId="77777777" w:rsidTr="004609E5">
        <w:trPr>
          <w:cnfStyle w:val="100000000000" w:firstRow="1" w:lastRow="0" w:firstColumn="0" w:lastColumn="0" w:oddVBand="0" w:evenVBand="0" w:oddHBand="0"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4542" w:type="dxa"/>
            <w:hideMark/>
          </w:tcPr>
          <w:p w14:paraId="63E76035"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Particulars</w:t>
            </w:r>
          </w:p>
        </w:tc>
        <w:tc>
          <w:tcPr>
            <w:tcW w:w="2457" w:type="dxa"/>
            <w:hideMark/>
          </w:tcPr>
          <w:p w14:paraId="3E62C026" w14:textId="77777777" w:rsidR="002216BB"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c>
          <w:tcPr>
            <w:tcW w:w="2457" w:type="dxa"/>
            <w:hideMark/>
          </w:tcPr>
          <w:p w14:paraId="6D72450C" w14:textId="77777777" w:rsidR="002216BB"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r>
      <w:tr w:rsidR="004609E5" w:rsidRPr="0035727F" w14:paraId="1250C967" w14:textId="77777777" w:rsidTr="004609E5">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4542" w:type="dxa"/>
            <w:hideMark/>
          </w:tcPr>
          <w:p w14:paraId="67515C32"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Sales</w:t>
            </w:r>
          </w:p>
        </w:tc>
        <w:tc>
          <w:tcPr>
            <w:tcW w:w="2457" w:type="dxa"/>
            <w:hideMark/>
          </w:tcPr>
          <w:p w14:paraId="374ACBB9"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57" w:type="dxa"/>
            <w:noWrap/>
            <w:hideMark/>
          </w:tcPr>
          <w:p w14:paraId="4B763EB7"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39,402</w:t>
            </w:r>
          </w:p>
        </w:tc>
      </w:tr>
      <w:tr w:rsidR="004609E5" w:rsidRPr="0035727F" w14:paraId="773F4C40" w14:textId="77777777" w:rsidTr="004609E5">
        <w:trPr>
          <w:trHeight w:val="755"/>
        </w:trPr>
        <w:tc>
          <w:tcPr>
            <w:cnfStyle w:val="001000000000" w:firstRow="0" w:lastRow="0" w:firstColumn="1" w:lastColumn="0" w:oddVBand="0" w:evenVBand="0" w:oddHBand="0" w:evenHBand="0" w:firstRowFirstColumn="0" w:firstRowLastColumn="0" w:lastRowFirstColumn="0" w:lastRowLastColumn="0"/>
            <w:tcW w:w="4542" w:type="dxa"/>
            <w:hideMark/>
          </w:tcPr>
          <w:p w14:paraId="404B1C81"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Variable production costs</w:t>
            </w:r>
          </w:p>
        </w:tc>
        <w:tc>
          <w:tcPr>
            <w:tcW w:w="2457" w:type="dxa"/>
            <w:hideMark/>
          </w:tcPr>
          <w:p w14:paraId="1C916186"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57" w:type="dxa"/>
            <w:hideMark/>
          </w:tcPr>
          <w:p w14:paraId="1057114C"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4DE1DBC5" w14:textId="77777777" w:rsidTr="004609E5">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4542" w:type="dxa"/>
            <w:hideMark/>
          </w:tcPr>
          <w:p w14:paraId="525D2391"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materials</w:t>
            </w:r>
          </w:p>
        </w:tc>
        <w:tc>
          <w:tcPr>
            <w:tcW w:w="2457" w:type="dxa"/>
            <w:noWrap/>
            <w:hideMark/>
          </w:tcPr>
          <w:p w14:paraId="5A2A564E"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13,887.96</w:t>
            </w:r>
          </w:p>
        </w:tc>
        <w:tc>
          <w:tcPr>
            <w:tcW w:w="2457" w:type="dxa"/>
            <w:hideMark/>
          </w:tcPr>
          <w:p w14:paraId="253DC601"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7E929E3F" w14:textId="77777777" w:rsidTr="004609E5">
        <w:trPr>
          <w:trHeight w:val="503"/>
        </w:trPr>
        <w:tc>
          <w:tcPr>
            <w:cnfStyle w:val="001000000000" w:firstRow="0" w:lastRow="0" w:firstColumn="1" w:lastColumn="0" w:oddVBand="0" w:evenVBand="0" w:oddHBand="0" w:evenHBand="0" w:firstRowFirstColumn="0" w:firstRowLastColumn="0" w:lastRowFirstColumn="0" w:lastRowLastColumn="0"/>
            <w:tcW w:w="4542" w:type="dxa"/>
            <w:hideMark/>
          </w:tcPr>
          <w:p w14:paraId="6CB8F260"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labor</w:t>
            </w:r>
          </w:p>
        </w:tc>
        <w:tc>
          <w:tcPr>
            <w:tcW w:w="2457" w:type="dxa"/>
            <w:noWrap/>
            <w:hideMark/>
          </w:tcPr>
          <w:p w14:paraId="0E37369A"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12,986.70</w:t>
            </w:r>
          </w:p>
        </w:tc>
        <w:tc>
          <w:tcPr>
            <w:tcW w:w="2457" w:type="dxa"/>
            <w:hideMark/>
          </w:tcPr>
          <w:p w14:paraId="773670CF"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7A31EE10" w14:textId="77777777" w:rsidTr="004609E5">
        <w:trPr>
          <w:cnfStyle w:val="000000100000" w:firstRow="0" w:lastRow="0" w:firstColumn="0" w:lastColumn="0" w:oddVBand="0" w:evenVBand="0" w:oddHBand="1"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542" w:type="dxa"/>
            <w:hideMark/>
          </w:tcPr>
          <w:p w14:paraId="59CDCA33"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Other variable expenses </w:t>
            </w:r>
          </w:p>
        </w:tc>
        <w:tc>
          <w:tcPr>
            <w:tcW w:w="2457" w:type="dxa"/>
            <w:noWrap/>
            <w:hideMark/>
          </w:tcPr>
          <w:p w14:paraId="46D2F559"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5,299.32</w:t>
            </w:r>
          </w:p>
        </w:tc>
        <w:tc>
          <w:tcPr>
            <w:tcW w:w="2457" w:type="dxa"/>
            <w:hideMark/>
          </w:tcPr>
          <w:p w14:paraId="261B239C"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043F7CAD" w14:textId="77777777" w:rsidTr="004609E5">
        <w:trPr>
          <w:trHeight w:val="251"/>
        </w:trPr>
        <w:tc>
          <w:tcPr>
            <w:cnfStyle w:val="001000000000" w:firstRow="0" w:lastRow="0" w:firstColumn="1" w:lastColumn="0" w:oddVBand="0" w:evenVBand="0" w:oddHBand="0" w:evenHBand="0" w:firstRowFirstColumn="0" w:firstRowLastColumn="0" w:lastRowFirstColumn="0" w:lastRowLastColumn="0"/>
            <w:tcW w:w="4542" w:type="dxa"/>
            <w:hideMark/>
          </w:tcPr>
          <w:p w14:paraId="6886C635"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57" w:type="dxa"/>
            <w:hideMark/>
          </w:tcPr>
          <w:p w14:paraId="156EDCC3"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57" w:type="dxa"/>
            <w:hideMark/>
          </w:tcPr>
          <w:p w14:paraId="5917E1D5"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32,174</w:t>
            </w:r>
          </w:p>
        </w:tc>
      </w:tr>
      <w:tr w:rsidR="004609E5" w:rsidRPr="0035727F" w14:paraId="5E13E542" w14:textId="77777777" w:rsidTr="004609E5">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4542" w:type="dxa"/>
            <w:hideMark/>
          </w:tcPr>
          <w:p w14:paraId="129EB997"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Contribution Margin </w:t>
            </w:r>
          </w:p>
        </w:tc>
        <w:tc>
          <w:tcPr>
            <w:tcW w:w="2457" w:type="dxa"/>
            <w:hideMark/>
          </w:tcPr>
          <w:p w14:paraId="6E4286EE"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57" w:type="dxa"/>
            <w:hideMark/>
          </w:tcPr>
          <w:p w14:paraId="093F57B1"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7,228</w:t>
            </w:r>
          </w:p>
        </w:tc>
      </w:tr>
      <w:tr w:rsidR="004609E5" w:rsidRPr="0035727F" w14:paraId="3FBA2B58" w14:textId="77777777" w:rsidTr="004609E5">
        <w:trPr>
          <w:trHeight w:val="503"/>
        </w:trPr>
        <w:tc>
          <w:tcPr>
            <w:cnfStyle w:val="001000000000" w:firstRow="0" w:lastRow="0" w:firstColumn="1" w:lastColumn="0" w:oddVBand="0" w:evenVBand="0" w:oddHBand="0" w:evenHBand="0" w:firstRowFirstColumn="0" w:firstRowLastColumn="0" w:lastRowFirstColumn="0" w:lastRowLastColumn="0"/>
            <w:tcW w:w="4542" w:type="dxa"/>
            <w:hideMark/>
          </w:tcPr>
          <w:p w14:paraId="3C4F0B83"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Costs:</w:t>
            </w:r>
          </w:p>
        </w:tc>
        <w:tc>
          <w:tcPr>
            <w:tcW w:w="2457" w:type="dxa"/>
            <w:noWrap/>
            <w:hideMark/>
          </w:tcPr>
          <w:p w14:paraId="3F798811"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57" w:type="dxa"/>
            <w:noWrap/>
            <w:hideMark/>
          </w:tcPr>
          <w:p w14:paraId="3465C819"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560FF919" w14:textId="77777777" w:rsidTr="004609E5">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4542" w:type="dxa"/>
            <w:hideMark/>
          </w:tcPr>
          <w:p w14:paraId="641D94A6"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Overheads</w:t>
            </w:r>
          </w:p>
        </w:tc>
        <w:tc>
          <w:tcPr>
            <w:tcW w:w="2457" w:type="dxa"/>
            <w:noWrap/>
            <w:hideMark/>
          </w:tcPr>
          <w:p w14:paraId="5DDCA1A9"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57" w:type="dxa"/>
            <w:noWrap/>
            <w:hideMark/>
          </w:tcPr>
          <w:p w14:paraId="7432A5CF"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13,364.76</w:t>
            </w:r>
          </w:p>
        </w:tc>
      </w:tr>
      <w:tr w:rsidR="004609E5" w:rsidRPr="0035727F" w14:paraId="69CA8346" w14:textId="77777777" w:rsidTr="004609E5">
        <w:trPr>
          <w:trHeight w:val="251"/>
        </w:trPr>
        <w:tc>
          <w:tcPr>
            <w:cnfStyle w:val="001000000000" w:firstRow="0" w:lastRow="0" w:firstColumn="1" w:lastColumn="0" w:oddVBand="0" w:evenVBand="0" w:oddHBand="0" w:evenHBand="0" w:firstRowFirstColumn="0" w:firstRowLastColumn="0" w:lastRowFirstColumn="0" w:lastRowLastColumn="0"/>
            <w:tcW w:w="4542" w:type="dxa"/>
            <w:hideMark/>
          </w:tcPr>
          <w:p w14:paraId="3DD41A82"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Profit </w:t>
            </w:r>
          </w:p>
        </w:tc>
        <w:tc>
          <w:tcPr>
            <w:tcW w:w="2457" w:type="dxa"/>
            <w:noWrap/>
            <w:hideMark/>
          </w:tcPr>
          <w:p w14:paraId="0D09D2AF"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457" w:type="dxa"/>
            <w:noWrap/>
            <w:hideMark/>
          </w:tcPr>
          <w:p w14:paraId="4CE434CD"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-6,137</w:t>
            </w:r>
          </w:p>
        </w:tc>
      </w:tr>
    </w:tbl>
    <w:p w14:paraId="191AF65D" w14:textId="77777777" w:rsidR="002B2203" w:rsidRPr="0035727F" w:rsidRDefault="00D83E7F" w:rsidP="002B2203">
      <w:pPr>
        <w:spacing w:line="360" w:lineRule="auto"/>
        <w:jc w:val="both"/>
        <w:rPr>
          <w:rFonts w:ascii="Arial" w:hAnsi="Arial" w:cs="Arial"/>
          <w:color w:val="000000" w:themeColor="text1"/>
        </w:rPr>
      </w:pPr>
      <w:r w:rsidRPr="0035727F">
        <w:rPr>
          <w:rFonts w:ascii="Arial" w:hAnsi="Arial" w:cs="Arial"/>
          <w:color w:val="000000" w:themeColor="text1"/>
        </w:rPr>
        <w:t xml:space="preserve">The overall loss for the company was </w:t>
      </w:r>
      <w:r w:rsidRPr="0035727F">
        <w:rPr>
          <w:rFonts w:ascii="Arial" w:eastAsia="Times New Roman" w:hAnsi="Arial" w:cs="Arial"/>
          <w:color w:val="000000" w:themeColor="text1"/>
        </w:rPr>
        <w:t>-£12,844. But calculating the profit after stopping Hoists production, it is found that the overall loss has been lessening though there is negative profit. so, it can be said that Hoists' production stopping is giving the company advantages. Now the negative profit is -£6,137</w:t>
      </w:r>
      <w:r w:rsidR="00C1118F" w:rsidRPr="0035727F">
        <w:rPr>
          <w:rFonts w:ascii="Arial" w:eastAsia="Times New Roman" w:hAnsi="Arial" w:cs="Arial"/>
          <w:color w:val="000000" w:themeColor="text1"/>
        </w:rPr>
        <w:t>.</w:t>
      </w:r>
    </w:p>
    <w:p w14:paraId="49AE1D9E" w14:textId="51E0299B" w:rsidR="0035727F" w:rsidRDefault="0035727F" w:rsidP="00C016F2">
      <w:pPr>
        <w:spacing w:line="360" w:lineRule="auto"/>
        <w:jc w:val="both"/>
        <w:rPr>
          <w:rFonts w:ascii="Arial" w:hAnsi="Arial" w:cs="Arial"/>
          <w:b/>
          <w:color w:val="000000" w:themeColor="text1"/>
        </w:rPr>
      </w:pPr>
    </w:p>
    <w:p w14:paraId="6946BF91" w14:textId="77777777" w:rsidR="0035727F" w:rsidRDefault="0035727F" w:rsidP="00C016F2">
      <w:pPr>
        <w:spacing w:line="360" w:lineRule="auto"/>
        <w:jc w:val="both"/>
        <w:rPr>
          <w:rFonts w:ascii="Arial" w:hAnsi="Arial" w:cs="Arial"/>
          <w:b/>
          <w:color w:val="000000" w:themeColor="text1"/>
        </w:rPr>
      </w:pPr>
    </w:p>
    <w:p w14:paraId="3A6A10C6" w14:textId="07FAD32A" w:rsidR="002216BB" w:rsidRDefault="00D83E7F" w:rsidP="00E95997">
      <w:pPr>
        <w:pStyle w:val="Heading2"/>
      </w:pPr>
      <w:bookmarkStart w:id="8" w:name="_Toc128777554"/>
      <w:bookmarkStart w:id="9" w:name="_Toc128778821"/>
      <w:r w:rsidRPr="0035727F">
        <w:t xml:space="preserve">Marginal </w:t>
      </w:r>
      <w:r w:rsidR="00C56EFC" w:rsidRPr="0035727F">
        <w:t>costing statement when Mobile Beds</w:t>
      </w:r>
      <w:r w:rsidR="001018F6" w:rsidRPr="0035727F">
        <w:t xml:space="preserve"> production is stopped</w:t>
      </w:r>
      <w:bookmarkEnd w:id="8"/>
      <w:bookmarkEnd w:id="9"/>
    </w:p>
    <w:p w14:paraId="3C83A1FD" w14:textId="77777777" w:rsidR="00E95997" w:rsidRPr="00E95997" w:rsidRDefault="00E95997" w:rsidP="00E95997"/>
    <w:p w14:paraId="12123E3F" w14:textId="77777777" w:rsidR="005277E5" w:rsidRPr="0035727F" w:rsidRDefault="00D83E7F" w:rsidP="00C016F2">
      <w:pPr>
        <w:spacing w:line="360" w:lineRule="auto"/>
        <w:jc w:val="both"/>
        <w:rPr>
          <w:rFonts w:ascii="Arial" w:hAnsi="Arial" w:cs="Arial"/>
          <w:color w:val="000000" w:themeColor="text1"/>
        </w:rPr>
      </w:pPr>
      <w:r w:rsidRPr="0035727F">
        <w:rPr>
          <w:rFonts w:ascii="Arial" w:hAnsi="Arial" w:cs="Arial"/>
          <w:color w:val="000000" w:themeColor="text1"/>
        </w:rPr>
        <w:t xml:space="preserve">After stopping the Mobile beds production for the company, the marginal statement is prepared. Here it is found that still, the profit is negative but it is less than that of before. As it has </w:t>
      </w:r>
      <w:r w:rsidR="00C1118F" w:rsidRPr="0035727F">
        <w:rPr>
          <w:rFonts w:ascii="Arial" w:hAnsi="Arial" w:cs="Arial"/>
          <w:color w:val="000000" w:themeColor="text1"/>
        </w:rPr>
        <w:t>77-unit</w:t>
      </w:r>
      <w:r w:rsidRPr="0035727F">
        <w:rPr>
          <w:rFonts w:ascii="Arial" w:hAnsi="Arial" w:cs="Arial"/>
          <w:color w:val="000000" w:themeColor="text1"/>
        </w:rPr>
        <w:t xml:space="preserve"> production which is higher than wheelchairs but its unit per cost is also higher than that of wheelchairs which increases the cost of the company and generates negative profit. Now it is time for MSG to stop Mobile bed production and should increase wheelchair production reducing costs.</w:t>
      </w:r>
      <w:r w:rsidR="00C1118F" w:rsidRPr="0035727F">
        <w:rPr>
          <w:rFonts w:ascii="Arial" w:hAnsi="Arial" w:cs="Arial"/>
          <w:color w:val="000000" w:themeColor="text1"/>
        </w:rPr>
        <w:t xml:space="preserve"> Wheelchair production will provide MSG with a positive profit for the company. </w:t>
      </w:r>
    </w:p>
    <w:tbl>
      <w:tblPr>
        <w:tblStyle w:val="GridTable4-Accent5"/>
        <w:tblW w:w="9005" w:type="dxa"/>
        <w:tblLook w:val="04A0" w:firstRow="1" w:lastRow="0" w:firstColumn="1" w:lastColumn="0" w:noHBand="0" w:noVBand="1"/>
      </w:tblPr>
      <w:tblGrid>
        <w:gridCol w:w="4325"/>
        <w:gridCol w:w="2340"/>
        <w:gridCol w:w="2340"/>
      </w:tblGrid>
      <w:tr w:rsidR="004609E5" w:rsidRPr="0035727F" w14:paraId="33A66DAB" w14:textId="77777777" w:rsidTr="004609E5">
        <w:trPr>
          <w:cnfStyle w:val="100000000000" w:firstRow="1" w:lastRow="0" w:firstColumn="0" w:lastColumn="0" w:oddVBand="0" w:evenVBand="0" w:oddHBand="0"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4325" w:type="dxa"/>
            <w:hideMark/>
          </w:tcPr>
          <w:p w14:paraId="60EAA0D8"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Particulars</w:t>
            </w:r>
          </w:p>
        </w:tc>
        <w:tc>
          <w:tcPr>
            <w:tcW w:w="2340" w:type="dxa"/>
            <w:hideMark/>
          </w:tcPr>
          <w:p w14:paraId="242973E2" w14:textId="77777777" w:rsidR="002216BB"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c>
          <w:tcPr>
            <w:tcW w:w="2340" w:type="dxa"/>
            <w:hideMark/>
          </w:tcPr>
          <w:p w14:paraId="654F70C7" w14:textId="77777777" w:rsidR="002216BB" w:rsidRPr="0035727F" w:rsidRDefault="00D83E7F" w:rsidP="00C016F2">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Amount (£)</w:t>
            </w:r>
          </w:p>
        </w:tc>
      </w:tr>
      <w:tr w:rsidR="004609E5" w:rsidRPr="0035727F" w14:paraId="0E7C10CE" w14:textId="77777777" w:rsidTr="004609E5">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325" w:type="dxa"/>
            <w:hideMark/>
          </w:tcPr>
          <w:p w14:paraId="12C9F7C4"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Sales</w:t>
            </w:r>
          </w:p>
        </w:tc>
        <w:tc>
          <w:tcPr>
            <w:tcW w:w="2340" w:type="dxa"/>
            <w:hideMark/>
          </w:tcPr>
          <w:p w14:paraId="6932C7FB"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340" w:type="dxa"/>
            <w:noWrap/>
            <w:hideMark/>
          </w:tcPr>
          <w:p w14:paraId="5C2EE7B6"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38,730</w:t>
            </w:r>
          </w:p>
        </w:tc>
      </w:tr>
      <w:tr w:rsidR="004609E5" w:rsidRPr="0035727F" w14:paraId="32237280" w14:textId="77777777" w:rsidTr="004609E5">
        <w:trPr>
          <w:trHeight w:val="729"/>
        </w:trPr>
        <w:tc>
          <w:tcPr>
            <w:cnfStyle w:val="001000000000" w:firstRow="0" w:lastRow="0" w:firstColumn="1" w:lastColumn="0" w:oddVBand="0" w:evenVBand="0" w:oddHBand="0" w:evenHBand="0" w:firstRowFirstColumn="0" w:firstRowLastColumn="0" w:lastRowFirstColumn="0" w:lastRowLastColumn="0"/>
            <w:tcW w:w="4325" w:type="dxa"/>
            <w:hideMark/>
          </w:tcPr>
          <w:p w14:paraId="489D6097"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Variable production costs</w:t>
            </w:r>
          </w:p>
        </w:tc>
        <w:tc>
          <w:tcPr>
            <w:tcW w:w="2340" w:type="dxa"/>
            <w:hideMark/>
          </w:tcPr>
          <w:p w14:paraId="588F4BB5"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340" w:type="dxa"/>
            <w:hideMark/>
          </w:tcPr>
          <w:p w14:paraId="0C584A34"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19C764BD" w14:textId="77777777" w:rsidTr="004609E5">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4325" w:type="dxa"/>
            <w:hideMark/>
          </w:tcPr>
          <w:p w14:paraId="14EC6887"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materials</w:t>
            </w:r>
          </w:p>
        </w:tc>
        <w:tc>
          <w:tcPr>
            <w:tcW w:w="2340" w:type="dxa"/>
            <w:noWrap/>
            <w:hideMark/>
          </w:tcPr>
          <w:p w14:paraId="4C72B638"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11,516.10</w:t>
            </w:r>
          </w:p>
        </w:tc>
        <w:tc>
          <w:tcPr>
            <w:tcW w:w="2340" w:type="dxa"/>
            <w:hideMark/>
          </w:tcPr>
          <w:p w14:paraId="67C55E81"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3A18EA9E" w14:textId="77777777" w:rsidTr="004609E5">
        <w:trPr>
          <w:trHeight w:val="486"/>
        </w:trPr>
        <w:tc>
          <w:tcPr>
            <w:cnfStyle w:val="001000000000" w:firstRow="0" w:lastRow="0" w:firstColumn="1" w:lastColumn="0" w:oddVBand="0" w:evenVBand="0" w:oddHBand="0" w:evenHBand="0" w:firstRowFirstColumn="0" w:firstRowLastColumn="0" w:lastRowFirstColumn="0" w:lastRowLastColumn="0"/>
            <w:tcW w:w="4325" w:type="dxa"/>
            <w:hideMark/>
          </w:tcPr>
          <w:p w14:paraId="11707364"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Direct labor</w:t>
            </w:r>
          </w:p>
        </w:tc>
        <w:tc>
          <w:tcPr>
            <w:tcW w:w="2340" w:type="dxa"/>
            <w:noWrap/>
            <w:hideMark/>
          </w:tcPr>
          <w:p w14:paraId="220776CE"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14,055.60</w:t>
            </w:r>
          </w:p>
        </w:tc>
        <w:tc>
          <w:tcPr>
            <w:tcW w:w="2340" w:type="dxa"/>
            <w:hideMark/>
          </w:tcPr>
          <w:p w14:paraId="13658E83"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701B0283" w14:textId="77777777" w:rsidTr="004609E5">
        <w:trPr>
          <w:cnfStyle w:val="000000100000" w:firstRow="0" w:lastRow="0" w:firstColumn="0" w:lastColumn="0" w:oddVBand="0" w:evenVBand="0" w:oddHBand="1" w:evenHBand="0" w:firstRowFirstColumn="0" w:firstRowLastColumn="0" w:lastRowFirstColumn="0" w:lastRowLastColumn="0"/>
          <w:trHeight w:val="972"/>
        </w:trPr>
        <w:tc>
          <w:tcPr>
            <w:cnfStyle w:val="001000000000" w:firstRow="0" w:lastRow="0" w:firstColumn="1" w:lastColumn="0" w:oddVBand="0" w:evenVBand="0" w:oddHBand="0" w:evenHBand="0" w:firstRowFirstColumn="0" w:firstRowLastColumn="0" w:lastRowFirstColumn="0" w:lastRowLastColumn="0"/>
            <w:tcW w:w="4325" w:type="dxa"/>
            <w:hideMark/>
          </w:tcPr>
          <w:p w14:paraId="68ED7D9F"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Other variable expenses </w:t>
            </w:r>
          </w:p>
        </w:tc>
        <w:tc>
          <w:tcPr>
            <w:tcW w:w="2340" w:type="dxa"/>
            <w:noWrap/>
            <w:hideMark/>
          </w:tcPr>
          <w:p w14:paraId="79F92EE0"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6,868.50</w:t>
            </w:r>
          </w:p>
        </w:tc>
        <w:tc>
          <w:tcPr>
            <w:tcW w:w="2340" w:type="dxa"/>
            <w:hideMark/>
          </w:tcPr>
          <w:p w14:paraId="678839B7"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1D9711DA" w14:textId="77777777" w:rsidTr="004609E5">
        <w:trPr>
          <w:trHeight w:val="243"/>
        </w:trPr>
        <w:tc>
          <w:tcPr>
            <w:cnfStyle w:val="001000000000" w:firstRow="0" w:lastRow="0" w:firstColumn="1" w:lastColumn="0" w:oddVBand="0" w:evenVBand="0" w:oddHBand="0" w:evenHBand="0" w:firstRowFirstColumn="0" w:firstRowLastColumn="0" w:lastRowFirstColumn="0" w:lastRowLastColumn="0"/>
            <w:tcW w:w="4325" w:type="dxa"/>
            <w:hideMark/>
          </w:tcPr>
          <w:p w14:paraId="573C3E0B"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340" w:type="dxa"/>
            <w:hideMark/>
          </w:tcPr>
          <w:p w14:paraId="3D251FE9"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340" w:type="dxa"/>
            <w:hideMark/>
          </w:tcPr>
          <w:p w14:paraId="54460768"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32,440</w:t>
            </w:r>
          </w:p>
        </w:tc>
      </w:tr>
      <w:tr w:rsidR="004609E5" w:rsidRPr="0035727F" w14:paraId="1991AFE6" w14:textId="77777777" w:rsidTr="004609E5">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4325" w:type="dxa"/>
            <w:hideMark/>
          </w:tcPr>
          <w:p w14:paraId="47948F58"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Contribution Margin </w:t>
            </w:r>
          </w:p>
        </w:tc>
        <w:tc>
          <w:tcPr>
            <w:tcW w:w="2340" w:type="dxa"/>
            <w:hideMark/>
          </w:tcPr>
          <w:p w14:paraId="294BF0D2"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340" w:type="dxa"/>
            <w:hideMark/>
          </w:tcPr>
          <w:p w14:paraId="61627790"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6,290</w:t>
            </w:r>
          </w:p>
        </w:tc>
      </w:tr>
      <w:tr w:rsidR="004609E5" w:rsidRPr="0035727F" w14:paraId="5039CFBF" w14:textId="77777777" w:rsidTr="004609E5">
        <w:trPr>
          <w:trHeight w:val="486"/>
        </w:trPr>
        <w:tc>
          <w:tcPr>
            <w:cnfStyle w:val="001000000000" w:firstRow="0" w:lastRow="0" w:firstColumn="1" w:lastColumn="0" w:oddVBand="0" w:evenVBand="0" w:oddHBand="0" w:evenHBand="0" w:firstRowFirstColumn="0" w:firstRowLastColumn="0" w:lastRowFirstColumn="0" w:lastRowLastColumn="0"/>
            <w:tcW w:w="4325" w:type="dxa"/>
            <w:hideMark/>
          </w:tcPr>
          <w:p w14:paraId="0515C334"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Costs:</w:t>
            </w:r>
          </w:p>
        </w:tc>
        <w:tc>
          <w:tcPr>
            <w:tcW w:w="2340" w:type="dxa"/>
            <w:noWrap/>
            <w:hideMark/>
          </w:tcPr>
          <w:p w14:paraId="2EEE61A8"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340" w:type="dxa"/>
            <w:noWrap/>
            <w:hideMark/>
          </w:tcPr>
          <w:p w14:paraId="0A25339D"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r>
      <w:tr w:rsidR="004609E5" w:rsidRPr="0035727F" w14:paraId="0196D7C3" w14:textId="77777777" w:rsidTr="004609E5">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4325" w:type="dxa"/>
            <w:hideMark/>
          </w:tcPr>
          <w:p w14:paraId="54E3B7B0"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Fixed Overheads</w:t>
            </w:r>
          </w:p>
        </w:tc>
        <w:tc>
          <w:tcPr>
            <w:tcW w:w="2340" w:type="dxa"/>
            <w:noWrap/>
            <w:hideMark/>
          </w:tcPr>
          <w:p w14:paraId="3F0ACAF5"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340" w:type="dxa"/>
            <w:noWrap/>
            <w:hideMark/>
          </w:tcPr>
          <w:p w14:paraId="1C18E1B0" w14:textId="77777777" w:rsidR="002216BB" w:rsidRPr="0035727F" w:rsidRDefault="00D83E7F" w:rsidP="00C016F2">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11,991.60</w:t>
            </w:r>
          </w:p>
        </w:tc>
      </w:tr>
      <w:tr w:rsidR="004609E5" w:rsidRPr="0035727F" w14:paraId="57DAC98C" w14:textId="77777777" w:rsidTr="004609E5">
        <w:trPr>
          <w:trHeight w:val="243"/>
        </w:trPr>
        <w:tc>
          <w:tcPr>
            <w:cnfStyle w:val="001000000000" w:firstRow="0" w:lastRow="0" w:firstColumn="1" w:lastColumn="0" w:oddVBand="0" w:evenVBand="0" w:oddHBand="0" w:evenHBand="0" w:firstRowFirstColumn="0" w:firstRowLastColumn="0" w:lastRowFirstColumn="0" w:lastRowLastColumn="0"/>
            <w:tcW w:w="4325" w:type="dxa"/>
            <w:hideMark/>
          </w:tcPr>
          <w:p w14:paraId="12DFF782" w14:textId="77777777" w:rsidR="002216BB" w:rsidRPr="0035727F" w:rsidRDefault="00D83E7F" w:rsidP="00C016F2">
            <w:pPr>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Profit </w:t>
            </w:r>
          </w:p>
        </w:tc>
        <w:tc>
          <w:tcPr>
            <w:tcW w:w="2340" w:type="dxa"/>
            <w:noWrap/>
            <w:hideMark/>
          </w:tcPr>
          <w:p w14:paraId="3526FB63"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 </w:t>
            </w:r>
          </w:p>
        </w:tc>
        <w:tc>
          <w:tcPr>
            <w:tcW w:w="2340" w:type="dxa"/>
            <w:noWrap/>
            <w:hideMark/>
          </w:tcPr>
          <w:p w14:paraId="3386DD0B" w14:textId="77777777" w:rsidR="002216BB" w:rsidRPr="0035727F" w:rsidRDefault="00D83E7F" w:rsidP="00C016F2">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35727F">
              <w:rPr>
                <w:rFonts w:ascii="Arial" w:eastAsia="Times New Roman" w:hAnsi="Arial" w:cs="Arial"/>
                <w:color w:val="000000" w:themeColor="text1"/>
              </w:rPr>
              <w:t>-5,702</w:t>
            </w:r>
          </w:p>
        </w:tc>
      </w:tr>
    </w:tbl>
    <w:p w14:paraId="5782E73C" w14:textId="1D1CDDD3" w:rsidR="00E95997" w:rsidRPr="00E95997" w:rsidRDefault="00D83E7F" w:rsidP="00C016F2">
      <w:pPr>
        <w:spacing w:line="360" w:lineRule="auto"/>
        <w:jc w:val="both"/>
        <w:rPr>
          <w:rFonts w:ascii="Arial" w:hAnsi="Arial" w:cs="Arial"/>
          <w:color w:val="000000" w:themeColor="text1"/>
        </w:rPr>
      </w:pPr>
      <w:r w:rsidRPr="0035727F">
        <w:rPr>
          <w:rFonts w:ascii="Arial" w:hAnsi="Arial" w:cs="Arial"/>
          <w:color w:val="000000" w:themeColor="text1"/>
        </w:rPr>
        <w:t xml:space="preserve">The overall loss for the company was </w:t>
      </w:r>
      <w:r w:rsidRPr="0035727F">
        <w:rPr>
          <w:rFonts w:ascii="Arial" w:eastAsia="Times New Roman" w:hAnsi="Arial" w:cs="Arial"/>
          <w:color w:val="000000" w:themeColor="text1"/>
        </w:rPr>
        <w:t>-£12,844. But calculating the profit after stopping Mobile beds production, it is found that the overall loss has been lessening though there is negative profit. so, it can be said that Mobile bed production stopping is giving the company advantages. Now the negative profit is -£5,702.</w:t>
      </w:r>
    </w:p>
    <w:p w14:paraId="64536D3F" w14:textId="187A1DC1" w:rsidR="00E95997" w:rsidRDefault="00E95997" w:rsidP="00C016F2">
      <w:pPr>
        <w:spacing w:line="360" w:lineRule="auto"/>
        <w:jc w:val="both"/>
        <w:rPr>
          <w:rFonts w:ascii="Arial" w:eastAsia="Times New Roman" w:hAnsi="Arial" w:cs="Arial"/>
          <w:b/>
          <w:color w:val="000000" w:themeColor="text1"/>
        </w:rPr>
      </w:pPr>
    </w:p>
    <w:p w14:paraId="1FD4236C" w14:textId="77777777" w:rsidR="00E95997" w:rsidRDefault="00E95997" w:rsidP="00C016F2">
      <w:pPr>
        <w:spacing w:line="360" w:lineRule="auto"/>
        <w:jc w:val="both"/>
        <w:rPr>
          <w:rFonts w:ascii="Arial" w:eastAsia="Times New Roman" w:hAnsi="Arial" w:cs="Arial"/>
          <w:b/>
          <w:color w:val="000000" w:themeColor="text1"/>
        </w:rPr>
      </w:pPr>
    </w:p>
    <w:p w14:paraId="742928D1" w14:textId="797487A6" w:rsidR="00591D06" w:rsidRDefault="00D83E7F" w:rsidP="00E95997">
      <w:pPr>
        <w:pStyle w:val="Heading2"/>
        <w:rPr>
          <w:rFonts w:eastAsia="Times New Roman"/>
        </w:rPr>
      </w:pPr>
      <w:bookmarkStart w:id="10" w:name="_Toc128777555"/>
      <w:bookmarkStart w:id="11" w:name="_Toc128778822"/>
      <w:r w:rsidRPr="0035727F">
        <w:rPr>
          <w:rFonts w:eastAsia="Times New Roman"/>
        </w:rPr>
        <w:lastRenderedPageBreak/>
        <w:t>Advise for MSG</w:t>
      </w:r>
      <w:bookmarkEnd w:id="10"/>
      <w:bookmarkEnd w:id="11"/>
    </w:p>
    <w:p w14:paraId="0684D302" w14:textId="77777777" w:rsidR="00E95997" w:rsidRPr="00E95997" w:rsidRDefault="00E95997" w:rsidP="00E95997"/>
    <w:p w14:paraId="6A0FE1EB" w14:textId="77777777" w:rsidR="00205174" w:rsidRPr="0035727F" w:rsidRDefault="00D83E7F" w:rsidP="00C016F2">
      <w:pPr>
        <w:spacing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It is found that MSG faces losses in its productivity. As MSG is facing losses, the company is trying to stop the production of Hoists and Mobile Beds. A wheelchair is generating profit for the company but the other two products are generating negative profit for the company. This negative profit is giving losses to the company. As it is facing continuous losses, MSG decides to stop Hoists and Mobile Beds production. Now, the recommendation for MSG company is to stop these two productions and to increase the profitability of the company, MSG should lower its unit per cost and needs to increase higher productivity of wheelchairs. These will provide the company with long-term profitability. Each of the company's objectives is to get sustainable growth. So, MSG must stop Hoists and Mobile B</w:t>
      </w:r>
      <w:r w:rsidR="009A5A81" w:rsidRPr="0035727F">
        <w:rPr>
          <w:rFonts w:ascii="Arial" w:eastAsia="Times New Roman" w:hAnsi="Arial" w:cs="Arial"/>
          <w:color w:val="000000" w:themeColor="text1"/>
        </w:rPr>
        <w:t xml:space="preserve">eds company to get long-term and sustainable growth. If MSG follows some techniques, it can increase its profitability. Some techniques are selling more units, increasing sales per unit, reducing costs, and increasing efficiency. MSG can follow qualitative techniques to stop Hoists and Mobile Beds production. These techniques are increasing the efficiency of the product and increase the design of the product. </w:t>
      </w:r>
    </w:p>
    <w:p w14:paraId="7E5AE848" w14:textId="77777777" w:rsidR="00911B75" w:rsidRPr="0035727F" w:rsidRDefault="00D83E7F" w:rsidP="00E95997">
      <w:pPr>
        <w:pStyle w:val="Heading1"/>
      </w:pPr>
      <w:bookmarkStart w:id="12" w:name="_Toc128777556"/>
      <w:bookmarkStart w:id="13" w:name="_Toc128778823"/>
      <w:r w:rsidRPr="0035727F">
        <w:t>Break-even Point</w:t>
      </w:r>
      <w:bookmarkEnd w:id="12"/>
      <w:bookmarkEnd w:id="13"/>
    </w:p>
    <w:p w14:paraId="008E124A" w14:textId="77777777" w:rsidR="00911B75" w:rsidRPr="0035727F" w:rsidRDefault="00D83E7F" w:rsidP="00C016F2">
      <w:pPr>
        <w:spacing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The break-even point is a technique that is used to calculate a point at which the total cost and total revenue of the products will be similar and at this point, there will have no gain and loss for the company </w:t>
      </w:r>
      <w:r w:rsidR="008E3A03" w:rsidRPr="0035727F">
        <w:rPr>
          <w:rFonts w:ascii="Arial" w:eastAsia="Times New Roman" w:hAnsi="Arial" w:cs="Arial"/>
          <w:color w:val="000000" w:themeColor="text1"/>
        </w:rPr>
        <w:t>(</w:t>
      </w:r>
      <w:proofErr w:type="spellStart"/>
      <w:r w:rsidR="008E3A03" w:rsidRPr="0035727F">
        <w:rPr>
          <w:rFonts w:ascii="Arial" w:hAnsi="Arial" w:cs="Arial"/>
          <w:color w:val="000000" w:themeColor="text1"/>
          <w:shd w:val="clear" w:color="auto" w:fill="FFFFFF"/>
        </w:rPr>
        <w:t>Langfield</w:t>
      </w:r>
      <w:proofErr w:type="spellEnd"/>
      <w:r w:rsidR="008E3A03" w:rsidRPr="0035727F">
        <w:rPr>
          <w:rFonts w:ascii="Arial" w:hAnsi="Arial" w:cs="Arial"/>
          <w:color w:val="000000" w:themeColor="text1"/>
          <w:shd w:val="clear" w:color="auto" w:fill="FFFFFF"/>
        </w:rPr>
        <w:t>-Smith, Thorne, &amp; Hilton, 2018)</w:t>
      </w:r>
      <w:r w:rsidR="00A7109A" w:rsidRPr="0035727F">
        <w:rPr>
          <w:rFonts w:ascii="Arial" w:eastAsia="Times New Roman" w:hAnsi="Arial" w:cs="Arial"/>
          <w:color w:val="000000" w:themeColor="text1"/>
        </w:rPr>
        <w:t xml:space="preserve">. </w:t>
      </w:r>
    </w:p>
    <w:tbl>
      <w:tblPr>
        <w:tblW w:w="8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5"/>
        <w:gridCol w:w="1246"/>
        <w:gridCol w:w="2492"/>
      </w:tblGrid>
      <w:tr w:rsidR="004609E5" w:rsidRPr="0035727F" w14:paraId="22600671" w14:textId="77777777" w:rsidTr="00911B75">
        <w:trPr>
          <w:trHeight w:val="265"/>
        </w:trPr>
        <w:tc>
          <w:tcPr>
            <w:tcW w:w="6231" w:type="dxa"/>
            <w:gridSpan w:val="2"/>
            <w:shd w:val="clear" w:color="auto" w:fill="auto"/>
            <w:noWrap/>
            <w:vAlign w:val="bottom"/>
            <w:hideMark/>
          </w:tcPr>
          <w:p w14:paraId="6560455F"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Fixed costs</w:t>
            </w:r>
          </w:p>
        </w:tc>
        <w:tc>
          <w:tcPr>
            <w:tcW w:w="2492" w:type="dxa"/>
            <w:shd w:val="clear" w:color="auto" w:fill="auto"/>
            <w:noWrap/>
            <w:vAlign w:val="bottom"/>
            <w:hideMark/>
          </w:tcPr>
          <w:p w14:paraId="395238F6"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£11500</w:t>
            </w:r>
          </w:p>
        </w:tc>
      </w:tr>
      <w:tr w:rsidR="004609E5" w:rsidRPr="0035727F" w14:paraId="487C9DCB" w14:textId="77777777" w:rsidTr="00911B75">
        <w:trPr>
          <w:trHeight w:val="265"/>
        </w:trPr>
        <w:tc>
          <w:tcPr>
            <w:tcW w:w="4985" w:type="dxa"/>
            <w:shd w:val="clear" w:color="auto" w:fill="auto"/>
            <w:noWrap/>
            <w:vAlign w:val="bottom"/>
            <w:hideMark/>
          </w:tcPr>
          <w:p w14:paraId="58E3E50E"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Sales</w:t>
            </w:r>
          </w:p>
        </w:tc>
        <w:tc>
          <w:tcPr>
            <w:tcW w:w="1246" w:type="dxa"/>
            <w:shd w:val="clear" w:color="auto" w:fill="auto"/>
            <w:noWrap/>
            <w:vAlign w:val="bottom"/>
            <w:hideMark/>
          </w:tcPr>
          <w:p w14:paraId="39D73948"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£65</w:t>
            </w:r>
          </w:p>
        </w:tc>
        <w:tc>
          <w:tcPr>
            <w:tcW w:w="2492" w:type="dxa"/>
            <w:shd w:val="clear" w:color="auto" w:fill="auto"/>
            <w:noWrap/>
            <w:vAlign w:val="bottom"/>
            <w:hideMark/>
          </w:tcPr>
          <w:p w14:paraId="10BD47EA" w14:textId="77777777" w:rsidR="00911B75" w:rsidRPr="0035727F" w:rsidRDefault="00911B75" w:rsidP="00C016F2">
            <w:pPr>
              <w:spacing w:after="0" w:line="360" w:lineRule="auto"/>
              <w:jc w:val="both"/>
              <w:rPr>
                <w:rFonts w:ascii="Arial" w:eastAsia="Times New Roman" w:hAnsi="Arial" w:cs="Arial"/>
                <w:color w:val="000000" w:themeColor="text1"/>
              </w:rPr>
            </w:pPr>
          </w:p>
        </w:tc>
      </w:tr>
      <w:tr w:rsidR="004609E5" w:rsidRPr="0035727F" w14:paraId="2B41067D" w14:textId="77777777" w:rsidTr="00911B75">
        <w:trPr>
          <w:trHeight w:val="265"/>
        </w:trPr>
        <w:tc>
          <w:tcPr>
            <w:tcW w:w="4985" w:type="dxa"/>
            <w:shd w:val="clear" w:color="auto" w:fill="auto"/>
            <w:noWrap/>
            <w:vAlign w:val="bottom"/>
            <w:hideMark/>
          </w:tcPr>
          <w:p w14:paraId="6FBE6104"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variable costs</w:t>
            </w:r>
          </w:p>
        </w:tc>
        <w:tc>
          <w:tcPr>
            <w:tcW w:w="1246" w:type="dxa"/>
            <w:shd w:val="clear" w:color="auto" w:fill="auto"/>
            <w:noWrap/>
            <w:vAlign w:val="bottom"/>
            <w:hideMark/>
          </w:tcPr>
          <w:p w14:paraId="759CC259"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£40</w:t>
            </w:r>
          </w:p>
        </w:tc>
        <w:tc>
          <w:tcPr>
            <w:tcW w:w="2492" w:type="dxa"/>
            <w:shd w:val="clear" w:color="auto" w:fill="auto"/>
            <w:noWrap/>
            <w:vAlign w:val="bottom"/>
            <w:hideMark/>
          </w:tcPr>
          <w:p w14:paraId="19D8BFC1" w14:textId="77777777" w:rsidR="00911B75" w:rsidRPr="0035727F" w:rsidRDefault="00911B75" w:rsidP="00C016F2">
            <w:pPr>
              <w:spacing w:after="0" w:line="360" w:lineRule="auto"/>
              <w:jc w:val="both"/>
              <w:rPr>
                <w:rFonts w:ascii="Arial" w:eastAsia="Times New Roman" w:hAnsi="Arial" w:cs="Arial"/>
                <w:color w:val="000000" w:themeColor="text1"/>
              </w:rPr>
            </w:pPr>
          </w:p>
        </w:tc>
      </w:tr>
      <w:tr w:rsidR="004609E5" w:rsidRPr="0035727F" w14:paraId="5A6D8B2B" w14:textId="77777777" w:rsidTr="00911B75">
        <w:trPr>
          <w:trHeight w:val="265"/>
        </w:trPr>
        <w:tc>
          <w:tcPr>
            <w:tcW w:w="6231" w:type="dxa"/>
            <w:gridSpan w:val="2"/>
            <w:shd w:val="clear" w:color="auto" w:fill="auto"/>
            <w:noWrap/>
            <w:vAlign w:val="bottom"/>
            <w:hideMark/>
          </w:tcPr>
          <w:p w14:paraId="78A2A5CD"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Contribution margin </w:t>
            </w:r>
          </w:p>
        </w:tc>
        <w:tc>
          <w:tcPr>
            <w:tcW w:w="2492" w:type="dxa"/>
            <w:shd w:val="clear" w:color="auto" w:fill="auto"/>
            <w:noWrap/>
            <w:vAlign w:val="bottom"/>
            <w:hideMark/>
          </w:tcPr>
          <w:p w14:paraId="12BF92C0"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£25</w:t>
            </w:r>
          </w:p>
        </w:tc>
      </w:tr>
      <w:tr w:rsidR="004609E5" w:rsidRPr="0035727F" w14:paraId="673D5139" w14:textId="77777777" w:rsidTr="00911B75">
        <w:trPr>
          <w:trHeight w:val="265"/>
        </w:trPr>
        <w:tc>
          <w:tcPr>
            <w:tcW w:w="6231" w:type="dxa"/>
            <w:gridSpan w:val="2"/>
            <w:shd w:val="clear" w:color="auto" w:fill="auto"/>
            <w:noWrap/>
            <w:vAlign w:val="bottom"/>
            <w:hideMark/>
          </w:tcPr>
          <w:p w14:paraId="3780CC09"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Break-even point</w:t>
            </w:r>
          </w:p>
        </w:tc>
        <w:tc>
          <w:tcPr>
            <w:tcW w:w="2492" w:type="dxa"/>
            <w:shd w:val="clear" w:color="auto" w:fill="auto"/>
            <w:noWrap/>
            <w:vAlign w:val="bottom"/>
            <w:hideMark/>
          </w:tcPr>
          <w:p w14:paraId="63203FD2"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460</w:t>
            </w:r>
          </w:p>
        </w:tc>
      </w:tr>
    </w:tbl>
    <w:p w14:paraId="3661F42A" w14:textId="1CCB0B6C" w:rsidR="00911B75" w:rsidRPr="0035727F" w:rsidRDefault="00D83E7F" w:rsidP="00C016F2">
      <w:pPr>
        <w:pStyle w:val="NormalWeb"/>
        <w:spacing w:line="360" w:lineRule="auto"/>
        <w:jc w:val="both"/>
        <w:rPr>
          <w:rFonts w:ascii="Arial" w:hAnsi="Arial" w:cs="Arial"/>
          <w:color w:val="000000" w:themeColor="text1"/>
          <w:sz w:val="22"/>
          <w:szCs w:val="22"/>
        </w:rPr>
      </w:pPr>
      <w:proofErr w:type="spellStart"/>
      <w:r w:rsidRPr="0035727F">
        <w:rPr>
          <w:rFonts w:ascii="Arial" w:hAnsi="Arial" w:cs="Arial"/>
          <w:color w:val="000000" w:themeColor="text1"/>
          <w:sz w:val="22"/>
          <w:szCs w:val="22"/>
        </w:rPr>
        <w:t>DelhiCorner</w:t>
      </w:r>
      <w:proofErr w:type="spellEnd"/>
      <w:r w:rsidRPr="0035727F">
        <w:rPr>
          <w:rFonts w:ascii="Arial" w:hAnsi="Arial" w:cs="Arial"/>
          <w:color w:val="000000" w:themeColor="text1"/>
          <w:sz w:val="22"/>
          <w:szCs w:val="22"/>
        </w:rPr>
        <w:t xml:space="preserve"> needs to sell 460-unit for the break-even. </w:t>
      </w:r>
    </w:p>
    <w:tbl>
      <w:tblPr>
        <w:tblW w:w="8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5"/>
        <w:gridCol w:w="2536"/>
      </w:tblGrid>
      <w:tr w:rsidR="004609E5" w:rsidRPr="0035727F" w14:paraId="0BE87104" w14:textId="77777777" w:rsidTr="00911B75">
        <w:trPr>
          <w:trHeight w:val="266"/>
        </w:trPr>
        <w:tc>
          <w:tcPr>
            <w:tcW w:w="5635" w:type="dxa"/>
            <w:shd w:val="clear" w:color="auto" w:fill="auto"/>
            <w:noWrap/>
            <w:vAlign w:val="bottom"/>
            <w:hideMark/>
          </w:tcPr>
          <w:p w14:paraId="66E0BDC8"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Revenue</w:t>
            </w:r>
          </w:p>
        </w:tc>
        <w:tc>
          <w:tcPr>
            <w:tcW w:w="2536" w:type="dxa"/>
            <w:shd w:val="clear" w:color="auto" w:fill="auto"/>
            <w:noWrap/>
            <w:vAlign w:val="bottom"/>
            <w:hideMark/>
          </w:tcPr>
          <w:p w14:paraId="56DD8948"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£24000</w:t>
            </w:r>
          </w:p>
        </w:tc>
      </w:tr>
      <w:tr w:rsidR="004609E5" w:rsidRPr="0035727F" w14:paraId="02D10648" w14:textId="77777777" w:rsidTr="00911B75">
        <w:trPr>
          <w:trHeight w:val="266"/>
        </w:trPr>
        <w:tc>
          <w:tcPr>
            <w:tcW w:w="5635" w:type="dxa"/>
            <w:shd w:val="clear" w:color="auto" w:fill="auto"/>
            <w:noWrap/>
            <w:vAlign w:val="bottom"/>
            <w:hideMark/>
          </w:tcPr>
          <w:p w14:paraId="6F446278"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Number of Units sold</w:t>
            </w:r>
          </w:p>
        </w:tc>
        <w:tc>
          <w:tcPr>
            <w:tcW w:w="2536" w:type="dxa"/>
            <w:shd w:val="clear" w:color="auto" w:fill="auto"/>
            <w:noWrap/>
            <w:vAlign w:val="bottom"/>
            <w:hideMark/>
          </w:tcPr>
          <w:p w14:paraId="2D828264"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370</w:t>
            </w:r>
          </w:p>
        </w:tc>
      </w:tr>
      <w:tr w:rsidR="004609E5" w:rsidRPr="0035727F" w14:paraId="5CFBE0AD" w14:textId="77777777" w:rsidTr="00911B75">
        <w:trPr>
          <w:trHeight w:val="266"/>
        </w:trPr>
        <w:tc>
          <w:tcPr>
            <w:tcW w:w="5635" w:type="dxa"/>
            <w:shd w:val="clear" w:color="auto" w:fill="auto"/>
            <w:noWrap/>
            <w:vAlign w:val="bottom"/>
            <w:hideMark/>
          </w:tcPr>
          <w:p w14:paraId="27EAA45E"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Sales price per unit</w:t>
            </w:r>
          </w:p>
        </w:tc>
        <w:tc>
          <w:tcPr>
            <w:tcW w:w="2536" w:type="dxa"/>
            <w:shd w:val="clear" w:color="auto" w:fill="auto"/>
            <w:noWrap/>
            <w:vAlign w:val="bottom"/>
            <w:hideMark/>
          </w:tcPr>
          <w:p w14:paraId="6FB06411" w14:textId="77777777" w:rsidR="00911B75" w:rsidRPr="0035727F" w:rsidRDefault="00D83E7F" w:rsidP="00C016F2">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65</w:t>
            </w:r>
          </w:p>
        </w:tc>
      </w:tr>
    </w:tbl>
    <w:p w14:paraId="45E73A78" w14:textId="77777777" w:rsidR="007D5BC9" w:rsidRPr="0035727F" w:rsidRDefault="00D83E7F" w:rsidP="00C016F2">
      <w:pPr>
        <w:pStyle w:val="NormalWeb"/>
        <w:spacing w:line="360" w:lineRule="auto"/>
        <w:jc w:val="both"/>
        <w:rPr>
          <w:rFonts w:ascii="Arial" w:hAnsi="Arial" w:cs="Arial"/>
          <w:color w:val="000000" w:themeColor="text1"/>
          <w:sz w:val="22"/>
          <w:szCs w:val="22"/>
        </w:rPr>
      </w:pPr>
      <w:r w:rsidRPr="0035727F">
        <w:rPr>
          <w:rFonts w:ascii="Arial" w:hAnsi="Arial" w:cs="Arial"/>
          <w:color w:val="000000" w:themeColor="text1"/>
          <w:sz w:val="22"/>
          <w:szCs w:val="22"/>
        </w:rPr>
        <w:t xml:space="preserve">If there is £24,000 profit, 370 units should be produced. </w:t>
      </w:r>
    </w:p>
    <w:tbl>
      <w:tblPr>
        <w:tblpPr w:leftFromText="180" w:rightFromText="180" w:vertAnchor="text" w:horzAnchor="page" w:tblpX="1876" w:tblpY="37"/>
        <w:tblW w:w="6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4"/>
        <w:gridCol w:w="3149"/>
      </w:tblGrid>
      <w:tr w:rsidR="004609E5" w:rsidRPr="0035727F" w14:paraId="53AD3291" w14:textId="77777777" w:rsidTr="00F35088">
        <w:trPr>
          <w:trHeight w:val="200"/>
        </w:trPr>
        <w:tc>
          <w:tcPr>
            <w:tcW w:w="3264" w:type="dxa"/>
            <w:shd w:val="clear" w:color="auto" w:fill="auto"/>
            <w:noWrap/>
            <w:vAlign w:val="bottom"/>
            <w:hideMark/>
          </w:tcPr>
          <w:p w14:paraId="52BADD77" w14:textId="77777777" w:rsidR="00F35088" w:rsidRPr="0035727F" w:rsidRDefault="00D83E7F" w:rsidP="00F35088">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lastRenderedPageBreak/>
              <w:t>Revenue</w:t>
            </w:r>
          </w:p>
        </w:tc>
        <w:tc>
          <w:tcPr>
            <w:tcW w:w="3149" w:type="dxa"/>
            <w:shd w:val="clear" w:color="auto" w:fill="auto"/>
            <w:noWrap/>
            <w:vAlign w:val="bottom"/>
            <w:hideMark/>
          </w:tcPr>
          <w:p w14:paraId="65CF1032" w14:textId="77777777" w:rsidR="00F35088" w:rsidRPr="0035727F" w:rsidRDefault="00D83E7F" w:rsidP="00F35088">
            <w:pPr>
              <w:spacing w:after="0" w:line="360" w:lineRule="auto"/>
              <w:jc w:val="both"/>
              <w:rPr>
                <w:rFonts w:ascii="Arial" w:eastAsia="Times New Roman" w:hAnsi="Arial" w:cs="Arial"/>
                <w:color w:val="000000" w:themeColor="text1"/>
              </w:rPr>
            </w:pPr>
            <w:r w:rsidRPr="0035727F">
              <w:rPr>
                <w:rFonts w:ascii="Arial" w:hAnsi="Arial" w:cs="Arial"/>
                <w:color w:val="000000" w:themeColor="text1"/>
              </w:rPr>
              <w:t>£</w:t>
            </w:r>
            <w:r w:rsidRPr="0035727F">
              <w:rPr>
                <w:rFonts w:ascii="Arial" w:eastAsia="Times New Roman" w:hAnsi="Arial" w:cs="Arial"/>
                <w:color w:val="000000" w:themeColor="text1"/>
              </w:rPr>
              <w:t>53100</w:t>
            </w:r>
          </w:p>
        </w:tc>
      </w:tr>
      <w:tr w:rsidR="004609E5" w:rsidRPr="0035727F" w14:paraId="15AAF836" w14:textId="77777777" w:rsidTr="00F35088">
        <w:trPr>
          <w:trHeight w:val="200"/>
        </w:trPr>
        <w:tc>
          <w:tcPr>
            <w:tcW w:w="3264" w:type="dxa"/>
            <w:shd w:val="clear" w:color="auto" w:fill="auto"/>
            <w:noWrap/>
            <w:vAlign w:val="bottom"/>
            <w:hideMark/>
          </w:tcPr>
          <w:p w14:paraId="3679CDCD" w14:textId="77777777" w:rsidR="00F35088" w:rsidRPr="0035727F" w:rsidRDefault="00D83E7F" w:rsidP="00F35088">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 xml:space="preserve">variable costs </w:t>
            </w:r>
          </w:p>
        </w:tc>
        <w:tc>
          <w:tcPr>
            <w:tcW w:w="3149" w:type="dxa"/>
            <w:shd w:val="clear" w:color="auto" w:fill="auto"/>
            <w:noWrap/>
            <w:vAlign w:val="bottom"/>
            <w:hideMark/>
          </w:tcPr>
          <w:p w14:paraId="79D9053D" w14:textId="77777777" w:rsidR="00F35088" w:rsidRPr="0035727F" w:rsidRDefault="00D83E7F" w:rsidP="00F35088">
            <w:pPr>
              <w:spacing w:after="0" w:line="360" w:lineRule="auto"/>
              <w:jc w:val="both"/>
              <w:rPr>
                <w:rFonts w:ascii="Arial" w:eastAsia="Times New Roman" w:hAnsi="Arial" w:cs="Arial"/>
                <w:color w:val="000000" w:themeColor="text1"/>
              </w:rPr>
            </w:pPr>
            <w:r w:rsidRPr="0035727F">
              <w:rPr>
                <w:rFonts w:ascii="Arial" w:hAnsi="Arial" w:cs="Arial"/>
                <w:color w:val="000000" w:themeColor="text1"/>
              </w:rPr>
              <w:t>£</w:t>
            </w:r>
            <w:r w:rsidRPr="0035727F">
              <w:rPr>
                <w:rFonts w:ascii="Arial" w:eastAsia="Times New Roman" w:hAnsi="Arial" w:cs="Arial"/>
                <w:color w:val="000000" w:themeColor="text1"/>
              </w:rPr>
              <w:t>23400</w:t>
            </w:r>
          </w:p>
        </w:tc>
      </w:tr>
      <w:tr w:rsidR="004609E5" w:rsidRPr="0035727F" w14:paraId="55760003" w14:textId="77777777" w:rsidTr="00F35088">
        <w:trPr>
          <w:trHeight w:val="200"/>
        </w:trPr>
        <w:tc>
          <w:tcPr>
            <w:tcW w:w="3264" w:type="dxa"/>
            <w:shd w:val="clear" w:color="auto" w:fill="auto"/>
            <w:noWrap/>
            <w:vAlign w:val="bottom"/>
            <w:hideMark/>
          </w:tcPr>
          <w:p w14:paraId="5B00FD9E" w14:textId="77777777" w:rsidR="00F35088" w:rsidRPr="0035727F" w:rsidRDefault="00D83E7F" w:rsidP="00F35088">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fixed cost</w:t>
            </w:r>
          </w:p>
        </w:tc>
        <w:tc>
          <w:tcPr>
            <w:tcW w:w="3149" w:type="dxa"/>
            <w:shd w:val="clear" w:color="auto" w:fill="auto"/>
            <w:noWrap/>
            <w:vAlign w:val="bottom"/>
            <w:hideMark/>
          </w:tcPr>
          <w:p w14:paraId="500E739C" w14:textId="77777777" w:rsidR="00F35088" w:rsidRPr="0035727F" w:rsidRDefault="00D83E7F" w:rsidP="00F35088">
            <w:pPr>
              <w:spacing w:after="0" w:line="360" w:lineRule="auto"/>
              <w:jc w:val="both"/>
              <w:rPr>
                <w:rFonts w:ascii="Arial" w:eastAsia="Times New Roman" w:hAnsi="Arial" w:cs="Arial"/>
                <w:color w:val="000000" w:themeColor="text1"/>
              </w:rPr>
            </w:pPr>
            <w:r w:rsidRPr="0035727F">
              <w:rPr>
                <w:rFonts w:ascii="Arial" w:hAnsi="Arial" w:cs="Arial"/>
                <w:color w:val="000000" w:themeColor="text1"/>
              </w:rPr>
              <w:t>£</w:t>
            </w:r>
            <w:r w:rsidRPr="0035727F">
              <w:rPr>
                <w:rFonts w:ascii="Arial" w:eastAsia="Times New Roman" w:hAnsi="Arial" w:cs="Arial"/>
                <w:color w:val="000000" w:themeColor="text1"/>
              </w:rPr>
              <w:t>11500</w:t>
            </w:r>
          </w:p>
        </w:tc>
      </w:tr>
      <w:tr w:rsidR="004609E5" w:rsidRPr="0035727F" w14:paraId="53AC571A" w14:textId="77777777" w:rsidTr="00F35088">
        <w:trPr>
          <w:trHeight w:val="200"/>
        </w:trPr>
        <w:tc>
          <w:tcPr>
            <w:tcW w:w="3264" w:type="dxa"/>
            <w:shd w:val="clear" w:color="auto" w:fill="auto"/>
            <w:noWrap/>
            <w:vAlign w:val="bottom"/>
            <w:hideMark/>
          </w:tcPr>
          <w:p w14:paraId="2AEB52DA" w14:textId="77777777" w:rsidR="00F35088" w:rsidRPr="0035727F" w:rsidRDefault="00D83E7F" w:rsidP="00F35088">
            <w:pPr>
              <w:spacing w:after="0"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profit</w:t>
            </w:r>
          </w:p>
        </w:tc>
        <w:tc>
          <w:tcPr>
            <w:tcW w:w="3149" w:type="dxa"/>
            <w:shd w:val="clear" w:color="auto" w:fill="auto"/>
            <w:noWrap/>
            <w:vAlign w:val="bottom"/>
            <w:hideMark/>
          </w:tcPr>
          <w:p w14:paraId="20D62DEB" w14:textId="77777777" w:rsidR="00F35088" w:rsidRPr="0035727F" w:rsidRDefault="00D83E7F" w:rsidP="00F35088">
            <w:pPr>
              <w:spacing w:after="0" w:line="360" w:lineRule="auto"/>
              <w:jc w:val="both"/>
              <w:rPr>
                <w:rFonts w:ascii="Arial" w:eastAsia="Times New Roman" w:hAnsi="Arial" w:cs="Arial"/>
                <w:color w:val="000000" w:themeColor="text1"/>
              </w:rPr>
            </w:pPr>
            <w:r w:rsidRPr="0035727F">
              <w:rPr>
                <w:rFonts w:ascii="Arial" w:hAnsi="Arial" w:cs="Arial"/>
                <w:color w:val="000000" w:themeColor="text1"/>
              </w:rPr>
              <w:t>£</w:t>
            </w:r>
            <w:r w:rsidRPr="0035727F">
              <w:rPr>
                <w:rFonts w:ascii="Arial" w:eastAsia="Times New Roman" w:hAnsi="Arial" w:cs="Arial"/>
                <w:color w:val="000000" w:themeColor="text1"/>
              </w:rPr>
              <w:t>18200</w:t>
            </w:r>
          </w:p>
        </w:tc>
      </w:tr>
    </w:tbl>
    <w:p w14:paraId="15966C45" w14:textId="77777777" w:rsidR="00911B75" w:rsidRPr="0035727F" w:rsidRDefault="00D83E7F" w:rsidP="00C016F2">
      <w:pPr>
        <w:pStyle w:val="NormalWeb"/>
        <w:spacing w:line="360" w:lineRule="auto"/>
        <w:jc w:val="both"/>
        <w:rPr>
          <w:rFonts w:ascii="Arial" w:hAnsi="Arial" w:cs="Arial"/>
          <w:color w:val="000000" w:themeColor="text1"/>
          <w:sz w:val="22"/>
          <w:szCs w:val="22"/>
        </w:rPr>
      </w:pPr>
      <w:r w:rsidRPr="0035727F">
        <w:rPr>
          <w:rFonts w:ascii="Arial" w:hAnsi="Arial" w:cs="Arial"/>
          <w:color w:val="000000" w:themeColor="text1"/>
          <w:sz w:val="22"/>
          <w:szCs w:val="22"/>
        </w:rPr>
        <w:t xml:space="preserve"> </w:t>
      </w:r>
    </w:p>
    <w:p w14:paraId="46C45527" w14:textId="77777777" w:rsidR="00F35088" w:rsidRPr="0035727F" w:rsidRDefault="00D83E7F" w:rsidP="00C016F2">
      <w:pPr>
        <w:pStyle w:val="NormalWeb"/>
        <w:spacing w:line="360" w:lineRule="auto"/>
        <w:jc w:val="both"/>
        <w:rPr>
          <w:rFonts w:ascii="Arial" w:hAnsi="Arial" w:cs="Arial"/>
          <w:color w:val="000000" w:themeColor="text1"/>
          <w:spacing w:val="-6"/>
          <w:sz w:val="22"/>
          <w:szCs w:val="22"/>
        </w:rPr>
      </w:pPr>
      <w:r w:rsidRPr="0035727F">
        <w:rPr>
          <w:rFonts w:ascii="Arial" w:hAnsi="Arial" w:cs="Arial"/>
          <w:color w:val="000000" w:themeColor="text1"/>
          <w:spacing w:val="-6"/>
          <w:sz w:val="22"/>
          <w:szCs w:val="22"/>
        </w:rPr>
        <w:t xml:space="preserve"> </w:t>
      </w:r>
    </w:p>
    <w:p w14:paraId="75039AF2" w14:textId="77777777" w:rsidR="00F35088" w:rsidRPr="0035727F" w:rsidRDefault="00F35088" w:rsidP="00C016F2">
      <w:pPr>
        <w:pStyle w:val="NormalWeb"/>
        <w:spacing w:line="360" w:lineRule="auto"/>
        <w:jc w:val="both"/>
        <w:rPr>
          <w:rFonts w:ascii="Arial" w:hAnsi="Arial" w:cs="Arial"/>
          <w:color w:val="000000" w:themeColor="text1"/>
          <w:spacing w:val="-6"/>
          <w:sz w:val="22"/>
          <w:szCs w:val="22"/>
        </w:rPr>
      </w:pPr>
    </w:p>
    <w:p w14:paraId="265C37B1" w14:textId="77777777" w:rsidR="00F35088" w:rsidRPr="0035727F" w:rsidRDefault="00D83E7F" w:rsidP="005F72CF">
      <w:pPr>
        <w:pStyle w:val="NormalWeb"/>
        <w:spacing w:line="360" w:lineRule="auto"/>
        <w:jc w:val="both"/>
        <w:rPr>
          <w:rFonts w:ascii="Arial" w:hAnsi="Arial" w:cs="Arial"/>
          <w:color w:val="000000" w:themeColor="text1"/>
          <w:sz w:val="22"/>
          <w:szCs w:val="22"/>
        </w:rPr>
      </w:pPr>
      <w:r w:rsidRPr="0035727F">
        <w:rPr>
          <w:rFonts w:ascii="Arial" w:hAnsi="Arial" w:cs="Arial"/>
          <w:color w:val="000000" w:themeColor="text1"/>
          <w:spacing w:val="-6"/>
          <w:sz w:val="22"/>
          <w:szCs w:val="22"/>
        </w:rPr>
        <w:t xml:space="preserve">Given that there is </w:t>
      </w:r>
      <w:r w:rsidRPr="0035727F">
        <w:rPr>
          <w:rFonts w:ascii="Arial" w:hAnsi="Arial" w:cs="Arial"/>
          <w:color w:val="000000" w:themeColor="text1"/>
          <w:sz w:val="22"/>
          <w:szCs w:val="22"/>
        </w:rPr>
        <w:t xml:space="preserve">£65 per unit, so </w:t>
      </w:r>
      <w:r w:rsidR="005F72CF" w:rsidRPr="0035727F">
        <w:rPr>
          <w:rFonts w:ascii="Arial" w:hAnsi="Arial" w:cs="Arial"/>
          <w:color w:val="000000" w:themeColor="text1"/>
          <w:sz w:val="22"/>
          <w:szCs w:val="22"/>
        </w:rPr>
        <w:t xml:space="preserve">total sales for 460 units will be £29900. Given that £40 per unit variable cost, the total costs for 460 units will be £18400. And here given that extra advertising cost £5000 and total variable costs will be £23400. After calculation, it is found that the required revenue is £53100 for getting £18200 profit. </w:t>
      </w:r>
    </w:p>
    <w:p w14:paraId="3AD14BDB" w14:textId="77777777" w:rsidR="00D95A60" w:rsidRPr="0035727F" w:rsidRDefault="00D83E7F" w:rsidP="005F72CF">
      <w:pPr>
        <w:pStyle w:val="NormalWeb"/>
        <w:spacing w:line="360" w:lineRule="auto"/>
        <w:jc w:val="both"/>
        <w:rPr>
          <w:rFonts w:ascii="Arial" w:hAnsi="Arial" w:cs="Arial"/>
          <w:color w:val="000000" w:themeColor="text1"/>
          <w:sz w:val="22"/>
          <w:szCs w:val="22"/>
        </w:rPr>
      </w:pPr>
      <w:r w:rsidRPr="0035727F">
        <w:rPr>
          <w:rFonts w:ascii="Arial" w:hAnsi="Arial" w:cs="Arial"/>
          <w:color w:val="000000" w:themeColor="text1"/>
          <w:sz w:val="22"/>
          <w:szCs w:val="22"/>
        </w:rPr>
        <w:t>Though break-even analysis has advantages, it has some limitations too. These limitations are given below:</w:t>
      </w:r>
    </w:p>
    <w:p w14:paraId="0A57E023" w14:textId="77777777" w:rsidR="00D95A60" w:rsidRPr="0035727F" w:rsidRDefault="00D83E7F" w:rsidP="00D95A60">
      <w:pPr>
        <w:pStyle w:val="NormalWeb"/>
        <w:numPr>
          <w:ilvl w:val="0"/>
          <w:numId w:val="7"/>
        </w:numPr>
        <w:spacing w:line="360" w:lineRule="auto"/>
        <w:jc w:val="both"/>
        <w:rPr>
          <w:rFonts w:ascii="Arial" w:hAnsi="Arial" w:cs="Arial"/>
          <w:color w:val="000000" w:themeColor="text1"/>
          <w:spacing w:val="-6"/>
          <w:sz w:val="22"/>
          <w:szCs w:val="22"/>
        </w:rPr>
      </w:pPr>
      <w:r w:rsidRPr="0035727F">
        <w:rPr>
          <w:rFonts w:ascii="Arial" w:hAnsi="Arial" w:cs="Arial"/>
          <w:color w:val="000000" w:themeColor="text1"/>
          <w:spacing w:val="-6"/>
          <w:sz w:val="22"/>
          <w:szCs w:val="22"/>
        </w:rPr>
        <w:t>It follows assumption</w:t>
      </w:r>
    </w:p>
    <w:p w14:paraId="683E4E71" w14:textId="77777777" w:rsidR="00D95A60" w:rsidRPr="0035727F" w:rsidRDefault="00D83E7F" w:rsidP="00D95A60">
      <w:pPr>
        <w:pStyle w:val="NormalWeb"/>
        <w:numPr>
          <w:ilvl w:val="0"/>
          <w:numId w:val="7"/>
        </w:numPr>
        <w:spacing w:line="360" w:lineRule="auto"/>
        <w:jc w:val="both"/>
        <w:rPr>
          <w:rFonts w:ascii="Arial" w:hAnsi="Arial" w:cs="Arial"/>
          <w:color w:val="000000" w:themeColor="text1"/>
          <w:spacing w:val="-6"/>
          <w:sz w:val="22"/>
          <w:szCs w:val="22"/>
        </w:rPr>
      </w:pPr>
      <w:r w:rsidRPr="0035727F">
        <w:rPr>
          <w:rFonts w:ascii="Arial" w:hAnsi="Arial" w:cs="Arial"/>
          <w:color w:val="000000" w:themeColor="text1"/>
          <w:spacing w:val="-6"/>
          <w:sz w:val="22"/>
          <w:szCs w:val="22"/>
        </w:rPr>
        <w:t>Fixed costs are constant</w:t>
      </w:r>
    </w:p>
    <w:p w14:paraId="395439F1" w14:textId="77777777" w:rsidR="00D95A60" w:rsidRPr="0035727F" w:rsidRDefault="00D83E7F" w:rsidP="00D95A60">
      <w:pPr>
        <w:pStyle w:val="NormalWeb"/>
        <w:numPr>
          <w:ilvl w:val="0"/>
          <w:numId w:val="7"/>
        </w:numPr>
        <w:spacing w:line="360" w:lineRule="auto"/>
        <w:jc w:val="both"/>
        <w:rPr>
          <w:rFonts w:ascii="Arial" w:hAnsi="Arial" w:cs="Arial"/>
          <w:color w:val="000000" w:themeColor="text1"/>
          <w:spacing w:val="-6"/>
          <w:sz w:val="22"/>
          <w:szCs w:val="22"/>
        </w:rPr>
      </w:pPr>
      <w:r w:rsidRPr="0035727F">
        <w:rPr>
          <w:rFonts w:ascii="Arial" w:hAnsi="Arial" w:cs="Arial"/>
          <w:color w:val="000000" w:themeColor="text1"/>
          <w:spacing w:val="-6"/>
          <w:sz w:val="22"/>
          <w:szCs w:val="22"/>
        </w:rPr>
        <w:t>Variable costs vary</w:t>
      </w:r>
    </w:p>
    <w:p w14:paraId="6F3F93D0" w14:textId="77777777" w:rsidR="00D95A60" w:rsidRPr="0035727F" w:rsidRDefault="00D83E7F" w:rsidP="00D95A60">
      <w:pPr>
        <w:pStyle w:val="NormalWeb"/>
        <w:numPr>
          <w:ilvl w:val="0"/>
          <w:numId w:val="7"/>
        </w:numPr>
        <w:spacing w:line="360" w:lineRule="auto"/>
        <w:jc w:val="both"/>
        <w:rPr>
          <w:rFonts w:ascii="Arial" w:hAnsi="Arial" w:cs="Arial"/>
          <w:color w:val="000000" w:themeColor="text1"/>
          <w:spacing w:val="-6"/>
          <w:sz w:val="22"/>
          <w:szCs w:val="22"/>
        </w:rPr>
      </w:pPr>
      <w:r w:rsidRPr="0035727F">
        <w:rPr>
          <w:rFonts w:ascii="Arial" w:hAnsi="Arial" w:cs="Arial"/>
          <w:color w:val="000000" w:themeColor="text1"/>
          <w:spacing w:val="-6"/>
          <w:sz w:val="22"/>
          <w:szCs w:val="22"/>
        </w:rPr>
        <w:t>Unchanged selling price</w:t>
      </w:r>
    </w:p>
    <w:p w14:paraId="7516746A" w14:textId="16B1A1F4" w:rsidR="00D95A60" w:rsidRDefault="00D83E7F" w:rsidP="00F24F84">
      <w:pPr>
        <w:pStyle w:val="NormalWeb"/>
        <w:numPr>
          <w:ilvl w:val="0"/>
          <w:numId w:val="7"/>
        </w:numPr>
        <w:spacing w:line="360" w:lineRule="auto"/>
        <w:jc w:val="both"/>
        <w:rPr>
          <w:rFonts w:ascii="Arial" w:hAnsi="Arial" w:cs="Arial"/>
          <w:color w:val="000000" w:themeColor="text1"/>
          <w:spacing w:val="-6"/>
          <w:sz w:val="22"/>
          <w:szCs w:val="22"/>
        </w:rPr>
      </w:pPr>
      <w:r w:rsidRPr="0035727F">
        <w:rPr>
          <w:rFonts w:ascii="Arial" w:hAnsi="Arial" w:cs="Arial"/>
          <w:color w:val="000000" w:themeColor="text1"/>
          <w:spacing w:val="-6"/>
          <w:sz w:val="22"/>
          <w:szCs w:val="22"/>
        </w:rPr>
        <w:t>Unchanged business conditions</w:t>
      </w:r>
    </w:p>
    <w:p w14:paraId="379ED2CD" w14:textId="6309CF0C" w:rsidR="00E95997" w:rsidRDefault="00E95997" w:rsidP="00E95997">
      <w:pPr>
        <w:pStyle w:val="NormalWeb"/>
        <w:spacing w:line="360" w:lineRule="auto"/>
        <w:ind w:left="720"/>
        <w:jc w:val="both"/>
        <w:rPr>
          <w:rFonts w:ascii="Arial" w:hAnsi="Arial" w:cs="Arial"/>
          <w:color w:val="000000" w:themeColor="text1"/>
          <w:spacing w:val="-6"/>
          <w:sz w:val="22"/>
          <w:szCs w:val="22"/>
        </w:rPr>
      </w:pPr>
    </w:p>
    <w:p w14:paraId="0A58F1A1" w14:textId="77777777" w:rsidR="00E95997" w:rsidRPr="0035727F" w:rsidRDefault="00E95997" w:rsidP="00E95997">
      <w:pPr>
        <w:pStyle w:val="NormalWeb"/>
        <w:spacing w:line="360" w:lineRule="auto"/>
        <w:ind w:left="720"/>
        <w:jc w:val="both"/>
        <w:rPr>
          <w:rFonts w:ascii="Arial" w:hAnsi="Arial" w:cs="Arial"/>
          <w:color w:val="000000" w:themeColor="text1"/>
          <w:spacing w:val="-6"/>
          <w:sz w:val="22"/>
          <w:szCs w:val="22"/>
        </w:rPr>
      </w:pPr>
    </w:p>
    <w:p w14:paraId="797D0F66" w14:textId="77777777" w:rsidR="00FE302F" w:rsidRPr="0035727F" w:rsidRDefault="00D83E7F" w:rsidP="00E95997">
      <w:pPr>
        <w:pStyle w:val="Heading1"/>
      </w:pPr>
      <w:bookmarkStart w:id="14" w:name="_Toc128777557"/>
      <w:bookmarkStart w:id="15" w:name="_Toc128778824"/>
      <w:r w:rsidRPr="0035727F">
        <w:t>Conclusion</w:t>
      </w:r>
      <w:bookmarkEnd w:id="14"/>
      <w:bookmarkEnd w:id="15"/>
    </w:p>
    <w:p w14:paraId="4DC4B6DD" w14:textId="77777777" w:rsidR="00D95A60" w:rsidRPr="0035727F" w:rsidRDefault="00D83E7F" w:rsidP="008B2206">
      <w:pPr>
        <w:spacing w:before="100" w:beforeAutospacing="1" w:after="100" w:afterAutospacing="1" w:line="360" w:lineRule="auto"/>
        <w:jc w:val="both"/>
        <w:rPr>
          <w:rFonts w:ascii="Arial" w:eastAsia="Times New Roman" w:hAnsi="Arial" w:cs="Arial"/>
          <w:color w:val="000000" w:themeColor="text1"/>
        </w:rPr>
      </w:pPr>
      <w:r w:rsidRPr="0035727F">
        <w:rPr>
          <w:rFonts w:ascii="Arial" w:eastAsia="Times New Roman" w:hAnsi="Arial" w:cs="Arial"/>
          <w:color w:val="000000" w:themeColor="text1"/>
        </w:rPr>
        <w:t>Two types of costs variable costs and fixed costs are included in the marginal costing method. On the other hand, production costs, distribution costs, and administration costs are included in the absorbing costing method. The marginal costing method shows the production costs but the absorbing costing method shows the accurate and exact value of the profit of a company. The marginal costing method is useful for determining contribution per unit. On the other hand, the absorbing costing method is useful for determining net profit per unit.</w:t>
      </w:r>
    </w:p>
    <w:p w14:paraId="0EA80B0A" w14:textId="77777777" w:rsidR="008E3A03" w:rsidRPr="0035727F" w:rsidRDefault="008E3A03" w:rsidP="00C016F2">
      <w:pPr>
        <w:spacing w:line="360" w:lineRule="auto"/>
        <w:jc w:val="both"/>
        <w:rPr>
          <w:rFonts w:ascii="Arial" w:hAnsi="Arial" w:cs="Arial"/>
          <w:b/>
          <w:color w:val="000000" w:themeColor="text1"/>
        </w:rPr>
      </w:pPr>
    </w:p>
    <w:p w14:paraId="514E542E" w14:textId="77777777" w:rsidR="008B2206" w:rsidRPr="0035727F" w:rsidRDefault="008B2206" w:rsidP="00C016F2">
      <w:pPr>
        <w:spacing w:line="360" w:lineRule="auto"/>
        <w:jc w:val="both"/>
        <w:rPr>
          <w:rFonts w:ascii="Arial" w:hAnsi="Arial" w:cs="Arial"/>
          <w:b/>
          <w:color w:val="000000" w:themeColor="text1"/>
        </w:rPr>
      </w:pPr>
    </w:p>
    <w:p w14:paraId="45004C37" w14:textId="77777777" w:rsidR="008B2206" w:rsidRPr="0035727F" w:rsidRDefault="008B2206" w:rsidP="00C016F2">
      <w:pPr>
        <w:spacing w:line="360" w:lineRule="auto"/>
        <w:jc w:val="both"/>
        <w:rPr>
          <w:rFonts w:ascii="Arial" w:hAnsi="Arial" w:cs="Arial"/>
          <w:b/>
          <w:color w:val="000000" w:themeColor="text1"/>
        </w:rPr>
      </w:pPr>
    </w:p>
    <w:p w14:paraId="3778BC36" w14:textId="77777777" w:rsidR="008B2206" w:rsidRPr="0035727F" w:rsidRDefault="008B2206" w:rsidP="00C016F2">
      <w:pPr>
        <w:spacing w:line="360" w:lineRule="auto"/>
        <w:jc w:val="both"/>
        <w:rPr>
          <w:rFonts w:ascii="Arial" w:hAnsi="Arial" w:cs="Arial"/>
          <w:b/>
          <w:color w:val="000000" w:themeColor="text1"/>
        </w:rPr>
      </w:pPr>
    </w:p>
    <w:p w14:paraId="2DD9427A" w14:textId="77777777" w:rsidR="00C016F2" w:rsidRPr="0035727F" w:rsidRDefault="00D83E7F" w:rsidP="00E95997">
      <w:pPr>
        <w:pStyle w:val="Heading1"/>
      </w:pPr>
      <w:bookmarkStart w:id="16" w:name="_Toc128777558"/>
      <w:bookmarkStart w:id="17" w:name="_Toc128778825"/>
      <w:r w:rsidRPr="0035727F">
        <w:t>References</w:t>
      </w:r>
      <w:bookmarkEnd w:id="16"/>
      <w:bookmarkEnd w:id="17"/>
    </w:p>
    <w:p w14:paraId="02D81A84" w14:textId="77777777" w:rsidR="00C016F2" w:rsidRPr="00260C36" w:rsidRDefault="00D83E7F" w:rsidP="00E95997">
      <w:pPr>
        <w:pStyle w:val="ListParagraph"/>
        <w:numPr>
          <w:ilvl w:val="0"/>
          <w:numId w:val="28"/>
        </w:numPr>
        <w:spacing w:line="360" w:lineRule="auto"/>
        <w:jc w:val="both"/>
        <w:rPr>
          <w:rFonts w:ascii="Arial" w:hAnsi="Arial" w:cs="Arial"/>
          <w:color w:val="000000" w:themeColor="text1"/>
          <w:shd w:val="clear" w:color="auto" w:fill="FFFFFF"/>
        </w:rPr>
      </w:pPr>
      <w:r w:rsidRPr="00260C36">
        <w:rPr>
          <w:rFonts w:ascii="Arial" w:hAnsi="Arial" w:cs="Arial"/>
          <w:color w:val="000000" w:themeColor="text1"/>
          <w:shd w:val="clear" w:color="auto" w:fill="FFFFFF"/>
        </w:rPr>
        <w:t>Ahrens, T., &amp; Chapman, C. S. (2017). Management accounting as practice. </w:t>
      </w:r>
      <w:r w:rsidRPr="00260C36">
        <w:rPr>
          <w:rFonts w:ascii="Arial" w:hAnsi="Arial" w:cs="Arial"/>
          <w:i/>
          <w:iCs/>
          <w:color w:val="000000" w:themeColor="text1"/>
          <w:shd w:val="clear" w:color="auto" w:fill="FFFFFF"/>
        </w:rPr>
        <w:t>Accounting, organizations and society</w:t>
      </w:r>
      <w:r w:rsidRPr="00260C36">
        <w:rPr>
          <w:rFonts w:ascii="Arial" w:hAnsi="Arial" w:cs="Arial"/>
          <w:color w:val="000000" w:themeColor="text1"/>
          <w:shd w:val="clear" w:color="auto" w:fill="FFFFFF"/>
        </w:rPr>
        <w:t>, </w:t>
      </w:r>
      <w:r w:rsidRPr="00260C36">
        <w:rPr>
          <w:rFonts w:ascii="Arial" w:hAnsi="Arial" w:cs="Arial"/>
          <w:i/>
          <w:iCs/>
          <w:color w:val="000000" w:themeColor="text1"/>
          <w:shd w:val="clear" w:color="auto" w:fill="FFFFFF"/>
        </w:rPr>
        <w:t>32</w:t>
      </w:r>
      <w:r w:rsidRPr="00260C36">
        <w:rPr>
          <w:rFonts w:ascii="Arial" w:hAnsi="Arial" w:cs="Arial"/>
          <w:color w:val="000000" w:themeColor="text1"/>
          <w:shd w:val="clear" w:color="auto" w:fill="FFFFFF"/>
        </w:rPr>
        <w:t>(1-2), 1-27.</w:t>
      </w:r>
    </w:p>
    <w:p w14:paraId="377DE56A" w14:textId="77777777" w:rsidR="00C016F2" w:rsidRPr="00260C36" w:rsidRDefault="00D83E7F" w:rsidP="00E95997">
      <w:pPr>
        <w:pStyle w:val="ListParagraph"/>
        <w:numPr>
          <w:ilvl w:val="0"/>
          <w:numId w:val="28"/>
        </w:numPr>
        <w:spacing w:line="360" w:lineRule="auto"/>
        <w:jc w:val="both"/>
        <w:rPr>
          <w:rFonts w:ascii="Arial" w:hAnsi="Arial" w:cs="Arial"/>
          <w:color w:val="000000" w:themeColor="text1"/>
          <w:shd w:val="clear" w:color="auto" w:fill="FFFFFF"/>
        </w:rPr>
      </w:pPr>
      <w:proofErr w:type="spellStart"/>
      <w:r w:rsidRPr="00260C36">
        <w:rPr>
          <w:rFonts w:ascii="Arial" w:hAnsi="Arial" w:cs="Arial"/>
          <w:color w:val="000000" w:themeColor="text1"/>
          <w:shd w:val="clear" w:color="auto" w:fill="FFFFFF"/>
        </w:rPr>
        <w:t>Alawattage</w:t>
      </w:r>
      <w:proofErr w:type="spellEnd"/>
      <w:r w:rsidRPr="00260C36">
        <w:rPr>
          <w:rFonts w:ascii="Arial" w:hAnsi="Arial" w:cs="Arial"/>
          <w:color w:val="000000" w:themeColor="text1"/>
          <w:shd w:val="clear" w:color="auto" w:fill="FFFFFF"/>
        </w:rPr>
        <w:t xml:space="preserve">, C., &amp; </w:t>
      </w:r>
      <w:proofErr w:type="spellStart"/>
      <w:r w:rsidRPr="00260C36">
        <w:rPr>
          <w:rFonts w:ascii="Arial" w:hAnsi="Arial" w:cs="Arial"/>
          <w:color w:val="000000" w:themeColor="text1"/>
          <w:shd w:val="clear" w:color="auto" w:fill="FFFFFF"/>
        </w:rPr>
        <w:t>Wickramasinghe</w:t>
      </w:r>
      <w:proofErr w:type="spellEnd"/>
      <w:r w:rsidRPr="00260C36">
        <w:rPr>
          <w:rFonts w:ascii="Arial" w:hAnsi="Arial" w:cs="Arial"/>
          <w:color w:val="000000" w:themeColor="text1"/>
          <w:shd w:val="clear" w:color="auto" w:fill="FFFFFF"/>
        </w:rPr>
        <w:t>, D. (2012). </w:t>
      </w:r>
      <w:r w:rsidRPr="00260C36">
        <w:rPr>
          <w:rFonts w:ascii="Arial" w:hAnsi="Arial" w:cs="Arial"/>
          <w:i/>
          <w:iCs/>
          <w:color w:val="000000" w:themeColor="text1"/>
          <w:shd w:val="clear" w:color="auto" w:fill="FFFFFF"/>
        </w:rPr>
        <w:t>Management accounting change: approaches and perspectives</w:t>
      </w:r>
      <w:r w:rsidRPr="00260C36">
        <w:rPr>
          <w:rFonts w:ascii="Arial" w:hAnsi="Arial" w:cs="Arial"/>
          <w:color w:val="000000" w:themeColor="text1"/>
          <w:shd w:val="clear" w:color="auto" w:fill="FFFFFF"/>
        </w:rPr>
        <w:t>. Routledge.</w:t>
      </w:r>
    </w:p>
    <w:p w14:paraId="73D6D478" w14:textId="77777777" w:rsidR="00C016F2" w:rsidRPr="00260C36" w:rsidRDefault="00D83E7F" w:rsidP="00E95997">
      <w:pPr>
        <w:pStyle w:val="ListParagraph"/>
        <w:numPr>
          <w:ilvl w:val="0"/>
          <w:numId w:val="28"/>
        </w:numPr>
        <w:spacing w:line="360" w:lineRule="auto"/>
        <w:jc w:val="both"/>
        <w:rPr>
          <w:rFonts w:ascii="Arial" w:hAnsi="Arial" w:cs="Arial"/>
          <w:color w:val="000000" w:themeColor="text1"/>
          <w:shd w:val="clear" w:color="auto" w:fill="FFFFFF"/>
        </w:rPr>
      </w:pPr>
      <w:r w:rsidRPr="00260C36">
        <w:rPr>
          <w:rFonts w:ascii="Arial" w:hAnsi="Arial" w:cs="Arial"/>
          <w:color w:val="000000" w:themeColor="text1"/>
          <w:shd w:val="clear" w:color="auto" w:fill="FFFFFF"/>
        </w:rPr>
        <w:t>Bromwich, M., &amp; Bhimani, A. (2015). </w:t>
      </w:r>
      <w:r w:rsidRPr="00260C36">
        <w:rPr>
          <w:rFonts w:ascii="Arial" w:hAnsi="Arial" w:cs="Arial"/>
          <w:i/>
          <w:iCs/>
          <w:color w:val="000000" w:themeColor="text1"/>
          <w:shd w:val="clear" w:color="auto" w:fill="FFFFFF"/>
        </w:rPr>
        <w:t>Management accounting: Pathways to progress</w:t>
      </w:r>
      <w:r w:rsidRPr="00260C36">
        <w:rPr>
          <w:rFonts w:ascii="Arial" w:hAnsi="Arial" w:cs="Arial"/>
          <w:color w:val="000000" w:themeColor="text1"/>
          <w:shd w:val="clear" w:color="auto" w:fill="FFFFFF"/>
        </w:rPr>
        <w:t xml:space="preserve">. </w:t>
      </w:r>
      <w:proofErr w:type="spellStart"/>
      <w:r w:rsidRPr="00260C36">
        <w:rPr>
          <w:rFonts w:ascii="Arial" w:hAnsi="Arial" w:cs="Arial"/>
          <w:color w:val="000000" w:themeColor="text1"/>
          <w:shd w:val="clear" w:color="auto" w:fill="FFFFFF"/>
        </w:rPr>
        <w:t>Cima</w:t>
      </w:r>
      <w:proofErr w:type="spellEnd"/>
      <w:r w:rsidRPr="00260C36">
        <w:rPr>
          <w:rFonts w:ascii="Arial" w:hAnsi="Arial" w:cs="Arial"/>
          <w:color w:val="000000" w:themeColor="text1"/>
          <w:shd w:val="clear" w:color="auto" w:fill="FFFFFF"/>
        </w:rPr>
        <w:t xml:space="preserve"> publishing.</w:t>
      </w:r>
    </w:p>
    <w:p w14:paraId="13A202F2" w14:textId="77777777" w:rsidR="00C016F2" w:rsidRPr="00260C36" w:rsidRDefault="00D83E7F" w:rsidP="00E95997">
      <w:pPr>
        <w:pStyle w:val="ListParagraph"/>
        <w:numPr>
          <w:ilvl w:val="0"/>
          <w:numId w:val="28"/>
        </w:numPr>
        <w:spacing w:line="360" w:lineRule="auto"/>
        <w:jc w:val="both"/>
        <w:rPr>
          <w:rFonts w:ascii="Arial" w:hAnsi="Arial" w:cs="Arial"/>
          <w:color w:val="000000" w:themeColor="text1"/>
          <w:shd w:val="clear" w:color="auto" w:fill="FFFFFF"/>
        </w:rPr>
      </w:pPr>
      <w:r w:rsidRPr="00260C36">
        <w:rPr>
          <w:rFonts w:ascii="Arial" w:hAnsi="Arial" w:cs="Arial"/>
          <w:color w:val="000000" w:themeColor="text1"/>
          <w:shd w:val="clear" w:color="auto" w:fill="FFFFFF"/>
        </w:rPr>
        <w:t>Drury, C. (2018). </w:t>
      </w:r>
      <w:r w:rsidRPr="00260C36">
        <w:rPr>
          <w:rFonts w:ascii="Arial" w:hAnsi="Arial" w:cs="Arial"/>
          <w:i/>
          <w:iCs/>
          <w:color w:val="000000" w:themeColor="text1"/>
          <w:shd w:val="clear" w:color="auto" w:fill="FFFFFF"/>
        </w:rPr>
        <w:t>Cost and management accounting</w:t>
      </w:r>
      <w:r w:rsidRPr="00260C36">
        <w:rPr>
          <w:rFonts w:ascii="Arial" w:hAnsi="Arial" w:cs="Arial"/>
          <w:color w:val="000000" w:themeColor="text1"/>
          <w:shd w:val="clear" w:color="auto" w:fill="FFFFFF"/>
        </w:rPr>
        <w:t>. Belmont, CA, USA: Cengage Learning.</w:t>
      </w:r>
    </w:p>
    <w:p w14:paraId="4957C16D" w14:textId="77777777" w:rsidR="00C016F2" w:rsidRPr="00260C36" w:rsidRDefault="00D83E7F" w:rsidP="00E95997">
      <w:pPr>
        <w:pStyle w:val="ListParagraph"/>
        <w:numPr>
          <w:ilvl w:val="0"/>
          <w:numId w:val="28"/>
        </w:numPr>
        <w:spacing w:line="360" w:lineRule="auto"/>
        <w:jc w:val="both"/>
        <w:rPr>
          <w:rFonts w:ascii="Arial" w:hAnsi="Arial" w:cs="Arial"/>
          <w:color w:val="000000" w:themeColor="text1"/>
        </w:rPr>
      </w:pPr>
      <w:proofErr w:type="spellStart"/>
      <w:r w:rsidRPr="00260C36">
        <w:rPr>
          <w:rFonts w:ascii="Arial" w:hAnsi="Arial" w:cs="Arial"/>
          <w:color w:val="000000" w:themeColor="text1"/>
        </w:rPr>
        <w:t>Jiambalvo</w:t>
      </w:r>
      <w:proofErr w:type="spellEnd"/>
      <w:r w:rsidRPr="00260C36">
        <w:rPr>
          <w:rFonts w:ascii="Arial" w:hAnsi="Arial" w:cs="Arial"/>
          <w:color w:val="000000" w:themeColor="text1"/>
        </w:rPr>
        <w:t>, J., (2019). Managerial accounting. John Wiley &amp;amp; Sons.</w:t>
      </w:r>
    </w:p>
    <w:p w14:paraId="46A43F53" w14:textId="52F8CC42" w:rsidR="00C016F2" w:rsidRPr="00260C36" w:rsidRDefault="00D83E7F" w:rsidP="00E95997">
      <w:pPr>
        <w:pStyle w:val="ListParagraph"/>
        <w:numPr>
          <w:ilvl w:val="0"/>
          <w:numId w:val="28"/>
        </w:numPr>
        <w:spacing w:line="360" w:lineRule="auto"/>
        <w:jc w:val="both"/>
        <w:rPr>
          <w:rFonts w:ascii="Arial" w:hAnsi="Arial" w:cs="Arial"/>
          <w:color w:val="000000" w:themeColor="text1"/>
          <w:shd w:val="clear" w:color="auto" w:fill="FFFFFF"/>
        </w:rPr>
      </w:pPr>
      <w:proofErr w:type="spellStart"/>
      <w:r w:rsidRPr="00260C36">
        <w:rPr>
          <w:rFonts w:ascii="Arial" w:hAnsi="Arial" w:cs="Arial"/>
          <w:color w:val="000000" w:themeColor="text1"/>
          <w:shd w:val="clear" w:color="auto" w:fill="FFFFFF"/>
        </w:rPr>
        <w:t>Langfield</w:t>
      </w:r>
      <w:proofErr w:type="spellEnd"/>
      <w:r w:rsidRPr="00260C36">
        <w:rPr>
          <w:rFonts w:ascii="Arial" w:hAnsi="Arial" w:cs="Arial"/>
          <w:color w:val="000000" w:themeColor="text1"/>
          <w:shd w:val="clear" w:color="auto" w:fill="FFFFFF"/>
        </w:rPr>
        <w:t>-Smith, K., Thorne, H., &amp; Hilton, R. W. (2018). </w:t>
      </w:r>
      <w:r w:rsidRPr="00260C36">
        <w:rPr>
          <w:rFonts w:ascii="Arial" w:hAnsi="Arial" w:cs="Arial"/>
          <w:i/>
          <w:iCs/>
          <w:color w:val="000000" w:themeColor="text1"/>
          <w:shd w:val="clear" w:color="auto" w:fill="FFFFFF"/>
        </w:rPr>
        <w:t>Management accounting: Information for creating and managing value</w:t>
      </w:r>
      <w:r w:rsidRPr="00260C36">
        <w:rPr>
          <w:rFonts w:ascii="Arial" w:hAnsi="Arial" w:cs="Arial"/>
          <w:color w:val="000000" w:themeColor="text1"/>
          <w:shd w:val="clear" w:color="auto" w:fill="FFFFFF"/>
        </w:rPr>
        <w:t>. Sydney: McGraw-Hill Education.</w:t>
      </w:r>
    </w:p>
    <w:p w14:paraId="2DC0EC06" w14:textId="2FB677A6" w:rsidR="00260C36" w:rsidRPr="00260C36" w:rsidRDefault="00260C36" w:rsidP="00E95997">
      <w:pPr>
        <w:pStyle w:val="ListParagraph"/>
        <w:numPr>
          <w:ilvl w:val="0"/>
          <w:numId w:val="28"/>
        </w:numPr>
        <w:spacing w:line="360" w:lineRule="auto"/>
        <w:jc w:val="both"/>
        <w:rPr>
          <w:rFonts w:ascii="Arial" w:hAnsi="Arial" w:cs="Arial"/>
          <w:color w:val="000000" w:themeColor="text1"/>
          <w:shd w:val="clear" w:color="auto" w:fill="FFFFFF"/>
        </w:rPr>
      </w:pPr>
      <w:proofErr w:type="spellStart"/>
      <w:r w:rsidRPr="00260C36">
        <w:rPr>
          <w:rFonts w:ascii="Arial" w:hAnsi="Arial" w:cs="Arial"/>
          <w:color w:val="000000" w:themeColor="text1"/>
          <w:shd w:val="clear" w:color="auto" w:fill="FFFFFF"/>
        </w:rPr>
        <w:t>Madegowda</w:t>
      </w:r>
      <w:proofErr w:type="spellEnd"/>
      <w:r w:rsidRPr="00260C36">
        <w:rPr>
          <w:rFonts w:ascii="Arial" w:hAnsi="Arial" w:cs="Arial"/>
          <w:color w:val="000000" w:themeColor="text1"/>
          <w:shd w:val="clear" w:color="auto" w:fill="FFFFFF"/>
        </w:rPr>
        <w:t>, J. (2007) Management accounting. 1st ed. Mumbai: Himalaya Pub. House.</w:t>
      </w:r>
    </w:p>
    <w:p w14:paraId="261E2CFE" w14:textId="77777777" w:rsidR="00C016F2" w:rsidRPr="00260C36" w:rsidRDefault="00D83E7F" w:rsidP="00E95997">
      <w:pPr>
        <w:pStyle w:val="ListParagraph"/>
        <w:numPr>
          <w:ilvl w:val="0"/>
          <w:numId w:val="28"/>
        </w:numPr>
        <w:spacing w:line="360" w:lineRule="auto"/>
        <w:jc w:val="both"/>
        <w:rPr>
          <w:rFonts w:ascii="Arial" w:hAnsi="Arial" w:cs="Arial"/>
          <w:color w:val="000000" w:themeColor="text1"/>
        </w:rPr>
      </w:pPr>
      <w:proofErr w:type="spellStart"/>
      <w:r w:rsidRPr="00260C36">
        <w:rPr>
          <w:rFonts w:ascii="Arial" w:hAnsi="Arial" w:cs="Arial"/>
          <w:color w:val="000000" w:themeColor="text1"/>
        </w:rPr>
        <w:t>Ponisciakova</w:t>
      </w:r>
      <w:proofErr w:type="spellEnd"/>
      <w:r w:rsidRPr="00260C36">
        <w:rPr>
          <w:rFonts w:ascii="Arial" w:hAnsi="Arial" w:cs="Arial"/>
          <w:color w:val="000000" w:themeColor="text1"/>
        </w:rPr>
        <w:t xml:space="preserve">, O., </w:t>
      </w:r>
      <w:proofErr w:type="spellStart"/>
      <w:r w:rsidRPr="00260C36">
        <w:rPr>
          <w:rFonts w:ascii="Arial" w:hAnsi="Arial" w:cs="Arial"/>
          <w:color w:val="000000" w:themeColor="text1"/>
        </w:rPr>
        <w:t>Gogolova</w:t>
      </w:r>
      <w:proofErr w:type="spellEnd"/>
      <w:r w:rsidRPr="00260C36">
        <w:rPr>
          <w:rFonts w:ascii="Arial" w:hAnsi="Arial" w:cs="Arial"/>
          <w:color w:val="000000" w:themeColor="text1"/>
        </w:rPr>
        <w:t xml:space="preserve">, M. and </w:t>
      </w:r>
      <w:proofErr w:type="spellStart"/>
      <w:r w:rsidRPr="00260C36">
        <w:rPr>
          <w:rFonts w:ascii="Arial" w:hAnsi="Arial" w:cs="Arial"/>
          <w:color w:val="000000" w:themeColor="text1"/>
        </w:rPr>
        <w:t>Ivankova</w:t>
      </w:r>
      <w:proofErr w:type="spellEnd"/>
      <w:r w:rsidRPr="00260C36">
        <w:rPr>
          <w:rFonts w:ascii="Arial" w:hAnsi="Arial" w:cs="Arial"/>
          <w:color w:val="000000" w:themeColor="text1"/>
        </w:rPr>
        <w:t>, K., (2015). Calculations in managerial accounting. Procedia Economics and Finance, 26, pp.431-437.</w:t>
      </w:r>
    </w:p>
    <w:p w14:paraId="6EB0DDF1" w14:textId="77777777" w:rsidR="00C016F2" w:rsidRPr="00260C36" w:rsidRDefault="00D83E7F" w:rsidP="00E95997">
      <w:pPr>
        <w:pStyle w:val="ListParagraph"/>
        <w:numPr>
          <w:ilvl w:val="0"/>
          <w:numId w:val="28"/>
        </w:numPr>
        <w:spacing w:line="360" w:lineRule="auto"/>
        <w:jc w:val="both"/>
        <w:rPr>
          <w:rFonts w:ascii="Arial" w:hAnsi="Arial" w:cs="Arial"/>
          <w:color w:val="000000" w:themeColor="text1"/>
        </w:rPr>
      </w:pPr>
      <w:proofErr w:type="spellStart"/>
      <w:r w:rsidRPr="00260C36">
        <w:rPr>
          <w:rFonts w:ascii="Arial" w:hAnsi="Arial" w:cs="Arial"/>
          <w:color w:val="000000" w:themeColor="text1"/>
        </w:rPr>
        <w:t>Quattrone</w:t>
      </w:r>
      <w:proofErr w:type="spellEnd"/>
      <w:r w:rsidRPr="00260C36">
        <w:rPr>
          <w:rFonts w:ascii="Arial" w:hAnsi="Arial" w:cs="Arial"/>
          <w:color w:val="000000" w:themeColor="text1"/>
        </w:rPr>
        <w:t>, P., (2016). Management accounting goes digital: Will the move make it wiser? Management Accounting Research, 31, pp.118-122.</w:t>
      </w:r>
    </w:p>
    <w:p w14:paraId="123F664F" w14:textId="77777777" w:rsidR="00C016F2" w:rsidRPr="00260C36" w:rsidRDefault="00D83E7F" w:rsidP="00E95997">
      <w:pPr>
        <w:pStyle w:val="ListParagraph"/>
        <w:numPr>
          <w:ilvl w:val="0"/>
          <w:numId w:val="28"/>
        </w:numPr>
        <w:spacing w:line="360" w:lineRule="auto"/>
        <w:jc w:val="both"/>
        <w:rPr>
          <w:rFonts w:ascii="Arial" w:hAnsi="Arial" w:cs="Arial"/>
          <w:color w:val="000000" w:themeColor="text1"/>
          <w:shd w:val="clear" w:color="auto" w:fill="FFFFFF"/>
        </w:rPr>
      </w:pPr>
      <w:proofErr w:type="spellStart"/>
      <w:r w:rsidRPr="00260C36">
        <w:rPr>
          <w:rFonts w:ascii="Arial" w:hAnsi="Arial" w:cs="Arial"/>
          <w:color w:val="000000" w:themeColor="text1"/>
          <w:shd w:val="clear" w:color="auto" w:fill="FFFFFF"/>
        </w:rPr>
        <w:t>Weetman</w:t>
      </w:r>
      <w:proofErr w:type="spellEnd"/>
      <w:r w:rsidRPr="00260C36">
        <w:rPr>
          <w:rFonts w:ascii="Arial" w:hAnsi="Arial" w:cs="Arial"/>
          <w:color w:val="000000" w:themeColor="text1"/>
          <w:shd w:val="clear" w:color="auto" w:fill="FFFFFF"/>
        </w:rPr>
        <w:t>, P. (2019). </w:t>
      </w:r>
      <w:r w:rsidRPr="00260C36">
        <w:rPr>
          <w:rFonts w:ascii="Arial" w:hAnsi="Arial" w:cs="Arial"/>
          <w:i/>
          <w:iCs/>
          <w:color w:val="000000" w:themeColor="text1"/>
          <w:shd w:val="clear" w:color="auto" w:fill="FFFFFF"/>
        </w:rPr>
        <w:t>Financial and management accounting</w:t>
      </w:r>
      <w:r w:rsidRPr="00260C36">
        <w:rPr>
          <w:rFonts w:ascii="Arial" w:hAnsi="Arial" w:cs="Arial"/>
          <w:color w:val="000000" w:themeColor="text1"/>
          <w:shd w:val="clear" w:color="auto" w:fill="FFFFFF"/>
        </w:rPr>
        <w:t>. Pearson UK.</w:t>
      </w:r>
    </w:p>
    <w:sectPr w:rsidR="00C016F2" w:rsidRPr="00260C36" w:rsidSect="000E69DF">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ED235" w14:textId="77777777" w:rsidR="0010086F" w:rsidRDefault="0010086F">
      <w:pPr>
        <w:spacing w:after="0" w:line="240" w:lineRule="auto"/>
      </w:pPr>
      <w:r>
        <w:separator/>
      </w:r>
    </w:p>
  </w:endnote>
  <w:endnote w:type="continuationSeparator" w:id="0">
    <w:p w14:paraId="49FFB559" w14:textId="77777777" w:rsidR="0010086F" w:rsidRDefault="0010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31537"/>
      <w:docPartObj>
        <w:docPartGallery w:val="Page Numbers (Bottom of Page)"/>
        <w:docPartUnique/>
      </w:docPartObj>
    </w:sdtPr>
    <w:sdtEndPr>
      <w:rPr>
        <w:noProof/>
      </w:rPr>
    </w:sdtEndPr>
    <w:sdtContent>
      <w:p w14:paraId="08505451" w14:textId="309E1A4E" w:rsidR="000E69DF" w:rsidRDefault="000E69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F03807" w14:textId="77777777" w:rsidR="000E69DF" w:rsidRDefault="000E6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FD326" w14:textId="77777777" w:rsidR="0010086F" w:rsidRDefault="0010086F">
      <w:pPr>
        <w:spacing w:after="0" w:line="240" w:lineRule="auto"/>
      </w:pPr>
      <w:r>
        <w:separator/>
      </w:r>
    </w:p>
  </w:footnote>
  <w:footnote w:type="continuationSeparator" w:id="0">
    <w:p w14:paraId="0015A925" w14:textId="77777777" w:rsidR="0010086F" w:rsidRDefault="0010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4D54909"/>
    <w:multiLevelType w:val="hybridMultilevel"/>
    <w:tmpl w:val="25187990"/>
    <w:lvl w:ilvl="0" w:tplc="B71A0E1A">
      <w:start w:val="1"/>
      <w:numFmt w:val="bullet"/>
      <w:lvlText w:val=""/>
      <w:lvlJc w:val="left"/>
      <w:pPr>
        <w:ind w:left="720" w:hanging="360"/>
      </w:pPr>
      <w:rPr>
        <w:rFonts w:ascii="Symbol" w:hAnsi="Symbol" w:hint="default"/>
      </w:rPr>
    </w:lvl>
    <w:lvl w:ilvl="1" w:tplc="72408424" w:tentative="1">
      <w:start w:val="1"/>
      <w:numFmt w:val="bullet"/>
      <w:lvlText w:val="o"/>
      <w:lvlJc w:val="left"/>
      <w:pPr>
        <w:ind w:left="1440" w:hanging="360"/>
      </w:pPr>
      <w:rPr>
        <w:rFonts w:ascii="Courier New" w:hAnsi="Courier New" w:cs="Courier New" w:hint="default"/>
      </w:rPr>
    </w:lvl>
    <w:lvl w:ilvl="2" w:tplc="BAB08DC4" w:tentative="1">
      <w:start w:val="1"/>
      <w:numFmt w:val="bullet"/>
      <w:lvlText w:val=""/>
      <w:lvlJc w:val="left"/>
      <w:pPr>
        <w:ind w:left="2160" w:hanging="360"/>
      </w:pPr>
      <w:rPr>
        <w:rFonts w:ascii="Wingdings" w:hAnsi="Wingdings" w:hint="default"/>
      </w:rPr>
    </w:lvl>
    <w:lvl w:ilvl="3" w:tplc="384ABB82" w:tentative="1">
      <w:start w:val="1"/>
      <w:numFmt w:val="bullet"/>
      <w:lvlText w:val=""/>
      <w:lvlJc w:val="left"/>
      <w:pPr>
        <w:ind w:left="2880" w:hanging="360"/>
      </w:pPr>
      <w:rPr>
        <w:rFonts w:ascii="Symbol" w:hAnsi="Symbol" w:hint="default"/>
      </w:rPr>
    </w:lvl>
    <w:lvl w:ilvl="4" w:tplc="F6E8D4B6" w:tentative="1">
      <w:start w:val="1"/>
      <w:numFmt w:val="bullet"/>
      <w:lvlText w:val="o"/>
      <w:lvlJc w:val="left"/>
      <w:pPr>
        <w:ind w:left="3600" w:hanging="360"/>
      </w:pPr>
      <w:rPr>
        <w:rFonts w:ascii="Courier New" w:hAnsi="Courier New" w:cs="Courier New" w:hint="default"/>
      </w:rPr>
    </w:lvl>
    <w:lvl w:ilvl="5" w:tplc="C9EE42CE" w:tentative="1">
      <w:start w:val="1"/>
      <w:numFmt w:val="bullet"/>
      <w:lvlText w:val=""/>
      <w:lvlJc w:val="left"/>
      <w:pPr>
        <w:ind w:left="4320" w:hanging="360"/>
      </w:pPr>
      <w:rPr>
        <w:rFonts w:ascii="Wingdings" w:hAnsi="Wingdings" w:hint="default"/>
      </w:rPr>
    </w:lvl>
    <w:lvl w:ilvl="6" w:tplc="5B9CF32C" w:tentative="1">
      <w:start w:val="1"/>
      <w:numFmt w:val="bullet"/>
      <w:lvlText w:val=""/>
      <w:lvlJc w:val="left"/>
      <w:pPr>
        <w:ind w:left="5040" w:hanging="360"/>
      </w:pPr>
      <w:rPr>
        <w:rFonts w:ascii="Symbol" w:hAnsi="Symbol" w:hint="default"/>
      </w:rPr>
    </w:lvl>
    <w:lvl w:ilvl="7" w:tplc="5E3EFF58" w:tentative="1">
      <w:start w:val="1"/>
      <w:numFmt w:val="bullet"/>
      <w:lvlText w:val="o"/>
      <w:lvlJc w:val="left"/>
      <w:pPr>
        <w:ind w:left="5760" w:hanging="360"/>
      </w:pPr>
      <w:rPr>
        <w:rFonts w:ascii="Courier New" w:hAnsi="Courier New" w:cs="Courier New" w:hint="default"/>
      </w:rPr>
    </w:lvl>
    <w:lvl w:ilvl="8" w:tplc="61149734" w:tentative="1">
      <w:start w:val="1"/>
      <w:numFmt w:val="bullet"/>
      <w:lvlText w:val=""/>
      <w:lvlJc w:val="left"/>
      <w:pPr>
        <w:ind w:left="6480" w:hanging="360"/>
      </w:pPr>
      <w:rPr>
        <w:rFonts w:ascii="Wingdings" w:hAnsi="Wingdings" w:hint="default"/>
      </w:rPr>
    </w:lvl>
  </w:abstractNum>
  <w:abstractNum w:abstractNumId="2" w15:restartNumberingAfterBreak="0">
    <w:nsid w:val="2B5F0B29"/>
    <w:multiLevelType w:val="hybridMultilevel"/>
    <w:tmpl w:val="AC42DAD8"/>
    <w:lvl w:ilvl="0" w:tplc="B5785D0E">
      <w:start w:val="1"/>
      <w:numFmt w:val="bullet"/>
      <w:lvlText w:val=""/>
      <w:lvlJc w:val="left"/>
      <w:pPr>
        <w:ind w:left="720" w:hanging="360"/>
      </w:pPr>
      <w:rPr>
        <w:rFonts w:ascii="Symbol" w:hAnsi="Symbol" w:hint="default"/>
      </w:rPr>
    </w:lvl>
    <w:lvl w:ilvl="1" w:tplc="37D67898" w:tentative="1">
      <w:start w:val="1"/>
      <w:numFmt w:val="bullet"/>
      <w:lvlText w:val="o"/>
      <w:lvlJc w:val="left"/>
      <w:pPr>
        <w:ind w:left="1440" w:hanging="360"/>
      </w:pPr>
      <w:rPr>
        <w:rFonts w:ascii="Courier New" w:hAnsi="Courier New" w:cs="Courier New" w:hint="default"/>
      </w:rPr>
    </w:lvl>
    <w:lvl w:ilvl="2" w:tplc="BD5617DE" w:tentative="1">
      <w:start w:val="1"/>
      <w:numFmt w:val="bullet"/>
      <w:lvlText w:val=""/>
      <w:lvlJc w:val="left"/>
      <w:pPr>
        <w:ind w:left="2160" w:hanging="360"/>
      </w:pPr>
      <w:rPr>
        <w:rFonts w:ascii="Wingdings" w:hAnsi="Wingdings" w:hint="default"/>
      </w:rPr>
    </w:lvl>
    <w:lvl w:ilvl="3" w:tplc="23B06ADE" w:tentative="1">
      <w:start w:val="1"/>
      <w:numFmt w:val="bullet"/>
      <w:lvlText w:val=""/>
      <w:lvlJc w:val="left"/>
      <w:pPr>
        <w:ind w:left="2880" w:hanging="360"/>
      </w:pPr>
      <w:rPr>
        <w:rFonts w:ascii="Symbol" w:hAnsi="Symbol" w:hint="default"/>
      </w:rPr>
    </w:lvl>
    <w:lvl w:ilvl="4" w:tplc="4C58397A" w:tentative="1">
      <w:start w:val="1"/>
      <w:numFmt w:val="bullet"/>
      <w:lvlText w:val="o"/>
      <w:lvlJc w:val="left"/>
      <w:pPr>
        <w:ind w:left="3600" w:hanging="360"/>
      </w:pPr>
      <w:rPr>
        <w:rFonts w:ascii="Courier New" w:hAnsi="Courier New" w:cs="Courier New" w:hint="default"/>
      </w:rPr>
    </w:lvl>
    <w:lvl w:ilvl="5" w:tplc="4A866CCA" w:tentative="1">
      <w:start w:val="1"/>
      <w:numFmt w:val="bullet"/>
      <w:lvlText w:val=""/>
      <w:lvlJc w:val="left"/>
      <w:pPr>
        <w:ind w:left="4320" w:hanging="360"/>
      </w:pPr>
      <w:rPr>
        <w:rFonts w:ascii="Wingdings" w:hAnsi="Wingdings" w:hint="default"/>
      </w:rPr>
    </w:lvl>
    <w:lvl w:ilvl="6" w:tplc="E01EA462" w:tentative="1">
      <w:start w:val="1"/>
      <w:numFmt w:val="bullet"/>
      <w:lvlText w:val=""/>
      <w:lvlJc w:val="left"/>
      <w:pPr>
        <w:ind w:left="5040" w:hanging="360"/>
      </w:pPr>
      <w:rPr>
        <w:rFonts w:ascii="Symbol" w:hAnsi="Symbol" w:hint="default"/>
      </w:rPr>
    </w:lvl>
    <w:lvl w:ilvl="7" w:tplc="E216EE66" w:tentative="1">
      <w:start w:val="1"/>
      <w:numFmt w:val="bullet"/>
      <w:lvlText w:val="o"/>
      <w:lvlJc w:val="left"/>
      <w:pPr>
        <w:ind w:left="5760" w:hanging="360"/>
      </w:pPr>
      <w:rPr>
        <w:rFonts w:ascii="Courier New" w:hAnsi="Courier New" w:cs="Courier New" w:hint="default"/>
      </w:rPr>
    </w:lvl>
    <w:lvl w:ilvl="8" w:tplc="541E983E" w:tentative="1">
      <w:start w:val="1"/>
      <w:numFmt w:val="bullet"/>
      <w:lvlText w:val=""/>
      <w:lvlJc w:val="left"/>
      <w:pPr>
        <w:ind w:left="6480" w:hanging="360"/>
      </w:pPr>
      <w:rPr>
        <w:rFonts w:ascii="Wingdings" w:hAnsi="Wingdings" w:hint="default"/>
      </w:rPr>
    </w:lvl>
  </w:abstractNum>
  <w:abstractNum w:abstractNumId="3" w15:restartNumberingAfterBreak="0">
    <w:nsid w:val="2B9E106C"/>
    <w:multiLevelType w:val="multilevel"/>
    <w:tmpl w:val="4AEC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C775FA"/>
    <w:multiLevelType w:val="hybridMultilevel"/>
    <w:tmpl w:val="08E0E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6975DA"/>
    <w:multiLevelType w:val="hybridMultilevel"/>
    <w:tmpl w:val="F1A258FA"/>
    <w:lvl w:ilvl="0" w:tplc="25AA5C00">
      <w:start w:val="1"/>
      <w:numFmt w:val="bullet"/>
      <w:lvlText w:val=""/>
      <w:lvlJc w:val="left"/>
      <w:pPr>
        <w:ind w:left="720" w:hanging="360"/>
      </w:pPr>
      <w:rPr>
        <w:rFonts w:ascii="Symbol" w:hAnsi="Symbol" w:hint="default"/>
      </w:rPr>
    </w:lvl>
    <w:lvl w:ilvl="1" w:tplc="FA0E9250" w:tentative="1">
      <w:start w:val="1"/>
      <w:numFmt w:val="bullet"/>
      <w:lvlText w:val="o"/>
      <w:lvlJc w:val="left"/>
      <w:pPr>
        <w:ind w:left="1440" w:hanging="360"/>
      </w:pPr>
      <w:rPr>
        <w:rFonts w:ascii="Courier New" w:hAnsi="Courier New" w:cs="Courier New" w:hint="default"/>
      </w:rPr>
    </w:lvl>
    <w:lvl w:ilvl="2" w:tplc="B50C06E2" w:tentative="1">
      <w:start w:val="1"/>
      <w:numFmt w:val="bullet"/>
      <w:lvlText w:val=""/>
      <w:lvlJc w:val="left"/>
      <w:pPr>
        <w:ind w:left="2160" w:hanging="360"/>
      </w:pPr>
      <w:rPr>
        <w:rFonts w:ascii="Wingdings" w:hAnsi="Wingdings" w:hint="default"/>
      </w:rPr>
    </w:lvl>
    <w:lvl w:ilvl="3" w:tplc="5164F07A" w:tentative="1">
      <w:start w:val="1"/>
      <w:numFmt w:val="bullet"/>
      <w:lvlText w:val=""/>
      <w:lvlJc w:val="left"/>
      <w:pPr>
        <w:ind w:left="2880" w:hanging="360"/>
      </w:pPr>
      <w:rPr>
        <w:rFonts w:ascii="Symbol" w:hAnsi="Symbol" w:hint="default"/>
      </w:rPr>
    </w:lvl>
    <w:lvl w:ilvl="4" w:tplc="3132D364" w:tentative="1">
      <w:start w:val="1"/>
      <w:numFmt w:val="bullet"/>
      <w:lvlText w:val="o"/>
      <w:lvlJc w:val="left"/>
      <w:pPr>
        <w:ind w:left="3600" w:hanging="360"/>
      </w:pPr>
      <w:rPr>
        <w:rFonts w:ascii="Courier New" w:hAnsi="Courier New" w:cs="Courier New" w:hint="default"/>
      </w:rPr>
    </w:lvl>
    <w:lvl w:ilvl="5" w:tplc="3F762090" w:tentative="1">
      <w:start w:val="1"/>
      <w:numFmt w:val="bullet"/>
      <w:lvlText w:val=""/>
      <w:lvlJc w:val="left"/>
      <w:pPr>
        <w:ind w:left="4320" w:hanging="360"/>
      </w:pPr>
      <w:rPr>
        <w:rFonts w:ascii="Wingdings" w:hAnsi="Wingdings" w:hint="default"/>
      </w:rPr>
    </w:lvl>
    <w:lvl w:ilvl="6" w:tplc="7D4AE7F2" w:tentative="1">
      <w:start w:val="1"/>
      <w:numFmt w:val="bullet"/>
      <w:lvlText w:val=""/>
      <w:lvlJc w:val="left"/>
      <w:pPr>
        <w:ind w:left="5040" w:hanging="360"/>
      </w:pPr>
      <w:rPr>
        <w:rFonts w:ascii="Symbol" w:hAnsi="Symbol" w:hint="default"/>
      </w:rPr>
    </w:lvl>
    <w:lvl w:ilvl="7" w:tplc="CD48EE6A" w:tentative="1">
      <w:start w:val="1"/>
      <w:numFmt w:val="bullet"/>
      <w:lvlText w:val="o"/>
      <w:lvlJc w:val="left"/>
      <w:pPr>
        <w:ind w:left="5760" w:hanging="360"/>
      </w:pPr>
      <w:rPr>
        <w:rFonts w:ascii="Courier New" w:hAnsi="Courier New" w:cs="Courier New" w:hint="default"/>
      </w:rPr>
    </w:lvl>
    <w:lvl w:ilvl="8" w:tplc="FF54E6A0" w:tentative="1">
      <w:start w:val="1"/>
      <w:numFmt w:val="bullet"/>
      <w:lvlText w:val=""/>
      <w:lvlJc w:val="left"/>
      <w:pPr>
        <w:ind w:left="6480" w:hanging="360"/>
      </w:pPr>
      <w:rPr>
        <w:rFonts w:ascii="Wingdings" w:hAnsi="Wingdings" w:hint="default"/>
      </w:rPr>
    </w:lvl>
  </w:abstractNum>
  <w:abstractNum w:abstractNumId="6" w15:restartNumberingAfterBreak="0">
    <w:nsid w:val="66BA2AAF"/>
    <w:multiLevelType w:val="multilevel"/>
    <w:tmpl w:val="828C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823A4A"/>
    <w:multiLevelType w:val="hybridMultilevel"/>
    <w:tmpl w:val="B46C28CA"/>
    <w:lvl w:ilvl="0" w:tplc="6C64D174">
      <w:start w:val="1"/>
      <w:numFmt w:val="bullet"/>
      <w:lvlText w:val=""/>
      <w:lvlJc w:val="left"/>
      <w:pPr>
        <w:ind w:left="720" w:hanging="360"/>
      </w:pPr>
      <w:rPr>
        <w:rFonts w:ascii="Symbol" w:hAnsi="Symbol" w:hint="default"/>
      </w:rPr>
    </w:lvl>
    <w:lvl w:ilvl="1" w:tplc="FE9E9444" w:tentative="1">
      <w:start w:val="1"/>
      <w:numFmt w:val="bullet"/>
      <w:lvlText w:val="o"/>
      <w:lvlJc w:val="left"/>
      <w:pPr>
        <w:ind w:left="1440" w:hanging="360"/>
      </w:pPr>
      <w:rPr>
        <w:rFonts w:ascii="Courier New" w:hAnsi="Courier New" w:cs="Courier New" w:hint="default"/>
      </w:rPr>
    </w:lvl>
    <w:lvl w:ilvl="2" w:tplc="8C7284B2" w:tentative="1">
      <w:start w:val="1"/>
      <w:numFmt w:val="bullet"/>
      <w:lvlText w:val=""/>
      <w:lvlJc w:val="left"/>
      <w:pPr>
        <w:ind w:left="2160" w:hanging="360"/>
      </w:pPr>
      <w:rPr>
        <w:rFonts w:ascii="Wingdings" w:hAnsi="Wingdings" w:hint="default"/>
      </w:rPr>
    </w:lvl>
    <w:lvl w:ilvl="3" w:tplc="1264F228" w:tentative="1">
      <w:start w:val="1"/>
      <w:numFmt w:val="bullet"/>
      <w:lvlText w:val=""/>
      <w:lvlJc w:val="left"/>
      <w:pPr>
        <w:ind w:left="2880" w:hanging="360"/>
      </w:pPr>
      <w:rPr>
        <w:rFonts w:ascii="Symbol" w:hAnsi="Symbol" w:hint="default"/>
      </w:rPr>
    </w:lvl>
    <w:lvl w:ilvl="4" w:tplc="73A04FEA" w:tentative="1">
      <w:start w:val="1"/>
      <w:numFmt w:val="bullet"/>
      <w:lvlText w:val="o"/>
      <w:lvlJc w:val="left"/>
      <w:pPr>
        <w:ind w:left="3600" w:hanging="360"/>
      </w:pPr>
      <w:rPr>
        <w:rFonts w:ascii="Courier New" w:hAnsi="Courier New" w:cs="Courier New" w:hint="default"/>
      </w:rPr>
    </w:lvl>
    <w:lvl w:ilvl="5" w:tplc="34CCD5EC" w:tentative="1">
      <w:start w:val="1"/>
      <w:numFmt w:val="bullet"/>
      <w:lvlText w:val=""/>
      <w:lvlJc w:val="left"/>
      <w:pPr>
        <w:ind w:left="4320" w:hanging="360"/>
      </w:pPr>
      <w:rPr>
        <w:rFonts w:ascii="Wingdings" w:hAnsi="Wingdings" w:hint="default"/>
      </w:rPr>
    </w:lvl>
    <w:lvl w:ilvl="6" w:tplc="5E24F36A" w:tentative="1">
      <w:start w:val="1"/>
      <w:numFmt w:val="bullet"/>
      <w:lvlText w:val=""/>
      <w:lvlJc w:val="left"/>
      <w:pPr>
        <w:ind w:left="5040" w:hanging="360"/>
      </w:pPr>
      <w:rPr>
        <w:rFonts w:ascii="Symbol" w:hAnsi="Symbol" w:hint="default"/>
      </w:rPr>
    </w:lvl>
    <w:lvl w:ilvl="7" w:tplc="F2B47204" w:tentative="1">
      <w:start w:val="1"/>
      <w:numFmt w:val="bullet"/>
      <w:lvlText w:val="o"/>
      <w:lvlJc w:val="left"/>
      <w:pPr>
        <w:ind w:left="5760" w:hanging="360"/>
      </w:pPr>
      <w:rPr>
        <w:rFonts w:ascii="Courier New" w:hAnsi="Courier New" w:cs="Courier New" w:hint="default"/>
      </w:rPr>
    </w:lvl>
    <w:lvl w:ilvl="8" w:tplc="962A3AF6" w:tentative="1">
      <w:start w:val="1"/>
      <w:numFmt w:val="bullet"/>
      <w:lvlText w:val=""/>
      <w:lvlJc w:val="left"/>
      <w:pPr>
        <w:ind w:left="6480" w:hanging="360"/>
      </w:pPr>
      <w:rPr>
        <w:rFonts w:ascii="Wingdings" w:hAnsi="Wingdings" w:hint="default"/>
      </w:rPr>
    </w:lvl>
  </w:abstractNum>
  <w:abstractNum w:abstractNumId="8" w15:restartNumberingAfterBreak="0">
    <w:nsid w:val="765726FD"/>
    <w:multiLevelType w:val="multilevel"/>
    <w:tmpl w:val="CDF8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1371470">
    <w:abstractNumId w:val="8"/>
  </w:num>
  <w:num w:numId="2" w16cid:durableId="605427802">
    <w:abstractNumId w:val="6"/>
  </w:num>
  <w:num w:numId="3" w16cid:durableId="112529617">
    <w:abstractNumId w:val="3"/>
  </w:num>
  <w:num w:numId="4" w16cid:durableId="1599024724">
    <w:abstractNumId w:val="1"/>
  </w:num>
  <w:num w:numId="5" w16cid:durableId="1936554273">
    <w:abstractNumId w:val="5"/>
  </w:num>
  <w:num w:numId="6" w16cid:durableId="176307300">
    <w:abstractNumId w:val="2"/>
  </w:num>
  <w:num w:numId="7" w16cid:durableId="509492682">
    <w:abstractNumId w:val="7"/>
  </w:num>
  <w:num w:numId="8" w16cid:durableId="829716374">
    <w:abstractNumId w:val="0"/>
  </w:num>
  <w:num w:numId="9" w16cid:durableId="396899458">
    <w:abstractNumId w:val="0"/>
  </w:num>
  <w:num w:numId="10" w16cid:durableId="747918180">
    <w:abstractNumId w:val="0"/>
  </w:num>
  <w:num w:numId="11" w16cid:durableId="432635005">
    <w:abstractNumId w:val="0"/>
  </w:num>
  <w:num w:numId="12" w16cid:durableId="1099178463">
    <w:abstractNumId w:val="0"/>
  </w:num>
  <w:num w:numId="13" w16cid:durableId="354580404">
    <w:abstractNumId w:val="0"/>
  </w:num>
  <w:num w:numId="14" w16cid:durableId="1791825676">
    <w:abstractNumId w:val="0"/>
  </w:num>
  <w:num w:numId="15" w16cid:durableId="2106147627">
    <w:abstractNumId w:val="0"/>
  </w:num>
  <w:num w:numId="16" w16cid:durableId="804736181">
    <w:abstractNumId w:val="0"/>
  </w:num>
  <w:num w:numId="17" w16cid:durableId="525676790">
    <w:abstractNumId w:val="0"/>
  </w:num>
  <w:num w:numId="18" w16cid:durableId="1506090305">
    <w:abstractNumId w:val="0"/>
  </w:num>
  <w:num w:numId="19" w16cid:durableId="1213077375">
    <w:abstractNumId w:val="0"/>
  </w:num>
  <w:num w:numId="20" w16cid:durableId="548803579">
    <w:abstractNumId w:val="0"/>
  </w:num>
  <w:num w:numId="21" w16cid:durableId="1631472675">
    <w:abstractNumId w:val="0"/>
  </w:num>
  <w:num w:numId="22" w16cid:durableId="356319721">
    <w:abstractNumId w:val="0"/>
  </w:num>
  <w:num w:numId="23" w16cid:durableId="1924801104">
    <w:abstractNumId w:val="0"/>
  </w:num>
  <w:num w:numId="24" w16cid:durableId="759759676">
    <w:abstractNumId w:val="0"/>
  </w:num>
  <w:num w:numId="25" w16cid:durableId="1009796647">
    <w:abstractNumId w:val="0"/>
  </w:num>
  <w:num w:numId="26" w16cid:durableId="1659575345">
    <w:abstractNumId w:val="0"/>
  </w:num>
  <w:num w:numId="27" w16cid:durableId="1543588925">
    <w:abstractNumId w:val="0"/>
  </w:num>
  <w:num w:numId="28" w16cid:durableId="21211021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312"/>
    <w:rsid w:val="00021E7E"/>
    <w:rsid w:val="00033983"/>
    <w:rsid w:val="0005057B"/>
    <w:rsid w:val="000D4BB6"/>
    <w:rsid w:val="000D53D2"/>
    <w:rsid w:val="000E69DF"/>
    <w:rsid w:val="0010086F"/>
    <w:rsid w:val="001018F6"/>
    <w:rsid w:val="00107AAD"/>
    <w:rsid w:val="00127F69"/>
    <w:rsid w:val="001405E6"/>
    <w:rsid w:val="00205174"/>
    <w:rsid w:val="002216BB"/>
    <w:rsid w:val="00260C36"/>
    <w:rsid w:val="00272EDE"/>
    <w:rsid w:val="002A110E"/>
    <w:rsid w:val="002B2203"/>
    <w:rsid w:val="002E1E26"/>
    <w:rsid w:val="0035727F"/>
    <w:rsid w:val="00360847"/>
    <w:rsid w:val="004609E5"/>
    <w:rsid w:val="0051053A"/>
    <w:rsid w:val="005277E5"/>
    <w:rsid w:val="00535BBD"/>
    <w:rsid w:val="00591D06"/>
    <w:rsid w:val="005F72CF"/>
    <w:rsid w:val="006839CD"/>
    <w:rsid w:val="006A2435"/>
    <w:rsid w:val="006C47AA"/>
    <w:rsid w:val="006D5866"/>
    <w:rsid w:val="006E7438"/>
    <w:rsid w:val="007373F6"/>
    <w:rsid w:val="007722BD"/>
    <w:rsid w:val="00774483"/>
    <w:rsid w:val="00792FAD"/>
    <w:rsid w:val="007B28AE"/>
    <w:rsid w:val="007B7EBD"/>
    <w:rsid w:val="007D5BC9"/>
    <w:rsid w:val="00827CBA"/>
    <w:rsid w:val="0089423A"/>
    <w:rsid w:val="008B2206"/>
    <w:rsid w:val="008E3A03"/>
    <w:rsid w:val="00910A74"/>
    <w:rsid w:val="00911B75"/>
    <w:rsid w:val="009241E4"/>
    <w:rsid w:val="00961C09"/>
    <w:rsid w:val="009A5A81"/>
    <w:rsid w:val="009C13F7"/>
    <w:rsid w:val="00A33EBC"/>
    <w:rsid w:val="00A409E4"/>
    <w:rsid w:val="00A7109A"/>
    <w:rsid w:val="00B4324A"/>
    <w:rsid w:val="00B56246"/>
    <w:rsid w:val="00B65D4E"/>
    <w:rsid w:val="00BE44E1"/>
    <w:rsid w:val="00C016F2"/>
    <w:rsid w:val="00C1118F"/>
    <w:rsid w:val="00C23657"/>
    <w:rsid w:val="00C339BD"/>
    <w:rsid w:val="00C449F4"/>
    <w:rsid w:val="00C56EFC"/>
    <w:rsid w:val="00D26E38"/>
    <w:rsid w:val="00D36312"/>
    <w:rsid w:val="00D37037"/>
    <w:rsid w:val="00D567CB"/>
    <w:rsid w:val="00D729BD"/>
    <w:rsid w:val="00D83E7F"/>
    <w:rsid w:val="00D93570"/>
    <w:rsid w:val="00D95A60"/>
    <w:rsid w:val="00E616C8"/>
    <w:rsid w:val="00E95997"/>
    <w:rsid w:val="00EA41A9"/>
    <w:rsid w:val="00F24F84"/>
    <w:rsid w:val="00F35088"/>
    <w:rsid w:val="00F87428"/>
    <w:rsid w:val="00FE3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A2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4E1"/>
  </w:style>
  <w:style w:type="paragraph" w:styleId="Heading1">
    <w:name w:val="heading 1"/>
    <w:basedOn w:val="Normal"/>
    <w:next w:val="Normal"/>
    <w:link w:val="Heading1Char"/>
    <w:uiPriority w:val="9"/>
    <w:qFormat/>
    <w:rsid w:val="00BE44E1"/>
    <w:pPr>
      <w:keepNext/>
      <w:keepLines/>
      <w:numPr>
        <w:numId w:val="27"/>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E44E1"/>
    <w:pPr>
      <w:keepNext/>
      <w:keepLines/>
      <w:numPr>
        <w:ilvl w:val="1"/>
        <w:numId w:val="27"/>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BE44E1"/>
    <w:pPr>
      <w:keepNext/>
      <w:keepLines/>
      <w:numPr>
        <w:ilvl w:val="2"/>
        <w:numId w:val="27"/>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E44E1"/>
    <w:pPr>
      <w:keepNext/>
      <w:keepLines/>
      <w:numPr>
        <w:ilvl w:val="3"/>
        <w:numId w:val="27"/>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E44E1"/>
    <w:pPr>
      <w:keepNext/>
      <w:keepLines/>
      <w:numPr>
        <w:ilvl w:val="4"/>
        <w:numId w:val="27"/>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E44E1"/>
    <w:pPr>
      <w:keepNext/>
      <w:keepLines/>
      <w:numPr>
        <w:ilvl w:val="5"/>
        <w:numId w:val="27"/>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E44E1"/>
    <w:pPr>
      <w:keepNext/>
      <w:keepLines/>
      <w:numPr>
        <w:ilvl w:val="6"/>
        <w:numId w:val="2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E44E1"/>
    <w:pPr>
      <w:keepNext/>
      <w:keepLines/>
      <w:numPr>
        <w:ilvl w:val="7"/>
        <w:numId w:val="2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E44E1"/>
    <w:pPr>
      <w:keepNext/>
      <w:keepLines/>
      <w:numPr>
        <w:ilvl w:val="8"/>
        <w:numId w:val="2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sm-tooltip">
    <w:name w:val="wsm-tooltip"/>
    <w:basedOn w:val="DefaultParagraphFont"/>
    <w:rsid w:val="00D36312"/>
  </w:style>
  <w:style w:type="character" w:styleId="Hyperlink">
    <w:name w:val="Hyperlink"/>
    <w:basedOn w:val="DefaultParagraphFont"/>
    <w:uiPriority w:val="99"/>
    <w:unhideWhenUsed/>
    <w:rsid w:val="00D36312"/>
    <w:rPr>
      <w:color w:val="0000FF"/>
      <w:u w:val="single"/>
    </w:rPr>
  </w:style>
  <w:style w:type="character" w:customStyle="1" w:styleId="Heading3Char">
    <w:name w:val="Heading 3 Char"/>
    <w:basedOn w:val="DefaultParagraphFont"/>
    <w:link w:val="Heading3"/>
    <w:uiPriority w:val="9"/>
    <w:rsid w:val="00BE44E1"/>
    <w:rPr>
      <w:rFonts w:asciiTheme="majorHAnsi" w:eastAsiaTheme="majorEastAsia" w:hAnsiTheme="majorHAnsi" w:cstheme="majorBidi"/>
      <w:b/>
      <w:bCs/>
      <w:color w:val="000000" w:themeColor="text1"/>
    </w:rPr>
  </w:style>
  <w:style w:type="character" w:styleId="Strong">
    <w:name w:val="Strong"/>
    <w:basedOn w:val="DefaultParagraphFont"/>
    <w:uiPriority w:val="22"/>
    <w:qFormat/>
    <w:rsid w:val="00BE44E1"/>
    <w:rPr>
      <w:b/>
      <w:bCs/>
      <w:color w:val="000000" w:themeColor="text1"/>
    </w:rPr>
  </w:style>
  <w:style w:type="character" w:customStyle="1" w:styleId="Heading1Char">
    <w:name w:val="Heading 1 Char"/>
    <w:basedOn w:val="DefaultParagraphFont"/>
    <w:link w:val="Heading1"/>
    <w:uiPriority w:val="9"/>
    <w:rsid w:val="00BE44E1"/>
    <w:rPr>
      <w:rFonts w:asciiTheme="majorHAnsi" w:eastAsiaTheme="majorEastAsia" w:hAnsiTheme="majorHAnsi" w:cstheme="majorBidi"/>
      <w:b/>
      <w:bCs/>
      <w:smallCaps/>
      <w:color w:val="000000" w:themeColor="text1"/>
      <w:sz w:val="36"/>
      <w:szCs w:val="36"/>
    </w:rPr>
  </w:style>
  <w:style w:type="paragraph" w:styleId="NormalWeb">
    <w:name w:val="Normal (Web)"/>
    <w:basedOn w:val="Normal"/>
    <w:uiPriority w:val="99"/>
    <w:semiHidden/>
    <w:unhideWhenUsed/>
    <w:rsid w:val="00E616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127F69"/>
  </w:style>
  <w:style w:type="table" w:styleId="TableGrid">
    <w:name w:val="Table Grid"/>
    <w:basedOn w:val="TableNormal"/>
    <w:uiPriority w:val="39"/>
    <w:rsid w:val="00107A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05E6"/>
    <w:pPr>
      <w:ind w:left="720"/>
      <w:contextualSpacing/>
    </w:pPr>
  </w:style>
  <w:style w:type="character" w:customStyle="1" w:styleId="Heading4Char">
    <w:name w:val="Heading 4 Char"/>
    <w:basedOn w:val="DefaultParagraphFont"/>
    <w:link w:val="Heading4"/>
    <w:uiPriority w:val="9"/>
    <w:semiHidden/>
    <w:rsid w:val="00BE44E1"/>
    <w:rPr>
      <w:rFonts w:asciiTheme="majorHAnsi" w:eastAsiaTheme="majorEastAsia" w:hAnsiTheme="majorHAnsi" w:cstheme="majorBidi"/>
      <w:b/>
      <w:bCs/>
      <w:i/>
      <w:iCs/>
      <w:color w:val="000000" w:themeColor="text1"/>
    </w:rPr>
  </w:style>
  <w:style w:type="paragraph" w:styleId="TOCHeading">
    <w:name w:val="TOC Heading"/>
    <w:basedOn w:val="Heading1"/>
    <w:next w:val="Normal"/>
    <w:uiPriority w:val="39"/>
    <w:unhideWhenUsed/>
    <w:qFormat/>
    <w:rsid w:val="00BE44E1"/>
    <w:pPr>
      <w:outlineLvl w:val="9"/>
    </w:pPr>
  </w:style>
  <w:style w:type="paragraph" w:styleId="TOC2">
    <w:name w:val="toc 2"/>
    <w:basedOn w:val="Normal"/>
    <w:next w:val="Normal"/>
    <w:autoRedefine/>
    <w:uiPriority w:val="39"/>
    <w:unhideWhenUsed/>
    <w:rsid w:val="00C016F2"/>
    <w:pPr>
      <w:spacing w:after="0"/>
      <w:ind w:left="220"/>
    </w:pPr>
    <w:rPr>
      <w:rFonts w:cstheme="minorHAnsi"/>
      <w:smallCaps/>
      <w:sz w:val="20"/>
      <w:szCs w:val="20"/>
    </w:rPr>
  </w:style>
  <w:style w:type="paragraph" w:styleId="TOC1">
    <w:name w:val="toc 1"/>
    <w:basedOn w:val="Normal"/>
    <w:next w:val="Normal"/>
    <w:autoRedefine/>
    <w:uiPriority w:val="39"/>
    <w:unhideWhenUsed/>
    <w:rsid w:val="00C016F2"/>
    <w:pPr>
      <w:spacing w:before="120" w:after="120"/>
    </w:pPr>
    <w:rPr>
      <w:rFonts w:cstheme="minorHAnsi"/>
      <w:b/>
      <w:bCs/>
      <w:caps/>
      <w:sz w:val="20"/>
      <w:szCs w:val="20"/>
    </w:rPr>
  </w:style>
  <w:style w:type="paragraph" w:styleId="TOC3">
    <w:name w:val="toc 3"/>
    <w:basedOn w:val="Normal"/>
    <w:next w:val="Normal"/>
    <w:autoRedefine/>
    <w:uiPriority w:val="39"/>
    <w:unhideWhenUsed/>
    <w:rsid w:val="00C016F2"/>
    <w:pPr>
      <w:spacing w:after="0"/>
      <w:ind w:left="440"/>
    </w:pPr>
    <w:rPr>
      <w:rFonts w:cstheme="minorHAnsi"/>
      <w:i/>
      <w:iCs/>
      <w:sz w:val="20"/>
      <w:szCs w:val="20"/>
    </w:rPr>
  </w:style>
  <w:style w:type="paragraph" w:styleId="Header">
    <w:name w:val="header"/>
    <w:basedOn w:val="Normal"/>
    <w:link w:val="HeaderChar"/>
    <w:uiPriority w:val="99"/>
    <w:unhideWhenUsed/>
    <w:rsid w:val="00C016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16F2"/>
  </w:style>
  <w:style w:type="paragraph" w:styleId="Footer">
    <w:name w:val="footer"/>
    <w:basedOn w:val="Normal"/>
    <w:link w:val="FooterChar"/>
    <w:uiPriority w:val="99"/>
    <w:unhideWhenUsed/>
    <w:rsid w:val="00C016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6F2"/>
  </w:style>
  <w:style w:type="table" w:styleId="GridTable4-Accent5">
    <w:name w:val="Grid Table 4 Accent 5"/>
    <w:basedOn w:val="TableNormal"/>
    <w:uiPriority w:val="49"/>
    <w:rsid w:val="002A110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itle">
    <w:name w:val="Title"/>
    <w:basedOn w:val="Normal"/>
    <w:next w:val="Normal"/>
    <w:link w:val="TitleChar"/>
    <w:uiPriority w:val="10"/>
    <w:qFormat/>
    <w:rsid w:val="00BE44E1"/>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E44E1"/>
    <w:rPr>
      <w:rFonts w:asciiTheme="majorHAnsi" w:eastAsiaTheme="majorEastAsia" w:hAnsiTheme="majorHAnsi" w:cstheme="majorBidi"/>
      <w:color w:val="000000" w:themeColor="text1"/>
      <w:sz w:val="56"/>
      <w:szCs w:val="56"/>
    </w:rPr>
  </w:style>
  <w:style w:type="character" w:customStyle="1" w:styleId="Heading2Char">
    <w:name w:val="Heading 2 Char"/>
    <w:basedOn w:val="DefaultParagraphFont"/>
    <w:link w:val="Heading2"/>
    <w:uiPriority w:val="9"/>
    <w:rsid w:val="00BE44E1"/>
    <w:rPr>
      <w:rFonts w:asciiTheme="majorHAnsi" w:eastAsiaTheme="majorEastAsia" w:hAnsiTheme="majorHAnsi" w:cstheme="majorBidi"/>
      <w:b/>
      <w:bCs/>
      <w:smallCaps/>
      <w:color w:val="000000" w:themeColor="text1"/>
      <w:sz w:val="28"/>
      <w:szCs w:val="28"/>
    </w:rPr>
  </w:style>
  <w:style w:type="character" w:customStyle="1" w:styleId="Heading5Char">
    <w:name w:val="Heading 5 Char"/>
    <w:basedOn w:val="DefaultParagraphFont"/>
    <w:link w:val="Heading5"/>
    <w:uiPriority w:val="9"/>
    <w:semiHidden/>
    <w:rsid w:val="00BE44E1"/>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E44E1"/>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E44E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E44E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E44E1"/>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E44E1"/>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BE44E1"/>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E44E1"/>
    <w:rPr>
      <w:color w:val="5A5A5A" w:themeColor="text1" w:themeTint="A5"/>
      <w:spacing w:val="10"/>
    </w:rPr>
  </w:style>
  <w:style w:type="character" w:styleId="Emphasis">
    <w:name w:val="Emphasis"/>
    <w:basedOn w:val="DefaultParagraphFont"/>
    <w:uiPriority w:val="20"/>
    <w:qFormat/>
    <w:rsid w:val="00BE44E1"/>
    <w:rPr>
      <w:i/>
      <w:iCs/>
      <w:color w:val="auto"/>
    </w:rPr>
  </w:style>
  <w:style w:type="paragraph" w:styleId="NoSpacing">
    <w:name w:val="No Spacing"/>
    <w:uiPriority w:val="1"/>
    <w:qFormat/>
    <w:rsid w:val="00BE44E1"/>
    <w:pPr>
      <w:spacing w:after="0" w:line="240" w:lineRule="auto"/>
    </w:pPr>
  </w:style>
  <w:style w:type="paragraph" w:styleId="Quote">
    <w:name w:val="Quote"/>
    <w:basedOn w:val="Normal"/>
    <w:next w:val="Normal"/>
    <w:link w:val="QuoteChar"/>
    <w:uiPriority w:val="29"/>
    <w:qFormat/>
    <w:rsid w:val="00BE44E1"/>
    <w:pPr>
      <w:spacing w:before="160"/>
      <w:ind w:left="720" w:right="720"/>
    </w:pPr>
    <w:rPr>
      <w:i/>
      <w:iCs/>
      <w:color w:val="000000" w:themeColor="text1"/>
    </w:rPr>
  </w:style>
  <w:style w:type="character" w:customStyle="1" w:styleId="QuoteChar">
    <w:name w:val="Quote Char"/>
    <w:basedOn w:val="DefaultParagraphFont"/>
    <w:link w:val="Quote"/>
    <w:uiPriority w:val="29"/>
    <w:rsid w:val="00BE44E1"/>
    <w:rPr>
      <w:i/>
      <w:iCs/>
      <w:color w:val="000000" w:themeColor="text1"/>
    </w:rPr>
  </w:style>
  <w:style w:type="paragraph" w:styleId="IntenseQuote">
    <w:name w:val="Intense Quote"/>
    <w:basedOn w:val="Normal"/>
    <w:next w:val="Normal"/>
    <w:link w:val="IntenseQuoteChar"/>
    <w:uiPriority w:val="30"/>
    <w:qFormat/>
    <w:rsid w:val="00BE44E1"/>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E44E1"/>
    <w:rPr>
      <w:color w:val="000000" w:themeColor="text1"/>
      <w:shd w:val="clear" w:color="auto" w:fill="F2F2F2" w:themeFill="background1" w:themeFillShade="F2"/>
    </w:rPr>
  </w:style>
  <w:style w:type="character" w:styleId="SubtleEmphasis">
    <w:name w:val="Subtle Emphasis"/>
    <w:basedOn w:val="DefaultParagraphFont"/>
    <w:uiPriority w:val="19"/>
    <w:qFormat/>
    <w:rsid w:val="00BE44E1"/>
    <w:rPr>
      <w:i/>
      <w:iCs/>
      <w:color w:val="404040" w:themeColor="text1" w:themeTint="BF"/>
    </w:rPr>
  </w:style>
  <w:style w:type="character" w:styleId="IntenseEmphasis">
    <w:name w:val="Intense Emphasis"/>
    <w:basedOn w:val="DefaultParagraphFont"/>
    <w:uiPriority w:val="21"/>
    <w:qFormat/>
    <w:rsid w:val="00BE44E1"/>
    <w:rPr>
      <w:b/>
      <w:bCs/>
      <w:i/>
      <w:iCs/>
      <w:caps/>
    </w:rPr>
  </w:style>
  <w:style w:type="character" w:styleId="SubtleReference">
    <w:name w:val="Subtle Reference"/>
    <w:basedOn w:val="DefaultParagraphFont"/>
    <w:uiPriority w:val="31"/>
    <w:qFormat/>
    <w:rsid w:val="00BE44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E44E1"/>
    <w:rPr>
      <w:b/>
      <w:bCs/>
      <w:smallCaps/>
      <w:u w:val="single"/>
    </w:rPr>
  </w:style>
  <w:style w:type="character" w:styleId="BookTitle">
    <w:name w:val="Book Title"/>
    <w:basedOn w:val="DefaultParagraphFont"/>
    <w:uiPriority w:val="33"/>
    <w:qFormat/>
    <w:rsid w:val="00BE44E1"/>
    <w:rPr>
      <w:b w:val="0"/>
      <w:bCs w:val="0"/>
      <w:smallCaps/>
      <w:spacing w:val="5"/>
    </w:rPr>
  </w:style>
  <w:style w:type="paragraph" w:styleId="TOC4">
    <w:name w:val="toc 4"/>
    <w:basedOn w:val="Normal"/>
    <w:next w:val="Normal"/>
    <w:autoRedefine/>
    <w:uiPriority w:val="39"/>
    <w:unhideWhenUsed/>
    <w:rsid w:val="009241E4"/>
    <w:pPr>
      <w:spacing w:after="0"/>
      <w:ind w:left="660"/>
    </w:pPr>
    <w:rPr>
      <w:rFonts w:cstheme="minorHAnsi"/>
      <w:sz w:val="18"/>
      <w:szCs w:val="18"/>
    </w:rPr>
  </w:style>
  <w:style w:type="paragraph" w:styleId="TOC5">
    <w:name w:val="toc 5"/>
    <w:basedOn w:val="Normal"/>
    <w:next w:val="Normal"/>
    <w:autoRedefine/>
    <w:uiPriority w:val="39"/>
    <w:unhideWhenUsed/>
    <w:rsid w:val="009241E4"/>
    <w:pPr>
      <w:spacing w:after="0"/>
      <w:ind w:left="880"/>
    </w:pPr>
    <w:rPr>
      <w:rFonts w:cstheme="minorHAnsi"/>
      <w:sz w:val="18"/>
      <w:szCs w:val="18"/>
    </w:rPr>
  </w:style>
  <w:style w:type="paragraph" w:styleId="TOC6">
    <w:name w:val="toc 6"/>
    <w:basedOn w:val="Normal"/>
    <w:next w:val="Normal"/>
    <w:autoRedefine/>
    <w:uiPriority w:val="39"/>
    <w:unhideWhenUsed/>
    <w:rsid w:val="009241E4"/>
    <w:pPr>
      <w:spacing w:after="0"/>
      <w:ind w:left="1100"/>
    </w:pPr>
    <w:rPr>
      <w:rFonts w:cstheme="minorHAnsi"/>
      <w:sz w:val="18"/>
      <w:szCs w:val="18"/>
    </w:rPr>
  </w:style>
  <w:style w:type="paragraph" w:styleId="TOC7">
    <w:name w:val="toc 7"/>
    <w:basedOn w:val="Normal"/>
    <w:next w:val="Normal"/>
    <w:autoRedefine/>
    <w:uiPriority w:val="39"/>
    <w:unhideWhenUsed/>
    <w:rsid w:val="009241E4"/>
    <w:pPr>
      <w:spacing w:after="0"/>
      <w:ind w:left="1320"/>
    </w:pPr>
    <w:rPr>
      <w:rFonts w:cstheme="minorHAnsi"/>
      <w:sz w:val="18"/>
      <w:szCs w:val="18"/>
    </w:rPr>
  </w:style>
  <w:style w:type="paragraph" w:styleId="TOC8">
    <w:name w:val="toc 8"/>
    <w:basedOn w:val="Normal"/>
    <w:next w:val="Normal"/>
    <w:autoRedefine/>
    <w:uiPriority w:val="39"/>
    <w:unhideWhenUsed/>
    <w:rsid w:val="009241E4"/>
    <w:pPr>
      <w:spacing w:after="0"/>
      <w:ind w:left="1540"/>
    </w:pPr>
    <w:rPr>
      <w:rFonts w:cstheme="minorHAnsi"/>
      <w:sz w:val="18"/>
      <w:szCs w:val="18"/>
    </w:rPr>
  </w:style>
  <w:style w:type="paragraph" w:styleId="TOC9">
    <w:name w:val="toc 9"/>
    <w:basedOn w:val="Normal"/>
    <w:next w:val="Normal"/>
    <w:autoRedefine/>
    <w:uiPriority w:val="39"/>
    <w:unhideWhenUsed/>
    <w:rsid w:val="009241E4"/>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1CF26-810A-47E5-9065-472F857D8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2021</Words>
  <Characters>11522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2023-03-03T09:49:00Z</dcterms:created>
  <dcterms:modified xsi:type="dcterms:W3CDTF">2023-03-03T23:36:00Z</dcterms:modified>
</cp:coreProperties>
</file>