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17AA96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D163BC">
        <w:rPr>
          <w:b/>
          <w:bCs/>
          <w:color w:val="FF0000"/>
          <w:sz w:val="48"/>
          <w:szCs w:val="48"/>
        </w:rPr>
        <w:t>ECAD</w:t>
      </w:r>
      <w:r w:rsidR="00510D18" w:rsidRPr="00D163BC">
        <w:rPr>
          <w:b/>
          <w:bCs/>
          <w:color w:val="FF0000"/>
          <w:sz w:val="48"/>
          <w:szCs w:val="48"/>
        </w:rPr>
        <w:t>501</w:t>
      </w:r>
      <w:r w:rsidR="00D163BC" w:rsidRPr="00D163BC">
        <w:rPr>
          <w:b/>
          <w:bCs/>
          <w:color w:val="FF0000"/>
          <w:sz w:val="48"/>
          <w:szCs w:val="48"/>
        </w:rPr>
        <w:t>5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D163BC" w:rsidRDefault="000E2E7E" w:rsidP="00D163BC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D163BC" w:rsidRPr="00D163BC">
        <w:rPr>
          <w:b/>
          <w:bCs/>
          <w:color w:val="FF0000"/>
          <w:sz w:val="52"/>
          <w:szCs w:val="52"/>
        </w:rPr>
        <w:t xml:space="preserve">Deepening Practice </w:t>
      </w:r>
    </w:p>
    <w:p w14:paraId="32D7A0CD" w14:textId="5510AE7F" w:rsidR="00D163BC" w:rsidRPr="00D163BC" w:rsidRDefault="00D163BC" w:rsidP="00D163BC">
      <w:pPr>
        <w:rPr>
          <w:b/>
          <w:bCs/>
          <w:color w:val="FF0000"/>
          <w:sz w:val="52"/>
          <w:szCs w:val="52"/>
        </w:rPr>
      </w:pPr>
      <w:r w:rsidRPr="00D163BC">
        <w:rPr>
          <w:b/>
          <w:bCs/>
          <w:color w:val="FF0000"/>
          <w:sz w:val="52"/>
          <w:szCs w:val="52"/>
        </w:rPr>
        <w:t>ALN –</w:t>
      </w:r>
      <w:r w:rsidR="00BF22FD">
        <w:rPr>
          <w:b/>
          <w:bCs/>
          <w:color w:val="FF0000"/>
          <w:sz w:val="52"/>
          <w:szCs w:val="52"/>
        </w:rPr>
        <w:t xml:space="preserve"> </w:t>
      </w:r>
      <w:r w:rsidRPr="00D163BC">
        <w:rPr>
          <w:b/>
          <w:bCs/>
          <w:color w:val="FF0000"/>
          <w:sz w:val="52"/>
          <w:szCs w:val="52"/>
        </w:rPr>
        <w:t xml:space="preserve">Part 2 Video </w:t>
      </w:r>
      <w:r>
        <w:rPr>
          <w:b/>
          <w:bCs/>
          <w:color w:val="FF0000"/>
          <w:sz w:val="52"/>
          <w:szCs w:val="52"/>
        </w:rPr>
        <w:t xml:space="preserve">Reference list and link  </w:t>
      </w:r>
    </w:p>
    <w:p w14:paraId="47D65DC0" w14:textId="3F0C8B1F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BF22FD">
        <w:rPr>
          <w:b/>
          <w:bCs/>
          <w:sz w:val="52"/>
          <w:szCs w:val="52"/>
        </w:rPr>
        <w:t xml:space="preserve"> Elise ward</w:t>
      </w:r>
    </w:p>
    <w:p w14:paraId="1025240F" w14:textId="73D27672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BF22FD">
        <w:rPr>
          <w:b/>
          <w:bCs/>
          <w:sz w:val="52"/>
          <w:szCs w:val="52"/>
        </w:rPr>
        <w:t xml:space="preserve"> 2304322 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BE6D22C" w14:textId="7777777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1CD1FA79" w14:textId="04E3A618" w:rsidR="000E2E7E" w:rsidRPr="002E1E4F" w:rsidRDefault="000E2E7E" w:rsidP="00D163BC">
      <w:r w:rsidRPr="00E243A8">
        <w:lastRenderedPageBreak/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</w:t>
      </w:r>
      <w:r w:rsidR="002E1E4F">
        <w:t xml:space="preserve">. </w:t>
      </w:r>
    </w:p>
    <w:p w14:paraId="364B2594" w14:textId="77777777" w:rsidR="00993E7F" w:rsidRDefault="00993E7F" w:rsidP="00C54AC5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993E7F" w:rsidRPr="001B4AB4" w14:paraId="11950613" w14:textId="77777777" w:rsidTr="00C54AC5">
        <w:trPr>
          <w:trHeight w:val="360"/>
        </w:trPr>
        <w:tc>
          <w:tcPr>
            <w:tcW w:w="3256" w:type="dxa"/>
          </w:tcPr>
          <w:p w14:paraId="7BED7DD9" w14:textId="77777777" w:rsidR="00993E7F" w:rsidRPr="00121BB2" w:rsidRDefault="00993E7F" w:rsidP="00C54AC5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3118" w:type="dxa"/>
          </w:tcPr>
          <w:p w14:paraId="6101DAED" w14:textId="77777777" w:rsidR="00993E7F" w:rsidRPr="00121BB2" w:rsidRDefault="00993E7F" w:rsidP="00C54AC5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1F38A1EC" w14:textId="77777777" w:rsidR="00993E7F" w:rsidRPr="00121BB2" w:rsidRDefault="00993E7F" w:rsidP="00C54AC5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5AA89CD2" w14:textId="77777777" w:rsidR="00993E7F" w:rsidRPr="00121BB2" w:rsidRDefault="00993E7F" w:rsidP="00C54AC5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993E7F" w:rsidRPr="001B4AB4" w14:paraId="2566E5F4" w14:textId="77777777" w:rsidTr="00C54AC5">
        <w:trPr>
          <w:trHeight w:val="338"/>
        </w:trPr>
        <w:tc>
          <w:tcPr>
            <w:tcW w:w="3256" w:type="dxa"/>
          </w:tcPr>
          <w:p w14:paraId="1D16BBF4" w14:textId="77777777" w:rsidR="00993E7F" w:rsidRPr="00DB45E9" w:rsidRDefault="00993E7F" w:rsidP="00C54AC5">
            <w:pPr>
              <w:rPr>
                <w:sz w:val="16"/>
                <w:szCs w:val="16"/>
              </w:rPr>
            </w:pPr>
          </w:p>
          <w:p w14:paraId="0C354A33" w14:textId="77777777" w:rsidR="00993E7F" w:rsidRPr="00DB45E9" w:rsidRDefault="00993E7F" w:rsidP="00C54AC5">
            <w:pPr>
              <w:rPr>
                <w:sz w:val="16"/>
                <w:szCs w:val="16"/>
              </w:rPr>
            </w:pPr>
            <w:r w:rsidRPr="00DB45E9">
              <w:rPr>
                <w:sz w:val="16"/>
                <w:szCs w:val="16"/>
              </w:rPr>
              <w:t xml:space="preserve">Read through to make sure it makes sense to any reader- sometimes there are assumptions that everyone would know what you were discussing. </w:t>
            </w:r>
          </w:p>
          <w:p w14:paraId="736C2FBC" w14:textId="77777777" w:rsidR="00993E7F" w:rsidRPr="001B4AB4" w:rsidRDefault="00993E7F" w:rsidP="00C54AC5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18703BC1" w14:textId="77777777" w:rsidR="00993E7F" w:rsidRPr="00DB45E9" w:rsidRDefault="00993E7F" w:rsidP="00C54AC5">
            <w:pPr>
              <w:rPr>
                <w:sz w:val="16"/>
                <w:szCs w:val="16"/>
              </w:rPr>
            </w:pPr>
          </w:p>
          <w:p w14:paraId="24B129B7" w14:textId="77777777" w:rsidR="00993E7F" w:rsidRPr="001B4AB4" w:rsidRDefault="00993E7F" w:rsidP="00C54AC5">
            <w:pPr>
              <w:rPr>
                <w:lang w:val="cy-GB"/>
              </w:rPr>
            </w:pPr>
            <w:r w:rsidRPr="00DB45E9">
              <w:rPr>
                <w:sz w:val="16"/>
                <w:szCs w:val="16"/>
              </w:rPr>
              <w:t xml:space="preserve">Proofread work to ensure sentences are expanded on and explained in depth. </w:t>
            </w:r>
          </w:p>
        </w:tc>
        <w:tc>
          <w:tcPr>
            <w:tcW w:w="2908" w:type="dxa"/>
          </w:tcPr>
          <w:p w14:paraId="3B9A19B6" w14:textId="77777777" w:rsidR="00993E7F" w:rsidRDefault="00993E7F" w:rsidP="00C54AC5">
            <w:pPr>
              <w:rPr>
                <w:lang w:val="cy-GB"/>
              </w:rPr>
            </w:pPr>
          </w:p>
          <w:p w14:paraId="21D938DB" w14:textId="77777777" w:rsidR="00993E7F" w:rsidRPr="00275DAE" w:rsidRDefault="00993E7F" w:rsidP="00C54AC5">
            <w:pPr>
              <w:rPr>
                <w:sz w:val="16"/>
                <w:szCs w:val="16"/>
                <w:lang w:val="cy-GB"/>
              </w:rPr>
            </w:pPr>
            <w:r>
              <w:rPr>
                <w:sz w:val="16"/>
                <w:szCs w:val="16"/>
                <w:lang w:val="cy-GB"/>
              </w:rPr>
              <w:t xml:space="preserve">Sentences make sense. </w:t>
            </w:r>
          </w:p>
        </w:tc>
      </w:tr>
      <w:tr w:rsidR="00993E7F" w:rsidRPr="001B4AB4" w14:paraId="072C0866" w14:textId="77777777" w:rsidTr="00C54AC5">
        <w:trPr>
          <w:trHeight w:val="338"/>
        </w:trPr>
        <w:tc>
          <w:tcPr>
            <w:tcW w:w="3256" w:type="dxa"/>
          </w:tcPr>
          <w:p w14:paraId="7790848C" w14:textId="77777777" w:rsidR="00993E7F" w:rsidRPr="00DB45E9" w:rsidRDefault="00993E7F" w:rsidP="00C54AC5">
            <w:pPr>
              <w:rPr>
                <w:sz w:val="16"/>
                <w:szCs w:val="16"/>
              </w:rPr>
            </w:pPr>
          </w:p>
          <w:p w14:paraId="7E39F6ED" w14:textId="77777777" w:rsidR="00993E7F" w:rsidRPr="00DB45E9" w:rsidRDefault="00993E7F" w:rsidP="00C54AC5">
            <w:pPr>
              <w:rPr>
                <w:sz w:val="16"/>
                <w:szCs w:val="16"/>
              </w:rPr>
            </w:pPr>
            <w:r w:rsidRPr="00DB45E9">
              <w:rPr>
                <w:sz w:val="16"/>
                <w:szCs w:val="16"/>
              </w:rPr>
              <w:t xml:space="preserve">Ensure you write the full definition before using acronyms. </w:t>
            </w:r>
          </w:p>
          <w:p w14:paraId="10C2DCE9" w14:textId="77777777" w:rsidR="00993E7F" w:rsidRPr="001B4AB4" w:rsidRDefault="00993E7F" w:rsidP="00C54AC5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1EA17F09" w14:textId="77777777" w:rsidR="00993E7F" w:rsidRPr="00DB45E9" w:rsidRDefault="00993E7F" w:rsidP="00C54AC5">
            <w:pPr>
              <w:rPr>
                <w:sz w:val="16"/>
                <w:szCs w:val="16"/>
              </w:rPr>
            </w:pPr>
          </w:p>
          <w:p w14:paraId="34932C13" w14:textId="77777777" w:rsidR="00993E7F" w:rsidRPr="001B4AB4" w:rsidRDefault="00993E7F" w:rsidP="00C54AC5">
            <w:pPr>
              <w:rPr>
                <w:lang w:val="cy-GB"/>
              </w:rPr>
            </w:pPr>
            <w:r w:rsidRPr="00DB45E9">
              <w:rPr>
                <w:sz w:val="16"/>
                <w:szCs w:val="16"/>
              </w:rPr>
              <w:t>Ensured all acronyms are used after the full definition</w:t>
            </w:r>
            <w:r>
              <w:rPr>
                <w:sz w:val="16"/>
                <w:szCs w:val="16"/>
              </w:rPr>
              <w:t xml:space="preserve">. </w:t>
            </w:r>
          </w:p>
        </w:tc>
        <w:tc>
          <w:tcPr>
            <w:tcW w:w="2908" w:type="dxa"/>
          </w:tcPr>
          <w:p w14:paraId="0D0EAA66" w14:textId="77777777" w:rsidR="00993E7F" w:rsidRDefault="00993E7F" w:rsidP="00C54AC5">
            <w:pPr>
              <w:rPr>
                <w:sz w:val="16"/>
                <w:szCs w:val="16"/>
                <w:lang w:val="cy-GB"/>
              </w:rPr>
            </w:pPr>
          </w:p>
          <w:p w14:paraId="06ABC833" w14:textId="77777777" w:rsidR="00993E7F" w:rsidRPr="003C7D43" w:rsidRDefault="00993E7F" w:rsidP="00C54AC5">
            <w:pPr>
              <w:rPr>
                <w:sz w:val="16"/>
                <w:szCs w:val="16"/>
                <w:lang w:val="cy-GB"/>
              </w:rPr>
            </w:pPr>
            <w:r>
              <w:rPr>
                <w:sz w:val="16"/>
                <w:szCs w:val="16"/>
                <w:lang w:val="cy-GB"/>
              </w:rPr>
              <w:t xml:space="preserve">The United Nations Conventional Rights if a Child (UNCRC) </w:t>
            </w:r>
          </w:p>
        </w:tc>
      </w:tr>
      <w:tr w:rsidR="00993E7F" w:rsidRPr="001B4AB4" w14:paraId="58B52669" w14:textId="77777777" w:rsidTr="00C54AC5">
        <w:trPr>
          <w:trHeight w:val="338"/>
        </w:trPr>
        <w:tc>
          <w:tcPr>
            <w:tcW w:w="3256" w:type="dxa"/>
          </w:tcPr>
          <w:p w14:paraId="3F4AE98D" w14:textId="77777777" w:rsidR="00993E7F" w:rsidRPr="00DB45E9" w:rsidRDefault="00993E7F" w:rsidP="00C54AC5">
            <w:pPr>
              <w:rPr>
                <w:sz w:val="16"/>
                <w:szCs w:val="16"/>
              </w:rPr>
            </w:pPr>
          </w:p>
          <w:p w14:paraId="37EE9E6A" w14:textId="77777777" w:rsidR="00993E7F" w:rsidRPr="00DB45E9" w:rsidRDefault="00993E7F" w:rsidP="00C54AC5">
            <w:pPr>
              <w:rPr>
                <w:sz w:val="16"/>
                <w:szCs w:val="16"/>
              </w:rPr>
            </w:pPr>
            <w:r w:rsidRPr="00DB45E9">
              <w:rPr>
                <w:sz w:val="16"/>
                <w:szCs w:val="16"/>
              </w:rPr>
              <w:t xml:space="preserve">Continue to develop your critical tone and synthesise your sources. </w:t>
            </w:r>
          </w:p>
          <w:p w14:paraId="58401A54" w14:textId="77777777" w:rsidR="00993E7F" w:rsidRPr="001B4AB4" w:rsidRDefault="00993E7F" w:rsidP="00C54AC5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2E3EEFD8" w14:textId="77777777" w:rsidR="00993E7F" w:rsidRDefault="00993E7F" w:rsidP="00C54AC5">
            <w:pPr>
              <w:rPr>
                <w:lang w:val="cy-GB"/>
              </w:rPr>
            </w:pPr>
          </w:p>
          <w:p w14:paraId="3F83F774" w14:textId="77777777" w:rsidR="00993E7F" w:rsidRPr="002A6626" w:rsidRDefault="00993E7F" w:rsidP="00C54AC5">
            <w:pPr>
              <w:rPr>
                <w:sz w:val="16"/>
                <w:szCs w:val="16"/>
                <w:lang w:val="cy-GB"/>
              </w:rPr>
            </w:pPr>
            <w:r>
              <w:rPr>
                <w:sz w:val="16"/>
                <w:szCs w:val="16"/>
                <w:lang w:val="cy-GB"/>
              </w:rPr>
              <w:t xml:space="preserve">Developed a critical tone when assessing afectiveness of inclusive strategies. </w:t>
            </w:r>
          </w:p>
        </w:tc>
        <w:tc>
          <w:tcPr>
            <w:tcW w:w="2908" w:type="dxa"/>
          </w:tcPr>
          <w:p w14:paraId="44B8E9A4" w14:textId="77777777" w:rsidR="00993E7F" w:rsidRDefault="00993E7F" w:rsidP="00C54AC5">
            <w:pPr>
              <w:rPr>
                <w:lang w:val="cy-GB"/>
              </w:rPr>
            </w:pPr>
          </w:p>
          <w:p w14:paraId="04E823E1" w14:textId="76F0855B" w:rsidR="00993E7F" w:rsidRPr="003C7D43" w:rsidRDefault="00993E7F" w:rsidP="00C54AC5">
            <w:pPr>
              <w:rPr>
                <w:sz w:val="16"/>
                <w:szCs w:val="16"/>
                <w:lang w:val="cy-GB"/>
              </w:rPr>
            </w:pPr>
            <w:r>
              <w:rPr>
                <w:sz w:val="16"/>
                <w:szCs w:val="16"/>
                <w:lang w:val="cy-GB"/>
              </w:rPr>
              <w:t xml:space="preserve">Criticality of sensory tools. </w:t>
            </w:r>
          </w:p>
        </w:tc>
      </w:tr>
    </w:tbl>
    <w:p w14:paraId="388F6269" w14:textId="77777777" w:rsidR="00993E7F" w:rsidRDefault="00993E7F" w:rsidP="00C54AC5"/>
    <w:p w14:paraId="6FBF2EEF" w14:textId="77777777" w:rsidR="00993E7F" w:rsidRDefault="00993E7F" w:rsidP="00C54AC5"/>
    <w:p w14:paraId="4A20D73A" w14:textId="0022D229" w:rsidR="0017558D" w:rsidRDefault="00CA7DF8" w:rsidP="00D163BC">
      <w:pPr>
        <w:rPr>
          <w:sz w:val="52"/>
          <w:szCs w:val="52"/>
        </w:rPr>
      </w:pPr>
      <w:hyperlink r:id="rId5" w:history="1">
        <w:r w:rsidRPr="00020610">
          <w:rPr>
            <w:rStyle w:val="Hyperlink"/>
            <w:sz w:val="52"/>
            <w:szCs w:val="52"/>
          </w:rPr>
          <w:t>https://www.canva.com/design/DAGno8xiQc0/G4zMwKWJJSztNUJqz_jCkg/edit?utm_content=DAGno8xiQc0&amp;utm_campaign=designshare&amp;utm_medium=link2&amp;utm_source=sharebutton</w:t>
        </w:r>
      </w:hyperlink>
      <w:r>
        <w:rPr>
          <w:sz w:val="52"/>
          <w:szCs w:val="52"/>
        </w:rPr>
        <w:t xml:space="preserve"> </w:t>
      </w:r>
    </w:p>
    <w:p w14:paraId="7EC39BAB" w14:textId="77777777" w:rsidR="0017558D" w:rsidRDefault="0017558D" w:rsidP="00D163BC">
      <w:pPr>
        <w:rPr>
          <w:sz w:val="52"/>
          <w:szCs w:val="52"/>
        </w:rPr>
      </w:pPr>
    </w:p>
    <w:p w14:paraId="4963BAA5" w14:textId="6A95D80D" w:rsidR="0017558D" w:rsidRDefault="0017558D" w:rsidP="00D163BC">
      <w:pPr>
        <w:rPr>
          <w:b/>
          <w:bCs/>
          <w:sz w:val="52"/>
          <w:szCs w:val="52"/>
          <w:u w:val="single"/>
        </w:rPr>
      </w:pPr>
      <w:r>
        <w:rPr>
          <w:b/>
          <w:bCs/>
          <w:sz w:val="52"/>
          <w:szCs w:val="52"/>
          <w:u w:val="single"/>
        </w:rPr>
        <w:t>Reference list</w:t>
      </w:r>
    </w:p>
    <w:p w14:paraId="7F34529B" w14:textId="2B1F7B7D" w:rsidR="007C7DD7" w:rsidRDefault="007C7DD7">
      <w:pPr>
        <w:pStyle w:val="NormalWeb"/>
        <w:spacing w:before="0" w:beforeAutospacing="0" w:after="240" w:afterAutospacing="0" w:line="360" w:lineRule="atLeast"/>
        <w:divId w:val="16395582"/>
        <w:rPr>
          <w:color w:val="000000"/>
        </w:rPr>
      </w:pPr>
      <w:proofErr w:type="spellStart"/>
      <w:r>
        <w:rPr>
          <w:color w:val="000000"/>
        </w:rPr>
        <w:t>Aspiranti</w:t>
      </w:r>
      <w:proofErr w:type="spellEnd"/>
      <w:r>
        <w:rPr>
          <w:color w:val="000000"/>
        </w:rPr>
        <w:t xml:space="preserve">, K.B. and </w:t>
      </w:r>
      <w:proofErr w:type="spellStart"/>
      <w:r>
        <w:rPr>
          <w:color w:val="000000"/>
        </w:rPr>
        <w:t>Hulac</w:t>
      </w:r>
      <w:proofErr w:type="spellEnd"/>
      <w:r>
        <w:rPr>
          <w:color w:val="000000"/>
        </w:rPr>
        <w:t xml:space="preserve">, D.M. (2021). Using fidget spinners to improve on-task classroom </w:t>
      </w:r>
      <w:proofErr w:type="spellStart"/>
      <w:r>
        <w:rPr>
          <w:color w:val="000000"/>
        </w:rPr>
        <w:t>behavior</w:t>
      </w:r>
      <w:proofErr w:type="spellEnd"/>
      <w:r>
        <w:rPr>
          <w:color w:val="000000"/>
        </w:rPr>
        <w:t xml:space="preserve"> for students with ADHD.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Behavior</w:t>
      </w:r>
      <w:proofErr w:type="spellEnd"/>
      <w:r>
        <w:rPr>
          <w:i/>
          <w:iCs/>
          <w:color w:val="000000"/>
        </w:rPr>
        <w:t xml:space="preserve"> Analysis in Practice</w:t>
      </w:r>
      <w:r>
        <w:rPr>
          <w:color w:val="000000"/>
        </w:rPr>
        <w:t xml:space="preserve">, 15(2), pp.454–465.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://doi.org/10.1007/s40617-021-00588-2.</w:t>
      </w:r>
    </w:p>
    <w:p w14:paraId="0686FE63" w14:textId="2BEB2D68" w:rsidR="000071FE" w:rsidRDefault="000071FE">
      <w:pPr>
        <w:pStyle w:val="NormalWeb"/>
        <w:spacing w:before="0" w:beforeAutospacing="0" w:after="240" w:afterAutospacing="0" w:line="360" w:lineRule="atLeast"/>
        <w:divId w:val="1315181177"/>
        <w:rPr>
          <w:color w:val="000000"/>
        </w:rPr>
      </w:pPr>
      <w:proofErr w:type="spellStart"/>
      <w:r>
        <w:rPr>
          <w:color w:val="000000"/>
        </w:rPr>
        <w:t>Aubin</w:t>
      </w:r>
      <w:proofErr w:type="spellEnd"/>
      <w:r>
        <w:rPr>
          <w:color w:val="000000"/>
        </w:rPr>
        <w:t>, G.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EEF blog: Scaffolding – more than just a worksheet</w:t>
      </w:r>
      <w:r>
        <w:rPr>
          <w:color w:val="000000"/>
        </w:rPr>
        <w:t xml:space="preserve">. Education Endowment Foundation. Available at: </w:t>
      </w:r>
      <w:hyperlink r:id="rId6" w:history="1">
        <w:r w:rsidR="00454608" w:rsidRPr="00020610">
          <w:rPr>
            <w:rStyle w:val="Hyperlink"/>
          </w:rPr>
          <w:t>https://educationendowmentfoundation.org.uk/news/scaffolding-more-than-just-a-worksheet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 xml:space="preserve"> [Accessed 19 May 2025].</w:t>
      </w:r>
    </w:p>
    <w:p w14:paraId="2B358626" w14:textId="77777777" w:rsidR="00140345" w:rsidRDefault="00140345">
      <w:pPr>
        <w:pStyle w:val="NormalWeb"/>
        <w:spacing w:before="0" w:beforeAutospacing="0" w:after="240" w:afterAutospacing="0" w:line="360" w:lineRule="atLeast"/>
        <w:divId w:val="384835860"/>
        <w:rPr>
          <w:color w:val="000000"/>
        </w:rPr>
      </w:pPr>
      <w:r>
        <w:rPr>
          <w:color w:val="000000"/>
        </w:rPr>
        <w:t>Davidson, D. and Morales, D. (2023). Reducing stigma toward autistic peers: a pilot investigation of a virtual autism acceptance program for children.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Frontiers in Psychiatry</w:t>
      </w:r>
      <w:r>
        <w:rPr>
          <w:color w:val="000000"/>
        </w:rPr>
        <w:t xml:space="preserve">, 14.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://doi.org/10.3389/fpsyt.2023.1241487.</w:t>
      </w:r>
    </w:p>
    <w:p w14:paraId="68E1C0F2" w14:textId="3DCB996C" w:rsidR="00141E6F" w:rsidRDefault="00141E6F">
      <w:pPr>
        <w:pStyle w:val="NormalWeb"/>
        <w:spacing w:before="0" w:beforeAutospacing="0" w:after="240" w:afterAutospacing="0" w:line="360" w:lineRule="atLeast"/>
        <w:divId w:val="1381520008"/>
        <w:rPr>
          <w:color w:val="000000"/>
        </w:rPr>
      </w:pPr>
      <w:r>
        <w:rPr>
          <w:color w:val="000000"/>
        </w:rPr>
        <w:t>Department for Education (2014).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Equality Act 2010 and Schools Departmental Advice for School leaders, School staff, Governing Bodies and Local Authorities</w:t>
      </w:r>
      <w:r w:rsidR="00454608">
        <w:rPr>
          <w:color w:val="000000"/>
        </w:rPr>
        <w:t xml:space="preserve">, </w:t>
      </w:r>
      <w:r>
        <w:rPr>
          <w:i/>
          <w:iCs/>
          <w:color w:val="000000"/>
        </w:rPr>
        <w:t>GOV.UK</w:t>
      </w:r>
      <w:r>
        <w:rPr>
          <w:color w:val="000000"/>
        </w:rPr>
        <w:t xml:space="preserve">. GOV.UK. Available at: </w:t>
      </w:r>
      <w:hyperlink r:id="rId7" w:history="1">
        <w:r w:rsidR="00454608" w:rsidRPr="00020610">
          <w:rPr>
            <w:rStyle w:val="Hyperlink"/>
          </w:rPr>
          <w:t>https://assets.publishing.service.gov.uk/media/5a7e3237ed915d74e33f0ac9/Equality_Act_Advice_Final.pdf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18 May 2025].</w:t>
      </w:r>
    </w:p>
    <w:p w14:paraId="4B3B6911" w14:textId="0A3370C6" w:rsidR="00735ADB" w:rsidRDefault="00735ADB">
      <w:pPr>
        <w:pStyle w:val="NormalWeb"/>
        <w:spacing w:before="0" w:beforeAutospacing="0" w:after="240" w:afterAutospacing="0" w:line="360" w:lineRule="atLeast"/>
        <w:divId w:val="1034886218"/>
        <w:rPr>
          <w:color w:val="000000"/>
        </w:rPr>
      </w:pPr>
      <w:r>
        <w:rPr>
          <w:color w:val="000000"/>
        </w:rPr>
        <w:t>ESTYN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additional learning needs system: Progress of schools, settings and local authorities in supporting pupils with additional learning needs</w:t>
      </w:r>
      <w:r>
        <w:rPr>
          <w:color w:val="000000"/>
        </w:rPr>
        <w:t xml:space="preserve">. Available at: </w:t>
      </w:r>
      <w:hyperlink r:id="rId8" w:history="1">
        <w:r w:rsidR="00454608" w:rsidRPr="00020610">
          <w:rPr>
            <w:rStyle w:val="Hyperlink"/>
          </w:rPr>
          <w:t>https://estyn.gov.wales/app/uploads/2024/12/The-additional-learning-needs-system.pdf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 xml:space="preserve"> [Accessed 19 May 2025].</w:t>
      </w:r>
    </w:p>
    <w:p w14:paraId="35E1149E" w14:textId="7696F802" w:rsidR="004C1A11" w:rsidRDefault="004C1A11">
      <w:pPr>
        <w:pStyle w:val="NormalWeb"/>
        <w:spacing w:before="0" w:beforeAutospacing="0" w:after="240" w:afterAutospacing="0" w:line="360" w:lineRule="atLeast"/>
        <w:divId w:val="122314774"/>
        <w:rPr>
          <w:color w:val="000000"/>
        </w:rPr>
      </w:pPr>
      <w:r>
        <w:rPr>
          <w:color w:val="000000"/>
        </w:rPr>
        <w:t>Halls, S.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Sensory Toolkits, SEND Group</w:t>
      </w:r>
      <w:r>
        <w:rPr>
          <w:color w:val="000000"/>
        </w:rPr>
        <w:t>.</w:t>
      </w:r>
      <w:r w:rsidR="00454608">
        <w:rPr>
          <w:rStyle w:val="apple-converted-space"/>
          <w:color w:val="000000"/>
        </w:rPr>
        <w:t xml:space="preserve"> </w:t>
      </w:r>
      <w:r>
        <w:rPr>
          <w:color w:val="000000"/>
        </w:rPr>
        <w:t xml:space="preserve">Available at: </w:t>
      </w:r>
      <w:hyperlink r:id="rId9" w:history="1">
        <w:r w:rsidR="00454608" w:rsidRPr="00020610">
          <w:rPr>
            <w:rStyle w:val="Hyperlink"/>
          </w:rPr>
          <w:t>https://www.sendgroup.co.uk/sensory-toolkits/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19 May 2025].</w:t>
      </w:r>
    </w:p>
    <w:p w14:paraId="66380435" w14:textId="7714E400" w:rsidR="000B7488" w:rsidRDefault="000B7488">
      <w:pPr>
        <w:pStyle w:val="NormalWeb"/>
        <w:spacing w:before="0" w:beforeAutospacing="0" w:after="240" w:afterAutospacing="0" w:line="360" w:lineRule="atLeast"/>
        <w:divId w:val="1630240556"/>
        <w:rPr>
          <w:color w:val="000000"/>
        </w:rPr>
      </w:pPr>
      <w:proofErr w:type="spellStart"/>
      <w:r>
        <w:rPr>
          <w:color w:val="000000"/>
        </w:rPr>
        <w:t>Kriescher</w:t>
      </w:r>
      <w:proofErr w:type="spellEnd"/>
      <w:r>
        <w:rPr>
          <w:color w:val="000000"/>
        </w:rPr>
        <w:t xml:space="preserve">, S.L., </w:t>
      </w:r>
      <w:proofErr w:type="spellStart"/>
      <w:r>
        <w:rPr>
          <w:color w:val="000000"/>
        </w:rPr>
        <w:t>Hulac</w:t>
      </w:r>
      <w:proofErr w:type="spellEnd"/>
      <w:r>
        <w:rPr>
          <w:color w:val="000000"/>
        </w:rPr>
        <w:t>, D.M., Ryan, A.M. and King, B.L. (2022). Evaluating the Evidence for Fidget Toys in the Classroom.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Intervention in School and Clinic</w:t>
      </w:r>
      <w:r>
        <w:rPr>
          <w:color w:val="000000"/>
        </w:rPr>
        <w:t xml:space="preserve">, 59(1), p.105345122211300.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://doi.org/10.1177/10534512221130070.</w:t>
      </w:r>
    </w:p>
    <w:p w14:paraId="3270959C" w14:textId="15FCF9CC" w:rsidR="00BA3468" w:rsidRDefault="00BA3468">
      <w:pPr>
        <w:pStyle w:val="NormalWeb"/>
        <w:spacing w:before="0" w:beforeAutospacing="0" w:after="240" w:afterAutospacing="0" w:line="360" w:lineRule="atLeast"/>
        <w:divId w:val="2060856572"/>
        <w:rPr>
          <w:color w:val="000000"/>
        </w:rPr>
      </w:pPr>
      <w:r>
        <w:rPr>
          <w:color w:val="000000"/>
        </w:rPr>
        <w:t>National Institute of Mental Health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Autism Spectrum Disorder</w:t>
      </w:r>
      <w:r w:rsidR="00454608">
        <w:rPr>
          <w:color w:val="000000"/>
        </w:rPr>
        <w:t xml:space="preserve">, </w:t>
      </w:r>
      <w:r>
        <w:rPr>
          <w:color w:val="000000"/>
        </w:rPr>
        <w:t xml:space="preserve">National Institute of Mental Health. Available at: </w:t>
      </w:r>
      <w:hyperlink r:id="rId10" w:history="1">
        <w:r w:rsidR="00454608" w:rsidRPr="00020610">
          <w:rPr>
            <w:rStyle w:val="Hyperlink"/>
          </w:rPr>
          <w:t>https://www.nimh.nih.gov/health/topics/autism-spectrum-disorders-asd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16 May 2025].</w:t>
      </w:r>
    </w:p>
    <w:p w14:paraId="419E12ED" w14:textId="6343F873" w:rsidR="000A2618" w:rsidRDefault="000A2618">
      <w:pPr>
        <w:pStyle w:val="NormalWeb"/>
        <w:spacing w:before="0" w:beforeAutospacing="0" w:after="240" w:afterAutospacing="0" w:line="360" w:lineRule="atLeast"/>
        <w:divId w:val="575745021"/>
        <w:rPr>
          <w:color w:val="000000"/>
        </w:rPr>
      </w:pPr>
      <w:r>
        <w:rPr>
          <w:color w:val="000000"/>
        </w:rPr>
        <w:t>Nepean Area Disabilities Organisation Limited.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Benefits of Sensory Toys and Support Tool</w:t>
      </w:r>
      <w:r w:rsidR="00454608">
        <w:rPr>
          <w:i/>
          <w:iCs/>
          <w:color w:val="000000"/>
        </w:rPr>
        <w:t xml:space="preserve">s, </w:t>
      </w:r>
      <w:r>
        <w:rPr>
          <w:i/>
          <w:iCs/>
          <w:color w:val="000000"/>
        </w:rPr>
        <w:t>Sensory Store NADO</w:t>
      </w:r>
      <w:r>
        <w:rPr>
          <w:color w:val="000000"/>
        </w:rPr>
        <w:t xml:space="preserve">. Available at: </w:t>
      </w:r>
      <w:hyperlink r:id="rId11" w:history="1">
        <w:r w:rsidR="00454608" w:rsidRPr="00020610">
          <w:rPr>
            <w:rStyle w:val="Hyperlink"/>
          </w:rPr>
          <w:t>https://nado.org.au/2020/10/22/the-benefits-of-sensory-toys-and-support-tools/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19 May 2025].</w:t>
      </w:r>
    </w:p>
    <w:p w14:paraId="6AA21DC5" w14:textId="2D00DB9A" w:rsidR="00F35904" w:rsidRDefault="00F35904">
      <w:pPr>
        <w:pStyle w:val="NormalWeb"/>
        <w:spacing w:before="0" w:beforeAutospacing="0" w:after="240" w:afterAutospacing="0" w:line="360" w:lineRule="atLeast"/>
        <w:divId w:val="976572266"/>
        <w:rPr>
          <w:color w:val="000000"/>
        </w:rPr>
      </w:pPr>
      <w:r>
        <w:rPr>
          <w:color w:val="000000"/>
        </w:rPr>
        <w:t>NHS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Signs of autism in children</w:t>
      </w:r>
      <w:r>
        <w:rPr>
          <w:color w:val="000000"/>
        </w:rPr>
        <w:t xml:space="preserve">. NHS. Available at: </w:t>
      </w:r>
      <w:hyperlink r:id="rId12" w:history="1">
        <w:r w:rsidR="00454608" w:rsidRPr="00020610">
          <w:rPr>
            <w:rStyle w:val="Hyperlink"/>
          </w:rPr>
          <w:t>https://www.nhs.uk/conditions/autism/signs/children/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19 May 2025].</w:t>
      </w:r>
    </w:p>
    <w:p w14:paraId="79C48989" w14:textId="66ECF6E6" w:rsidR="00817C6F" w:rsidRDefault="00817C6F">
      <w:pPr>
        <w:pStyle w:val="NormalWeb"/>
        <w:spacing w:before="0" w:beforeAutospacing="0" w:after="240" w:afterAutospacing="0" w:line="360" w:lineRule="atLeast"/>
        <w:divId w:val="2011986454"/>
        <w:rPr>
          <w:color w:val="000000"/>
        </w:rPr>
      </w:pPr>
      <w:r>
        <w:rPr>
          <w:color w:val="000000"/>
        </w:rPr>
        <w:t>NHS.UK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Resources to improve the sensory environment for autistic people Sensory-friendly resource pack</w:t>
      </w:r>
      <w:r>
        <w:rPr>
          <w:color w:val="000000"/>
        </w:rPr>
        <w:t xml:space="preserve">. Available at: </w:t>
      </w:r>
      <w:hyperlink r:id="rId13" w:history="1">
        <w:r w:rsidR="00454608" w:rsidRPr="00020610">
          <w:rPr>
            <w:rStyle w:val="Hyperlink"/>
          </w:rPr>
          <w:t>https://www.england.nhs.uk/wp-content/uploads/2022/10/B0467_i_Sensory-friendly-resource-pack_.pdf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19 May 2025].</w:t>
      </w:r>
    </w:p>
    <w:p w14:paraId="45AA867D" w14:textId="77777777" w:rsidR="00A318A6" w:rsidRDefault="00A318A6">
      <w:pPr>
        <w:pStyle w:val="NormalWeb"/>
        <w:spacing w:before="0" w:beforeAutospacing="0" w:after="240" w:afterAutospacing="0" w:line="360" w:lineRule="atLeast"/>
        <w:divId w:val="500315187"/>
        <w:rPr>
          <w:color w:val="000000"/>
        </w:rPr>
      </w:pPr>
      <w:proofErr w:type="spellStart"/>
      <w:r>
        <w:rPr>
          <w:color w:val="000000"/>
        </w:rPr>
        <w:lastRenderedPageBreak/>
        <w:t>Rapp</w:t>
      </w:r>
      <w:proofErr w:type="spellEnd"/>
      <w:r>
        <w:rPr>
          <w:color w:val="000000"/>
        </w:rPr>
        <w:t xml:space="preserve">, A.C. and </w:t>
      </w:r>
      <w:proofErr w:type="spellStart"/>
      <w:r>
        <w:rPr>
          <w:color w:val="000000"/>
        </w:rPr>
        <w:t>Corral-Granados</w:t>
      </w:r>
      <w:proofErr w:type="spellEnd"/>
      <w:r>
        <w:rPr>
          <w:color w:val="000000"/>
        </w:rPr>
        <w:t>, A. (2021). Understanding inclusive education – a theoretical contribution from system theory and the constructionist perspective.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International Journal of Inclusive Education</w:t>
      </w:r>
      <w:r>
        <w:rPr>
          <w:color w:val="000000"/>
        </w:rPr>
        <w:t>, 28(4), pp.1–17.</w:t>
      </w:r>
    </w:p>
    <w:p w14:paraId="6B9F822F" w14:textId="0AE78F15" w:rsidR="00255209" w:rsidRDefault="00255209">
      <w:pPr>
        <w:pStyle w:val="NormalWeb"/>
        <w:spacing w:before="0" w:beforeAutospacing="0" w:after="240" w:afterAutospacing="0" w:line="360" w:lineRule="atLeast"/>
        <w:divId w:val="1904827831"/>
        <w:rPr>
          <w:color w:val="000000"/>
        </w:rPr>
      </w:pPr>
      <w:proofErr w:type="spellStart"/>
      <w:r>
        <w:rPr>
          <w:color w:val="000000"/>
        </w:rPr>
        <w:t>Socialcare.wales</w:t>
      </w:r>
      <w:proofErr w:type="spellEnd"/>
      <w:r>
        <w:rPr>
          <w:color w:val="000000"/>
        </w:rPr>
        <w:t>.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Child-Centred Approach</w:t>
      </w:r>
      <w:r>
        <w:rPr>
          <w:color w:val="000000"/>
        </w:rPr>
        <w:t>.</w:t>
      </w:r>
      <w:r w:rsidR="00454608">
        <w:rPr>
          <w:color w:val="000000"/>
        </w:rPr>
        <w:t xml:space="preserve"> </w:t>
      </w:r>
      <w:r>
        <w:rPr>
          <w:color w:val="000000"/>
        </w:rPr>
        <w:t xml:space="preserve">Available at: </w:t>
      </w:r>
      <w:hyperlink r:id="rId14" w:history="1">
        <w:r w:rsidR="00454608" w:rsidRPr="00020610">
          <w:rPr>
            <w:rStyle w:val="Hyperlink"/>
          </w:rPr>
          <w:t>https://socialcare.wales/cms-assets/documents/hub-downloads/Section-1b-A-Child-Centred-Approach.pptx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19 May 2025].</w:t>
      </w:r>
    </w:p>
    <w:p w14:paraId="3AB44F7E" w14:textId="24CCD0C4" w:rsidR="00B95EEF" w:rsidRDefault="00B95EEF">
      <w:pPr>
        <w:pStyle w:val="NormalWeb"/>
        <w:spacing w:before="0" w:beforeAutospacing="0" w:after="240" w:afterAutospacing="0" w:line="360" w:lineRule="atLeast"/>
        <w:divId w:val="933630149"/>
        <w:rPr>
          <w:color w:val="000000"/>
        </w:rPr>
      </w:pPr>
      <w:r>
        <w:rPr>
          <w:color w:val="000000"/>
        </w:rPr>
        <w:t>UNICEF (2022).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UN Convention on the Rights of the Child (UNCRC)</w:t>
      </w:r>
      <w:r w:rsidR="00454608">
        <w:rPr>
          <w:color w:val="000000"/>
        </w:rPr>
        <w:t>,</w:t>
      </w:r>
      <w:r>
        <w:rPr>
          <w:color w:val="000000"/>
        </w:rPr>
        <w:t xml:space="preserve"> UNICEF. Available at: </w:t>
      </w:r>
      <w:hyperlink r:id="rId15" w:history="1">
        <w:r w:rsidR="00454608" w:rsidRPr="00020610">
          <w:rPr>
            <w:rStyle w:val="Hyperlink"/>
          </w:rPr>
          <w:t>https://www.unicef.org.uk/what-we-do/un-convention-child-rights/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14 May 2025].</w:t>
      </w:r>
    </w:p>
    <w:p w14:paraId="6C92DAB0" w14:textId="4E062875" w:rsidR="002402BE" w:rsidRDefault="002402BE">
      <w:pPr>
        <w:pStyle w:val="NormalWeb"/>
        <w:spacing w:before="0" w:beforeAutospacing="0" w:after="240" w:afterAutospacing="0" w:line="360" w:lineRule="atLeast"/>
        <w:divId w:val="1359114494"/>
        <w:rPr>
          <w:color w:val="000000"/>
        </w:rPr>
      </w:pPr>
      <w:r>
        <w:rPr>
          <w:color w:val="000000"/>
        </w:rPr>
        <w:t>Welsh Government (2021a).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Additional Learning Needs and Education Tribunal (Wales) Act</w:t>
      </w:r>
      <w:r w:rsidR="00454608">
        <w:rPr>
          <w:color w:val="000000"/>
        </w:rPr>
        <w:t xml:space="preserve">, </w:t>
      </w:r>
      <w:r>
        <w:rPr>
          <w:color w:val="000000"/>
        </w:rPr>
        <w:t xml:space="preserve">GOV.WALES. Available at: </w:t>
      </w:r>
      <w:hyperlink r:id="rId16" w:history="1">
        <w:r w:rsidR="00454608" w:rsidRPr="00020610">
          <w:rPr>
            <w:rStyle w:val="Hyperlink"/>
          </w:rPr>
          <w:t>https://www.gov.wales/additional-learning-needs-and-education-tribunal-wales-act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19 May 2025].</w:t>
      </w:r>
    </w:p>
    <w:p w14:paraId="74564031" w14:textId="180AFB63" w:rsidR="009A405A" w:rsidRDefault="009A405A">
      <w:pPr>
        <w:pStyle w:val="NormalWeb"/>
        <w:spacing w:before="0" w:beforeAutospacing="0" w:after="240" w:afterAutospacing="0" w:line="360" w:lineRule="atLeast"/>
        <w:divId w:val="1896040303"/>
        <w:rPr>
          <w:color w:val="000000"/>
        </w:rPr>
      </w:pPr>
      <w:r>
        <w:rPr>
          <w:color w:val="000000"/>
        </w:rPr>
        <w:t>Welsh Government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Additional Learning Needs Code for Wales 202</w:t>
      </w:r>
      <w:r w:rsidR="00454608">
        <w:rPr>
          <w:i/>
          <w:iCs/>
          <w:color w:val="000000"/>
        </w:rPr>
        <w:t>1</w:t>
      </w:r>
      <w:r>
        <w:rPr>
          <w:color w:val="000000"/>
        </w:rPr>
        <w:t xml:space="preserve">. Available at: </w:t>
      </w:r>
      <w:hyperlink r:id="rId17" w:history="1">
        <w:r w:rsidR="00454608" w:rsidRPr="00020610">
          <w:rPr>
            <w:rStyle w:val="Hyperlink"/>
          </w:rPr>
          <w:t>https://www.gov.wales/sites/default/files/publications/2024-04/220622-the-additional-learning-needs-code-for-wales-2021%20%282%29.pdf</w:t>
        </w:r>
      </w:hyperlink>
      <w:r w:rsidR="00454608">
        <w:rPr>
          <w:color w:val="000000"/>
        </w:rPr>
        <w:t xml:space="preserve"> </w:t>
      </w:r>
      <w:r>
        <w:rPr>
          <w:color w:val="000000"/>
        </w:rPr>
        <w:t>[Accessed 19 May 2025].</w:t>
      </w:r>
      <w:r w:rsidR="00454608">
        <w:rPr>
          <w:color w:val="000000"/>
        </w:rPr>
        <w:t xml:space="preserve"> </w:t>
      </w:r>
    </w:p>
    <w:p w14:paraId="6E304F74" w14:textId="77777777" w:rsidR="000071FE" w:rsidRDefault="000071FE">
      <w:pPr>
        <w:pStyle w:val="NormalWeb"/>
        <w:spacing w:before="0" w:beforeAutospacing="0" w:after="240" w:afterAutospacing="0" w:line="360" w:lineRule="atLeast"/>
        <w:divId w:val="16395582"/>
        <w:rPr>
          <w:color w:val="000000"/>
        </w:rPr>
      </w:pPr>
    </w:p>
    <w:p w14:paraId="7B4FA53F" w14:textId="77777777" w:rsidR="007C7DD7" w:rsidRPr="0017558D" w:rsidRDefault="007C7DD7" w:rsidP="00D163BC">
      <w:pPr>
        <w:rPr>
          <w:b/>
          <w:bCs/>
          <w:sz w:val="52"/>
          <w:szCs w:val="52"/>
          <w:u w:val="single"/>
        </w:rPr>
      </w:pPr>
    </w:p>
    <w:sectPr w:rsidR="007C7DD7" w:rsidRPr="001755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071FE"/>
    <w:rsid w:val="000A2618"/>
    <w:rsid w:val="000B7488"/>
    <w:rsid w:val="000E2E7E"/>
    <w:rsid w:val="00121BB2"/>
    <w:rsid w:val="00140345"/>
    <w:rsid w:val="00141E6F"/>
    <w:rsid w:val="001675AC"/>
    <w:rsid w:val="0017558D"/>
    <w:rsid w:val="00191CFB"/>
    <w:rsid w:val="001E698E"/>
    <w:rsid w:val="001F1157"/>
    <w:rsid w:val="002402BE"/>
    <w:rsid w:val="00255209"/>
    <w:rsid w:val="002E1E4F"/>
    <w:rsid w:val="003277BE"/>
    <w:rsid w:val="00371AC6"/>
    <w:rsid w:val="00372668"/>
    <w:rsid w:val="003A7750"/>
    <w:rsid w:val="00403714"/>
    <w:rsid w:val="00454608"/>
    <w:rsid w:val="004C1A11"/>
    <w:rsid w:val="00504994"/>
    <w:rsid w:val="00510D18"/>
    <w:rsid w:val="00604703"/>
    <w:rsid w:val="00735ADB"/>
    <w:rsid w:val="007C092A"/>
    <w:rsid w:val="007C7DD7"/>
    <w:rsid w:val="00817C6F"/>
    <w:rsid w:val="008F0B48"/>
    <w:rsid w:val="00932638"/>
    <w:rsid w:val="00965B69"/>
    <w:rsid w:val="00993E7F"/>
    <w:rsid w:val="009A405A"/>
    <w:rsid w:val="009D31A8"/>
    <w:rsid w:val="00A318A6"/>
    <w:rsid w:val="00AB5565"/>
    <w:rsid w:val="00B95EEF"/>
    <w:rsid w:val="00BA3468"/>
    <w:rsid w:val="00BF22FD"/>
    <w:rsid w:val="00C0493E"/>
    <w:rsid w:val="00C372AC"/>
    <w:rsid w:val="00CA7DF8"/>
    <w:rsid w:val="00D163BC"/>
    <w:rsid w:val="00DF09B3"/>
    <w:rsid w:val="00E5184C"/>
    <w:rsid w:val="00F35904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7D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D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7DF8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C7DD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7C7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4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2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8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83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8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2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6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88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7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5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4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8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85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8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63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57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9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8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1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24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0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63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08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04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yn.gov.wales/app/uploads/2024/12/The-additional-learning-needs-system.pdf" TargetMode="External"/><Relationship Id="rId13" Type="http://schemas.openxmlformats.org/officeDocument/2006/relationships/hyperlink" Target="https://www.england.nhs.uk/wp-content/uploads/2022/10/B0467_i_Sensory-friendly-resource-pack_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media/5a7e3237ed915d74e33f0ac9/Equality_Act_Advice_Final.pdf" TargetMode="External"/><Relationship Id="rId12" Type="http://schemas.openxmlformats.org/officeDocument/2006/relationships/hyperlink" Target="https://www.nhs.uk/conditions/autism/signs/children/" TargetMode="External"/><Relationship Id="rId17" Type="http://schemas.openxmlformats.org/officeDocument/2006/relationships/hyperlink" Target="https://www.gov.wales/sites/default/files/publications/2024-04/220622-the-additional-learning-needs-code-for-wales-2021%20%282%29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additional-learning-needs-and-education-tribunal-wales-act" TargetMode="External"/><Relationship Id="rId1" Type="http://schemas.openxmlformats.org/officeDocument/2006/relationships/styles" Target="styles.xml"/><Relationship Id="rId6" Type="http://schemas.openxmlformats.org/officeDocument/2006/relationships/hyperlink" Target="https://educationendowmentfoundation.org.uk/news/scaffolding-more-than-just-a-worksheet" TargetMode="External"/><Relationship Id="rId11" Type="http://schemas.openxmlformats.org/officeDocument/2006/relationships/hyperlink" Target="https://nado.org.au/2020/10/22/the-benefits-of-sensory-toys-and-support-tools/" TargetMode="External"/><Relationship Id="rId5" Type="http://schemas.openxmlformats.org/officeDocument/2006/relationships/hyperlink" Target="https://www.canva.com/design/DAGno8xiQc0/G4zMwKWJJSztNUJqz_jCkg/edit?utm_content=DAGno8xiQc0&amp;utm_campaign=designshare&amp;utm_medium=link2&amp;utm_source=sharebutton" TargetMode="External"/><Relationship Id="rId15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nimh.nih.gov/health/topics/autism-spectrum-disorders-asd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www.sendgroup.co.uk/sensory-toolkits/" TargetMode="External"/><Relationship Id="rId14" Type="http://schemas.openxmlformats.org/officeDocument/2006/relationships/hyperlink" Target="https://socialcare.wales/cms-assets/documents/hub-downloads/Section-1b-A-Child-Centred-Approach.pp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Elise Ward (2304322)</cp:lastModifiedBy>
  <cp:revision>2</cp:revision>
  <dcterms:created xsi:type="dcterms:W3CDTF">2025-05-19T22:53:00Z</dcterms:created>
  <dcterms:modified xsi:type="dcterms:W3CDTF">2025-05-19T22:53:00Z</dcterms:modified>
</cp:coreProperties>
</file>