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B4C4DE" w14:textId="77777777" w:rsidR="004F56BC" w:rsidRPr="00A0292D" w:rsidRDefault="00A0292D" w:rsidP="008F61B8">
      <w:pPr>
        <w:spacing w:line="360" w:lineRule="auto"/>
        <w:rPr>
          <w:rFonts w:asciiTheme="minorBidi" w:hAnsiTheme="minorBidi" w:cstheme="minorBidi"/>
          <w:sz w:val="28"/>
          <w:szCs w:val="28"/>
        </w:rPr>
      </w:pPr>
      <w:bookmarkStart w:id="0" w:name="_Hlk227753153"/>
      <w:bookmarkStart w:id="1" w:name="OLE_LINK3"/>
      <w:bookmarkEnd w:id="0"/>
      <w:r w:rsidRPr="00A0292D">
        <w:rPr>
          <w:rFonts w:asciiTheme="minorBidi" w:hAnsiTheme="minorBidi" w:cstheme="minorBidi"/>
          <w:noProof/>
          <w:sz w:val="28"/>
          <w:szCs w:val="28"/>
        </w:rPr>
        <w:drawing>
          <wp:inline distT="0" distB="0" distL="0" distR="0" wp14:anchorId="4677C649" wp14:editId="779E4FD9">
            <wp:extent cx="2311400" cy="1181100"/>
            <wp:effectExtent l="0" t="0" r="0" b="0"/>
            <wp:docPr id="1824807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807126" name=""/>
                    <pic:cNvPicPr/>
                  </pic:nvPicPr>
                  <pic:blipFill>
                    <a:blip r:embed="rId7"/>
                    <a:stretch>
                      <a:fillRect/>
                    </a:stretch>
                  </pic:blipFill>
                  <pic:spPr>
                    <a:xfrm>
                      <a:off x="0" y="0"/>
                      <a:ext cx="2311400" cy="1181100"/>
                    </a:xfrm>
                    <a:prstGeom prst="rect">
                      <a:avLst/>
                    </a:prstGeom>
                  </pic:spPr>
                </pic:pic>
              </a:graphicData>
            </a:graphic>
          </wp:inline>
        </w:drawing>
      </w:r>
    </w:p>
    <w:p w14:paraId="34F17302" w14:textId="77777777" w:rsidR="00A0292D" w:rsidRPr="00A0292D" w:rsidRDefault="00A0292D" w:rsidP="00C51075">
      <w:pPr>
        <w:spacing w:line="360" w:lineRule="auto"/>
        <w:jc w:val="center"/>
        <w:rPr>
          <w:rFonts w:asciiTheme="minorBidi" w:hAnsiTheme="minorBidi" w:cstheme="minorBidi"/>
          <w:b/>
          <w:bCs/>
          <w:sz w:val="36"/>
          <w:szCs w:val="36"/>
        </w:rPr>
      </w:pPr>
    </w:p>
    <w:p w14:paraId="2DD5DEF5" w14:textId="77777777" w:rsidR="00A0292D" w:rsidRPr="00A0292D" w:rsidRDefault="00A0292D" w:rsidP="00C51075">
      <w:pPr>
        <w:spacing w:line="360" w:lineRule="auto"/>
        <w:jc w:val="center"/>
        <w:rPr>
          <w:rFonts w:asciiTheme="minorBidi" w:hAnsiTheme="minorBidi" w:cstheme="minorBidi"/>
          <w:b/>
          <w:bCs/>
          <w:sz w:val="36"/>
          <w:szCs w:val="36"/>
        </w:rPr>
      </w:pPr>
    </w:p>
    <w:p w14:paraId="00D71E92" w14:textId="77777777" w:rsidR="00A0292D" w:rsidRPr="00A0292D" w:rsidRDefault="00A0292D" w:rsidP="00C51075">
      <w:pPr>
        <w:spacing w:line="360" w:lineRule="auto"/>
        <w:jc w:val="center"/>
        <w:rPr>
          <w:rFonts w:asciiTheme="minorBidi" w:hAnsiTheme="minorBidi" w:cstheme="minorBidi"/>
          <w:b/>
          <w:bCs/>
          <w:sz w:val="36"/>
          <w:szCs w:val="36"/>
        </w:rPr>
      </w:pPr>
    </w:p>
    <w:p w14:paraId="57BC780B" w14:textId="77777777" w:rsidR="00C51075" w:rsidRPr="00A0292D" w:rsidRDefault="00C51075" w:rsidP="00C51075">
      <w:pPr>
        <w:spacing w:line="360" w:lineRule="auto"/>
        <w:jc w:val="center"/>
        <w:rPr>
          <w:rFonts w:asciiTheme="minorBidi" w:hAnsiTheme="minorBidi" w:cstheme="minorBidi"/>
          <w:b/>
          <w:bCs/>
          <w:sz w:val="36"/>
          <w:szCs w:val="36"/>
        </w:rPr>
      </w:pPr>
      <w:r w:rsidRPr="00A0292D">
        <w:rPr>
          <w:rFonts w:asciiTheme="minorBidi" w:hAnsiTheme="minorBidi" w:cstheme="minorBidi"/>
          <w:b/>
          <w:bCs/>
          <w:sz w:val="36"/>
          <w:szCs w:val="36"/>
        </w:rPr>
        <w:t>Module: Financial Management</w:t>
      </w:r>
    </w:p>
    <w:p w14:paraId="74560FE4" w14:textId="77777777" w:rsidR="004F56BC" w:rsidRDefault="00C51075" w:rsidP="00C51075">
      <w:pPr>
        <w:spacing w:line="360" w:lineRule="auto"/>
        <w:jc w:val="center"/>
        <w:rPr>
          <w:rFonts w:asciiTheme="minorBidi" w:hAnsiTheme="minorBidi" w:cstheme="minorBidi"/>
          <w:b/>
          <w:bCs/>
          <w:sz w:val="36"/>
          <w:szCs w:val="36"/>
        </w:rPr>
      </w:pPr>
      <w:r w:rsidRPr="00A0292D">
        <w:rPr>
          <w:rFonts w:asciiTheme="minorBidi" w:hAnsiTheme="minorBidi" w:cstheme="minorBidi"/>
          <w:b/>
          <w:bCs/>
          <w:sz w:val="36"/>
          <w:szCs w:val="36"/>
        </w:rPr>
        <w:t>Module code: LCMB7002</w:t>
      </w:r>
    </w:p>
    <w:p w14:paraId="24AC9797" w14:textId="39CC652A" w:rsidR="00A0292D" w:rsidRPr="00732A7A" w:rsidRDefault="00195478" w:rsidP="00C51075">
      <w:pPr>
        <w:spacing w:line="360" w:lineRule="auto"/>
        <w:jc w:val="center"/>
        <w:rPr>
          <w:rFonts w:asciiTheme="minorBidi" w:hAnsiTheme="minorBidi" w:cstheme="minorBidi"/>
          <w:b/>
          <w:bCs/>
          <w:sz w:val="36"/>
          <w:szCs w:val="36"/>
          <w:lang w:val="en-US"/>
        </w:rPr>
      </w:pPr>
      <w:r>
        <w:rPr>
          <w:rFonts w:asciiTheme="minorBidi" w:hAnsiTheme="minorBidi" w:cstheme="minorBidi"/>
          <w:b/>
          <w:bCs/>
          <w:sz w:val="36"/>
          <w:szCs w:val="36"/>
        </w:rPr>
        <w:t>Lecturer Name:</w:t>
      </w:r>
      <w:r w:rsidR="00732A7A">
        <w:rPr>
          <w:rFonts w:asciiTheme="minorBidi" w:hAnsiTheme="minorBidi" w:cstheme="minorBidi"/>
          <w:b/>
          <w:bCs/>
          <w:sz w:val="36"/>
          <w:szCs w:val="36"/>
          <w:lang w:val="en-US"/>
        </w:rPr>
        <w:t xml:space="preserve"> </w:t>
      </w:r>
      <w:proofErr w:type="spellStart"/>
      <w:r w:rsidR="00732A7A">
        <w:rPr>
          <w:rFonts w:asciiTheme="minorBidi" w:hAnsiTheme="minorBidi" w:cstheme="minorBidi"/>
          <w:b/>
          <w:bCs/>
          <w:sz w:val="36"/>
          <w:szCs w:val="36"/>
          <w:lang w:val="en-US"/>
        </w:rPr>
        <w:t>Dr</w:t>
      </w:r>
      <w:proofErr w:type="spellEnd"/>
      <w:r w:rsidR="00732A7A">
        <w:rPr>
          <w:rFonts w:asciiTheme="minorBidi" w:hAnsiTheme="minorBidi" w:cstheme="minorBidi"/>
          <w:b/>
          <w:bCs/>
          <w:sz w:val="36"/>
          <w:szCs w:val="36"/>
          <w:lang w:val="en-US"/>
        </w:rPr>
        <w:t xml:space="preserve"> </w:t>
      </w:r>
      <w:proofErr w:type="spellStart"/>
      <w:r w:rsidR="00732A7A">
        <w:rPr>
          <w:rFonts w:asciiTheme="minorBidi" w:hAnsiTheme="minorBidi" w:cstheme="minorBidi"/>
          <w:b/>
          <w:bCs/>
          <w:sz w:val="36"/>
          <w:szCs w:val="36"/>
          <w:lang w:val="en-US"/>
        </w:rPr>
        <w:t>Shengfeng</w:t>
      </w:r>
      <w:proofErr w:type="spellEnd"/>
      <w:r w:rsidR="00732A7A">
        <w:rPr>
          <w:rFonts w:asciiTheme="minorBidi" w:hAnsiTheme="minorBidi" w:cstheme="minorBidi"/>
          <w:b/>
          <w:bCs/>
          <w:sz w:val="36"/>
          <w:szCs w:val="36"/>
          <w:lang w:val="en-US"/>
        </w:rPr>
        <w:t xml:space="preserve"> Mei</w:t>
      </w:r>
      <w:r w:rsidR="003C6014" w:rsidRPr="003C6014">
        <w:rPr>
          <w:rFonts w:ascii="Segoe UI" w:eastAsia="Times New Roman" w:hAnsi="Segoe UI" w:cs="Segoe UI"/>
          <w:color w:val="1D2125"/>
          <w:shd w:val="clear" w:color="auto" w:fill="FFFFFF"/>
        </w:rPr>
        <w:t xml:space="preserve"> </w:t>
      </w:r>
    </w:p>
    <w:p w14:paraId="0C4035C7" w14:textId="77777777" w:rsidR="00A0292D" w:rsidRPr="00A0292D" w:rsidRDefault="00A0292D" w:rsidP="00C51075">
      <w:pPr>
        <w:spacing w:line="360" w:lineRule="auto"/>
        <w:jc w:val="center"/>
        <w:rPr>
          <w:rFonts w:asciiTheme="minorBidi" w:hAnsiTheme="minorBidi" w:cstheme="minorBidi"/>
          <w:b/>
          <w:bCs/>
          <w:sz w:val="36"/>
          <w:szCs w:val="36"/>
        </w:rPr>
      </w:pPr>
    </w:p>
    <w:p w14:paraId="165BD66E" w14:textId="77777777" w:rsidR="004F56BC" w:rsidRPr="00A0292D" w:rsidRDefault="00A0292D" w:rsidP="00A0292D">
      <w:pPr>
        <w:spacing w:line="360" w:lineRule="auto"/>
        <w:jc w:val="center"/>
        <w:rPr>
          <w:rFonts w:asciiTheme="minorBidi" w:hAnsiTheme="minorBidi" w:cstheme="minorBidi"/>
          <w:sz w:val="28"/>
          <w:szCs w:val="28"/>
        </w:rPr>
      </w:pPr>
      <w:r w:rsidRPr="00A0292D">
        <w:rPr>
          <w:rFonts w:asciiTheme="minorBidi" w:hAnsiTheme="minorBidi" w:cstheme="minorBidi"/>
          <w:b/>
          <w:bCs/>
          <w:color w:val="2E74B5"/>
          <w:sz w:val="32"/>
          <w:szCs w:val="32"/>
        </w:rPr>
        <w:t>CFO Financial Strategy Report</w:t>
      </w:r>
    </w:p>
    <w:p w14:paraId="5C3E0A35" w14:textId="77777777" w:rsidR="004F56BC" w:rsidRPr="00A0292D" w:rsidRDefault="004F56BC" w:rsidP="008F61B8">
      <w:pPr>
        <w:spacing w:line="360" w:lineRule="auto"/>
        <w:rPr>
          <w:rFonts w:asciiTheme="minorBidi" w:hAnsiTheme="minorBidi" w:cstheme="minorBidi"/>
          <w:sz w:val="28"/>
          <w:szCs w:val="28"/>
        </w:rPr>
      </w:pPr>
    </w:p>
    <w:p w14:paraId="531A81B3" w14:textId="77777777" w:rsidR="004F56BC" w:rsidRPr="00A0292D" w:rsidRDefault="000F1E9B" w:rsidP="008F61B8">
      <w:pPr>
        <w:spacing w:after="60" w:line="360" w:lineRule="auto"/>
        <w:jc w:val="center"/>
        <w:rPr>
          <w:rFonts w:asciiTheme="minorBidi" w:hAnsiTheme="minorBidi" w:cstheme="minorBidi"/>
          <w:sz w:val="28"/>
          <w:szCs w:val="28"/>
        </w:rPr>
      </w:pPr>
      <w:r w:rsidRPr="00A0292D">
        <w:rPr>
          <w:rFonts w:asciiTheme="minorBidi" w:hAnsiTheme="minorBidi" w:cstheme="minorBidi"/>
          <w:b/>
          <w:bCs/>
          <w:color w:val="1F4E79"/>
          <w:sz w:val="48"/>
          <w:szCs w:val="48"/>
        </w:rPr>
        <w:t>TOYOTA MOTOR CORPORATION</w:t>
      </w:r>
    </w:p>
    <w:p w14:paraId="3AEE7FD4" w14:textId="77777777" w:rsidR="004F56BC" w:rsidRPr="00A0292D" w:rsidRDefault="000F1E9B" w:rsidP="008F61B8">
      <w:pPr>
        <w:spacing w:after="200" w:line="360" w:lineRule="auto"/>
        <w:jc w:val="center"/>
        <w:rPr>
          <w:rFonts w:asciiTheme="minorBidi" w:hAnsiTheme="minorBidi" w:cstheme="minorBidi"/>
          <w:b/>
          <w:bCs/>
          <w:color w:val="2E74B5"/>
          <w:sz w:val="32"/>
          <w:szCs w:val="32"/>
        </w:rPr>
      </w:pPr>
      <w:r w:rsidRPr="00A0292D">
        <w:rPr>
          <w:rFonts w:asciiTheme="minorBidi" w:hAnsiTheme="minorBidi" w:cstheme="minorBidi"/>
          <w:b/>
          <w:bCs/>
          <w:color w:val="2E74B5"/>
          <w:sz w:val="32"/>
          <w:szCs w:val="32"/>
        </w:rPr>
        <w:t>Fiscal Years 2021-2025</w:t>
      </w:r>
    </w:p>
    <w:p w14:paraId="6AAAACA6" w14:textId="77777777" w:rsidR="00A0292D" w:rsidRPr="00A0292D" w:rsidRDefault="00A0292D" w:rsidP="00195478">
      <w:pPr>
        <w:spacing w:after="200" w:line="360" w:lineRule="auto"/>
        <w:rPr>
          <w:rFonts w:asciiTheme="minorBidi" w:hAnsiTheme="minorBidi" w:cstheme="minorBidi"/>
          <w:b/>
          <w:bCs/>
          <w:color w:val="2E74B5"/>
          <w:sz w:val="32"/>
          <w:szCs w:val="32"/>
        </w:rPr>
      </w:pPr>
    </w:p>
    <w:p w14:paraId="30AE44D5" w14:textId="77777777" w:rsidR="00A0292D" w:rsidRPr="00A0292D" w:rsidRDefault="00A0292D" w:rsidP="008F61B8">
      <w:pPr>
        <w:spacing w:after="200" w:line="360" w:lineRule="auto"/>
        <w:jc w:val="center"/>
        <w:rPr>
          <w:rFonts w:asciiTheme="minorBidi" w:hAnsiTheme="minorBidi" w:cstheme="minorBidi"/>
          <w:b/>
          <w:bCs/>
          <w:color w:val="2E74B5"/>
          <w:sz w:val="32"/>
          <w:szCs w:val="32"/>
        </w:rPr>
      </w:pPr>
      <w:r w:rsidRPr="00A0292D">
        <w:rPr>
          <w:rFonts w:asciiTheme="minorBidi" w:hAnsiTheme="minorBidi" w:cstheme="minorBidi"/>
          <w:b/>
          <w:bCs/>
          <w:color w:val="2E74B5"/>
          <w:sz w:val="32"/>
          <w:szCs w:val="32"/>
        </w:rPr>
        <w:t xml:space="preserve">Prepared by: </w:t>
      </w:r>
    </w:p>
    <w:p w14:paraId="289361C4" w14:textId="77777777" w:rsidR="004F56BC" w:rsidRDefault="00A0292D" w:rsidP="00A0292D">
      <w:pPr>
        <w:spacing w:after="200" w:line="360" w:lineRule="auto"/>
        <w:jc w:val="center"/>
        <w:rPr>
          <w:rFonts w:asciiTheme="minorBidi" w:hAnsiTheme="minorBidi" w:cstheme="minorBidi"/>
          <w:b/>
          <w:bCs/>
          <w:color w:val="2E74B5"/>
          <w:sz w:val="32"/>
          <w:szCs w:val="32"/>
        </w:rPr>
      </w:pPr>
      <w:r w:rsidRPr="00A0292D">
        <w:rPr>
          <w:rFonts w:asciiTheme="minorBidi" w:hAnsiTheme="minorBidi" w:cstheme="minorBidi"/>
          <w:b/>
          <w:bCs/>
          <w:color w:val="2E74B5"/>
          <w:sz w:val="32"/>
          <w:szCs w:val="32"/>
        </w:rPr>
        <w:t>Student ID:</w:t>
      </w:r>
    </w:p>
    <w:p w14:paraId="391A737F" w14:textId="77777777" w:rsidR="00195478" w:rsidRPr="00A0292D" w:rsidRDefault="00195478" w:rsidP="00A0292D">
      <w:pPr>
        <w:spacing w:after="200" w:line="360" w:lineRule="auto"/>
        <w:jc w:val="center"/>
        <w:rPr>
          <w:rFonts w:asciiTheme="minorBidi" w:hAnsiTheme="minorBidi" w:cstheme="minorBidi"/>
          <w:sz w:val="28"/>
          <w:szCs w:val="28"/>
        </w:rPr>
      </w:pPr>
      <w:r>
        <w:rPr>
          <w:rFonts w:asciiTheme="minorBidi" w:hAnsiTheme="minorBidi" w:cstheme="minorBidi"/>
          <w:b/>
          <w:bCs/>
          <w:color w:val="2E74B5"/>
          <w:sz w:val="32"/>
          <w:szCs w:val="32"/>
        </w:rPr>
        <w:t>Words Count: 5498</w:t>
      </w:r>
    </w:p>
    <w:p w14:paraId="46CD9A11" w14:textId="77777777" w:rsidR="004F56BC" w:rsidRPr="00A0292D" w:rsidRDefault="000F1E9B" w:rsidP="00566FB5">
      <w:pPr>
        <w:pStyle w:val="Heading1"/>
        <w:rPr>
          <w:rFonts w:asciiTheme="minorBidi" w:hAnsiTheme="minorBidi" w:cstheme="minorBidi"/>
        </w:rPr>
      </w:pPr>
      <w:bookmarkStart w:id="2" w:name="_Toc227788449"/>
      <w:r w:rsidRPr="00A0292D">
        <w:rPr>
          <w:rFonts w:asciiTheme="minorBidi" w:hAnsiTheme="minorBidi" w:cstheme="minorBidi"/>
        </w:rPr>
        <w:t>Executive Summary</w:t>
      </w:r>
      <w:bookmarkEnd w:id="2"/>
    </w:p>
    <w:p w14:paraId="589C4A3A" w14:textId="77777777" w:rsidR="004F56BC" w:rsidRPr="00A0292D" w:rsidRDefault="00A521E7" w:rsidP="00A521E7">
      <w:pPr>
        <w:spacing w:before="60" w:after="100" w:line="360" w:lineRule="auto"/>
        <w:jc w:val="both"/>
        <w:rPr>
          <w:rFonts w:asciiTheme="minorBidi" w:hAnsiTheme="minorBidi" w:cstheme="minorBidi"/>
          <w:sz w:val="24"/>
          <w:szCs w:val="24"/>
        </w:rPr>
      </w:pPr>
      <w:r w:rsidRPr="00A0292D">
        <w:rPr>
          <w:rFonts w:asciiTheme="minorBidi" w:hAnsiTheme="minorBidi" w:cstheme="minorBidi"/>
          <w:sz w:val="24"/>
          <w:szCs w:val="24"/>
        </w:rPr>
        <w:t>Toyota Motor Corporation joined the new stage of EV transition with the advantage of scale, brand image, and global manufacturing capabilities. Revenue increased to JPY 48.04 trillion and net profit increased to JPY 2.25 trillion over 2021 to 2025 compared to the JPY 27.21 trillion and JPY 2.25 trillion respectively. Total equity also increased to JPY 35.92 trillion as compared to JPY 23.40 trillion. These trends indicate that Toyota continues to yield good returns in accounting and has a huge capital base. Nevertheless, financial pressure is evident during the same period. The annual free cash flow remained negative, capital expenditure increased at a very high rate, working capital consumed more cash and the amount of debt increased with the magnitude of investment. The health check on the financial stands thus shows a balanced picture. The profitability increased throughout the entire period, but not in a linear manner. Liquidity was satisfactory, but not particularly good as a capital intensive transition. The efficiency was maintained at a good level, but the receivables were high. As growth increased, gearing increased and the quality of cash flow deteriorated as higher profits failed to turn into positive free cash flow. Ratio analysis helps us to believe that Toyota is a financially strong company, however, it also reveals a company that funds a strategic shift with an increasing balance sheet pressure.</w:t>
      </w:r>
    </w:p>
    <w:p w14:paraId="7ED87AEB" w14:textId="77777777" w:rsidR="008F61B8" w:rsidRPr="00A0292D" w:rsidRDefault="00A521E7" w:rsidP="00A521E7">
      <w:pPr>
        <w:spacing w:before="60" w:after="100" w:line="360" w:lineRule="auto"/>
        <w:jc w:val="both"/>
        <w:rPr>
          <w:rFonts w:asciiTheme="minorBidi" w:hAnsiTheme="minorBidi" w:cstheme="minorBidi"/>
          <w:sz w:val="24"/>
          <w:szCs w:val="24"/>
        </w:rPr>
      </w:pPr>
      <w:r w:rsidRPr="00A0292D">
        <w:rPr>
          <w:rFonts w:asciiTheme="minorBidi" w:hAnsiTheme="minorBidi" w:cstheme="minorBidi"/>
          <w:sz w:val="24"/>
          <w:szCs w:val="24"/>
        </w:rPr>
        <w:t>The report contends that Toyota does not need to pursue radical balance sheet reset. Rather, it ought to pursue a disciplined restructuring strategy that is anchored on selective divestiture, EV investment through partnership, greater control of working capital, and focused refinancing. This route safeguards shareholder value without loss of flexibility in operations. In the case of capital budgeting, Project C provides the best strategic fit since it provides the highest NPV, PI, IRR and the shortest payback period compared to the other two alternatives though the NPV of Project C is slightly negative at a discount rate of 10. With capital rationing, Projects B and C are the ones that offer the best combined NPV and the most robust near-term and long-term balance</w:t>
      </w:r>
      <w:r w:rsidR="008F61B8" w:rsidRPr="008F61B8">
        <w:rPr>
          <w:rFonts w:asciiTheme="minorBidi" w:hAnsiTheme="minorBidi" w:cstheme="minorBidi"/>
          <w:sz w:val="24"/>
          <w:szCs w:val="24"/>
        </w:rPr>
        <w:t>.</w:t>
      </w:r>
    </w:p>
    <w:p w14:paraId="51F08022" w14:textId="77777777" w:rsidR="00A521E7" w:rsidRPr="00A0292D" w:rsidRDefault="00A521E7">
      <w:pPr>
        <w:rPr>
          <w:rFonts w:asciiTheme="minorBidi" w:hAnsiTheme="minorBidi" w:cstheme="minorBidi"/>
          <w:b/>
          <w:bCs/>
          <w:sz w:val="24"/>
          <w:szCs w:val="24"/>
        </w:rPr>
      </w:pPr>
      <w:r w:rsidRPr="00A0292D">
        <w:rPr>
          <w:rFonts w:asciiTheme="minorBidi" w:hAnsiTheme="minorBidi" w:cstheme="minorBidi"/>
          <w:b/>
          <w:bCs/>
          <w:sz w:val="24"/>
          <w:szCs w:val="24"/>
        </w:rPr>
        <w:br w:type="page"/>
      </w:r>
    </w:p>
    <w:p w14:paraId="12706E73" w14:textId="77777777" w:rsidR="008F61B8" w:rsidRPr="00A0292D" w:rsidRDefault="008F61B8" w:rsidP="008F61B8">
      <w:pPr>
        <w:spacing w:line="360" w:lineRule="auto"/>
        <w:jc w:val="center"/>
        <w:rPr>
          <w:rFonts w:asciiTheme="minorBidi" w:hAnsiTheme="minorBidi" w:cstheme="minorBidi"/>
          <w:b/>
          <w:bCs/>
          <w:sz w:val="24"/>
          <w:szCs w:val="24"/>
        </w:rPr>
      </w:pPr>
      <w:r w:rsidRPr="00A0292D">
        <w:rPr>
          <w:rFonts w:asciiTheme="minorBidi" w:hAnsiTheme="minorBidi" w:cstheme="minorBidi"/>
          <w:b/>
          <w:bCs/>
          <w:sz w:val="24"/>
          <w:szCs w:val="24"/>
        </w:rPr>
        <w:t>TABLE OF CONTENTS</w:t>
      </w:r>
    </w:p>
    <w:p w14:paraId="7E49D9EF" w14:textId="77777777" w:rsidR="008F61B8" w:rsidRPr="00A0292D" w:rsidRDefault="008F61B8" w:rsidP="008F61B8">
      <w:pPr>
        <w:spacing w:line="360" w:lineRule="auto"/>
        <w:rPr>
          <w:rFonts w:asciiTheme="minorBidi" w:hAnsiTheme="minorBidi" w:cstheme="minorBidi"/>
          <w:sz w:val="24"/>
          <w:szCs w:val="24"/>
        </w:rPr>
      </w:pPr>
    </w:p>
    <w:sdt>
      <w:sdtPr>
        <w:rPr>
          <w:rFonts w:ascii="Arial" w:eastAsia="Times New Roman" w:hAnsi="Arial" w:cs="Arial"/>
          <w:b w:val="0"/>
          <w:bCs w:val="0"/>
          <w:noProof w:val="0"/>
          <w:kern w:val="3"/>
          <w:sz w:val="36"/>
          <w:szCs w:val="32"/>
          <w:lang w:eastAsia="en-GB"/>
        </w:rPr>
        <w:id w:val="-646970633"/>
        <w:docPartObj>
          <w:docPartGallery w:val="Table of Contents"/>
          <w:docPartUnique/>
        </w:docPartObj>
      </w:sdtPr>
      <w:sdtEndPr>
        <w:rPr>
          <w:rFonts w:eastAsia="Arial"/>
          <w:kern w:val="0"/>
          <w:sz w:val="24"/>
          <w:szCs w:val="24"/>
          <w:lang w:eastAsia="zh-TW"/>
        </w:rPr>
      </w:sdtEndPr>
      <w:sdtContent>
        <w:p w14:paraId="723AB3D0" w14:textId="77777777" w:rsidR="00195478" w:rsidRDefault="008F61B8">
          <w:pPr>
            <w:pStyle w:val="TOC1"/>
            <w:rPr>
              <w:rFonts w:asciiTheme="minorHAnsi" w:eastAsiaTheme="minorEastAsia" w:hAnsiTheme="minorHAnsi"/>
              <w:b w:val="0"/>
              <w:bCs w:val="0"/>
              <w:kern w:val="2"/>
              <w:szCs w:val="24"/>
              <w:lang w:eastAsia="zh-TW"/>
              <w14:ligatures w14:val="standardContextual"/>
            </w:rPr>
          </w:pPr>
          <w:r w:rsidRPr="00A0292D">
            <w:rPr>
              <w:rFonts w:eastAsiaTheme="minorEastAsia"/>
              <w:noProof w:val="0"/>
              <w:sz w:val="21"/>
              <w:szCs w:val="20"/>
              <w:lang w:val="en-US"/>
            </w:rPr>
            <w:fldChar w:fldCharType="begin"/>
          </w:r>
          <w:r w:rsidRPr="00A0292D">
            <w:rPr>
              <w:sz w:val="21"/>
              <w:szCs w:val="20"/>
            </w:rPr>
            <w:instrText xml:space="preserve"> TOC \o "1-3" \h \z \u </w:instrText>
          </w:r>
          <w:r w:rsidRPr="00A0292D">
            <w:rPr>
              <w:rFonts w:eastAsiaTheme="minorEastAsia"/>
              <w:noProof w:val="0"/>
              <w:sz w:val="21"/>
              <w:szCs w:val="20"/>
              <w:lang w:val="en-US"/>
            </w:rPr>
            <w:fldChar w:fldCharType="separate"/>
          </w:r>
          <w:hyperlink w:anchor="_Toc227788449" w:history="1">
            <w:r w:rsidR="00195478" w:rsidRPr="0051667C">
              <w:rPr>
                <w:rStyle w:val="Hyperlink"/>
              </w:rPr>
              <w:t>Executive Summary</w:t>
            </w:r>
            <w:r w:rsidR="00195478">
              <w:rPr>
                <w:webHidden/>
              </w:rPr>
              <w:tab/>
            </w:r>
            <w:r w:rsidR="00195478">
              <w:rPr>
                <w:webHidden/>
              </w:rPr>
              <w:fldChar w:fldCharType="begin"/>
            </w:r>
            <w:r w:rsidR="00195478">
              <w:rPr>
                <w:webHidden/>
              </w:rPr>
              <w:instrText xml:space="preserve"> PAGEREF _Toc227788449 \h </w:instrText>
            </w:r>
            <w:r w:rsidR="00195478">
              <w:rPr>
                <w:webHidden/>
              </w:rPr>
            </w:r>
            <w:r w:rsidR="00195478">
              <w:rPr>
                <w:webHidden/>
              </w:rPr>
              <w:fldChar w:fldCharType="separate"/>
            </w:r>
            <w:r w:rsidR="00195478">
              <w:rPr>
                <w:webHidden/>
              </w:rPr>
              <w:t>2</w:t>
            </w:r>
            <w:r w:rsidR="00195478">
              <w:rPr>
                <w:webHidden/>
              </w:rPr>
              <w:fldChar w:fldCharType="end"/>
            </w:r>
          </w:hyperlink>
        </w:p>
        <w:p w14:paraId="5111147E" w14:textId="77777777" w:rsidR="00195478" w:rsidRDefault="00195478">
          <w:pPr>
            <w:pStyle w:val="TOC1"/>
            <w:rPr>
              <w:rFonts w:asciiTheme="minorHAnsi" w:eastAsiaTheme="minorEastAsia" w:hAnsiTheme="minorHAnsi"/>
              <w:b w:val="0"/>
              <w:bCs w:val="0"/>
              <w:kern w:val="2"/>
              <w:szCs w:val="24"/>
              <w:lang w:eastAsia="zh-TW"/>
              <w14:ligatures w14:val="standardContextual"/>
            </w:rPr>
          </w:pPr>
          <w:hyperlink w:anchor="_Toc227788450" w:history="1">
            <w:r w:rsidRPr="0051667C">
              <w:rPr>
                <w:rStyle w:val="Hyperlink"/>
              </w:rPr>
              <w:t>1. Introduction</w:t>
            </w:r>
            <w:r>
              <w:rPr>
                <w:webHidden/>
              </w:rPr>
              <w:tab/>
            </w:r>
            <w:r>
              <w:rPr>
                <w:webHidden/>
              </w:rPr>
              <w:fldChar w:fldCharType="begin"/>
            </w:r>
            <w:r>
              <w:rPr>
                <w:webHidden/>
              </w:rPr>
              <w:instrText xml:space="preserve"> PAGEREF _Toc227788450 \h </w:instrText>
            </w:r>
            <w:r>
              <w:rPr>
                <w:webHidden/>
              </w:rPr>
            </w:r>
            <w:r>
              <w:rPr>
                <w:webHidden/>
              </w:rPr>
              <w:fldChar w:fldCharType="separate"/>
            </w:r>
            <w:r>
              <w:rPr>
                <w:webHidden/>
              </w:rPr>
              <w:t>5</w:t>
            </w:r>
            <w:r>
              <w:rPr>
                <w:webHidden/>
              </w:rPr>
              <w:fldChar w:fldCharType="end"/>
            </w:r>
          </w:hyperlink>
        </w:p>
        <w:p w14:paraId="174C0F33" w14:textId="77777777" w:rsidR="00195478" w:rsidRDefault="00195478">
          <w:pPr>
            <w:pStyle w:val="TOC1"/>
            <w:rPr>
              <w:rFonts w:asciiTheme="minorHAnsi" w:eastAsiaTheme="minorEastAsia" w:hAnsiTheme="minorHAnsi"/>
              <w:b w:val="0"/>
              <w:bCs w:val="0"/>
              <w:kern w:val="2"/>
              <w:szCs w:val="24"/>
              <w:lang w:eastAsia="zh-TW"/>
              <w14:ligatures w14:val="standardContextual"/>
            </w:rPr>
          </w:pPr>
          <w:hyperlink w:anchor="_Toc227788451" w:history="1">
            <w:r w:rsidRPr="0051667C">
              <w:rPr>
                <w:rStyle w:val="Hyperlink"/>
              </w:rPr>
              <w:t>2. Financial Health Check</w:t>
            </w:r>
            <w:r>
              <w:rPr>
                <w:webHidden/>
              </w:rPr>
              <w:tab/>
            </w:r>
            <w:r>
              <w:rPr>
                <w:webHidden/>
              </w:rPr>
              <w:fldChar w:fldCharType="begin"/>
            </w:r>
            <w:r>
              <w:rPr>
                <w:webHidden/>
              </w:rPr>
              <w:instrText xml:space="preserve"> PAGEREF _Toc227788451 \h </w:instrText>
            </w:r>
            <w:r>
              <w:rPr>
                <w:webHidden/>
              </w:rPr>
            </w:r>
            <w:r>
              <w:rPr>
                <w:webHidden/>
              </w:rPr>
              <w:fldChar w:fldCharType="separate"/>
            </w:r>
            <w:r>
              <w:rPr>
                <w:webHidden/>
              </w:rPr>
              <w:t>5</w:t>
            </w:r>
            <w:r>
              <w:rPr>
                <w:webHidden/>
              </w:rPr>
              <w:fldChar w:fldCharType="end"/>
            </w:r>
          </w:hyperlink>
        </w:p>
        <w:p w14:paraId="5BEFE0CE" w14:textId="77777777" w:rsidR="00195478" w:rsidRDefault="00195478">
          <w:pPr>
            <w:pStyle w:val="TOC2"/>
            <w:tabs>
              <w:tab w:val="right" w:leader="dot" w:pos="9830"/>
            </w:tabs>
            <w:rPr>
              <w:rFonts w:asciiTheme="minorHAnsi" w:eastAsiaTheme="minorEastAsia" w:hAnsiTheme="minorHAnsi" w:cstheme="minorBidi"/>
              <w:noProof/>
              <w:kern w:val="2"/>
              <w:lang/>
              <w14:ligatures w14:val="standardContextual"/>
            </w:rPr>
          </w:pPr>
          <w:hyperlink w:anchor="_Toc227788452" w:history="1">
            <w:r w:rsidRPr="0051667C">
              <w:rPr>
                <w:rStyle w:val="Hyperlink"/>
                <w:rFonts w:asciiTheme="minorBidi" w:hAnsiTheme="minorBidi"/>
                <w:noProof/>
              </w:rPr>
              <w:t>2.1 Overview of Financial Performance</w:t>
            </w:r>
            <w:r>
              <w:rPr>
                <w:noProof/>
                <w:webHidden/>
              </w:rPr>
              <w:tab/>
            </w:r>
            <w:r>
              <w:rPr>
                <w:noProof/>
                <w:webHidden/>
              </w:rPr>
              <w:fldChar w:fldCharType="begin"/>
            </w:r>
            <w:r>
              <w:rPr>
                <w:noProof/>
                <w:webHidden/>
              </w:rPr>
              <w:instrText xml:space="preserve"> PAGEREF _Toc227788452 \h </w:instrText>
            </w:r>
            <w:r>
              <w:rPr>
                <w:noProof/>
                <w:webHidden/>
              </w:rPr>
            </w:r>
            <w:r>
              <w:rPr>
                <w:noProof/>
                <w:webHidden/>
              </w:rPr>
              <w:fldChar w:fldCharType="separate"/>
            </w:r>
            <w:r>
              <w:rPr>
                <w:noProof/>
                <w:webHidden/>
              </w:rPr>
              <w:t>5</w:t>
            </w:r>
            <w:r>
              <w:rPr>
                <w:noProof/>
                <w:webHidden/>
              </w:rPr>
              <w:fldChar w:fldCharType="end"/>
            </w:r>
          </w:hyperlink>
        </w:p>
        <w:p w14:paraId="1C903167" w14:textId="77777777" w:rsidR="00195478" w:rsidRDefault="00195478">
          <w:pPr>
            <w:pStyle w:val="TOC2"/>
            <w:tabs>
              <w:tab w:val="right" w:leader="dot" w:pos="9830"/>
            </w:tabs>
            <w:rPr>
              <w:rFonts w:asciiTheme="minorHAnsi" w:eastAsiaTheme="minorEastAsia" w:hAnsiTheme="minorHAnsi" w:cstheme="minorBidi"/>
              <w:noProof/>
              <w:kern w:val="2"/>
              <w:lang/>
              <w14:ligatures w14:val="standardContextual"/>
            </w:rPr>
          </w:pPr>
          <w:hyperlink w:anchor="_Toc227788453" w:history="1">
            <w:r w:rsidRPr="0051667C">
              <w:rPr>
                <w:rStyle w:val="Hyperlink"/>
                <w:rFonts w:asciiTheme="minorBidi" w:hAnsiTheme="minorBidi"/>
                <w:noProof/>
              </w:rPr>
              <w:t>2.2 Profitability Analysis</w:t>
            </w:r>
            <w:r>
              <w:rPr>
                <w:noProof/>
                <w:webHidden/>
              </w:rPr>
              <w:tab/>
            </w:r>
            <w:r>
              <w:rPr>
                <w:noProof/>
                <w:webHidden/>
              </w:rPr>
              <w:fldChar w:fldCharType="begin"/>
            </w:r>
            <w:r>
              <w:rPr>
                <w:noProof/>
                <w:webHidden/>
              </w:rPr>
              <w:instrText xml:space="preserve"> PAGEREF _Toc227788453 \h </w:instrText>
            </w:r>
            <w:r>
              <w:rPr>
                <w:noProof/>
                <w:webHidden/>
              </w:rPr>
            </w:r>
            <w:r>
              <w:rPr>
                <w:noProof/>
                <w:webHidden/>
              </w:rPr>
              <w:fldChar w:fldCharType="separate"/>
            </w:r>
            <w:r>
              <w:rPr>
                <w:noProof/>
                <w:webHidden/>
              </w:rPr>
              <w:t>6</w:t>
            </w:r>
            <w:r>
              <w:rPr>
                <w:noProof/>
                <w:webHidden/>
              </w:rPr>
              <w:fldChar w:fldCharType="end"/>
            </w:r>
          </w:hyperlink>
        </w:p>
        <w:p w14:paraId="62C40BD7" w14:textId="77777777" w:rsidR="00195478" w:rsidRDefault="00195478">
          <w:pPr>
            <w:pStyle w:val="TOC2"/>
            <w:tabs>
              <w:tab w:val="right" w:leader="dot" w:pos="9830"/>
            </w:tabs>
            <w:rPr>
              <w:rFonts w:asciiTheme="minorHAnsi" w:eastAsiaTheme="minorEastAsia" w:hAnsiTheme="minorHAnsi" w:cstheme="minorBidi"/>
              <w:noProof/>
              <w:kern w:val="2"/>
              <w:lang/>
              <w14:ligatures w14:val="standardContextual"/>
            </w:rPr>
          </w:pPr>
          <w:hyperlink w:anchor="_Toc227788454" w:history="1">
            <w:r w:rsidRPr="0051667C">
              <w:rPr>
                <w:rStyle w:val="Hyperlink"/>
                <w:rFonts w:asciiTheme="minorBidi" w:hAnsiTheme="minorBidi"/>
                <w:noProof/>
              </w:rPr>
              <w:t>2.3 Liquidity Analysis</w:t>
            </w:r>
            <w:r>
              <w:rPr>
                <w:noProof/>
                <w:webHidden/>
              </w:rPr>
              <w:tab/>
            </w:r>
            <w:r>
              <w:rPr>
                <w:noProof/>
                <w:webHidden/>
              </w:rPr>
              <w:fldChar w:fldCharType="begin"/>
            </w:r>
            <w:r>
              <w:rPr>
                <w:noProof/>
                <w:webHidden/>
              </w:rPr>
              <w:instrText xml:space="preserve"> PAGEREF _Toc227788454 \h </w:instrText>
            </w:r>
            <w:r>
              <w:rPr>
                <w:noProof/>
                <w:webHidden/>
              </w:rPr>
            </w:r>
            <w:r>
              <w:rPr>
                <w:noProof/>
                <w:webHidden/>
              </w:rPr>
              <w:fldChar w:fldCharType="separate"/>
            </w:r>
            <w:r>
              <w:rPr>
                <w:noProof/>
                <w:webHidden/>
              </w:rPr>
              <w:t>8</w:t>
            </w:r>
            <w:r>
              <w:rPr>
                <w:noProof/>
                <w:webHidden/>
              </w:rPr>
              <w:fldChar w:fldCharType="end"/>
            </w:r>
          </w:hyperlink>
        </w:p>
        <w:p w14:paraId="160725A1" w14:textId="77777777" w:rsidR="00195478" w:rsidRDefault="00195478">
          <w:pPr>
            <w:pStyle w:val="TOC2"/>
            <w:tabs>
              <w:tab w:val="right" w:leader="dot" w:pos="9830"/>
            </w:tabs>
            <w:rPr>
              <w:rFonts w:asciiTheme="minorHAnsi" w:eastAsiaTheme="minorEastAsia" w:hAnsiTheme="minorHAnsi" w:cstheme="minorBidi"/>
              <w:noProof/>
              <w:kern w:val="2"/>
              <w:lang/>
              <w14:ligatures w14:val="standardContextual"/>
            </w:rPr>
          </w:pPr>
          <w:hyperlink w:anchor="_Toc227788455" w:history="1">
            <w:r w:rsidRPr="0051667C">
              <w:rPr>
                <w:rStyle w:val="Hyperlink"/>
                <w:rFonts w:asciiTheme="minorBidi" w:hAnsiTheme="minorBidi"/>
                <w:noProof/>
              </w:rPr>
              <w:t>2.4 Efficiency Analysis</w:t>
            </w:r>
            <w:r>
              <w:rPr>
                <w:noProof/>
                <w:webHidden/>
              </w:rPr>
              <w:tab/>
            </w:r>
            <w:r>
              <w:rPr>
                <w:noProof/>
                <w:webHidden/>
              </w:rPr>
              <w:fldChar w:fldCharType="begin"/>
            </w:r>
            <w:r>
              <w:rPr>
                <w:noProof/>
                <w:webHidden/>
              </w:rPr>
              <w:instrText xml:space="preserve"> PAGEREF _Toc227788455 \h </w:instrText>
            </w:r>
            <w:r>
              <w:rPr>
                <w:noProof/>
                <w:webHidden/>
              </w:rPr>
            </w:r>
            <w:r>
              <w:rPr>
                <w:noProof/>
                <w:webHidden/>
              </w:rPr>
              <w:fldChar w:fldCharType="separate"/>
            </w:r>
            <w:r>
              <w:rPr>
                <w:noProof/>
                <w:webHidden/>
              </w:rPr>
              <w:t>9</w:t>
            </w:r>
            <w:r>
              <w:rPr>
                <w:noProof/>
                <w:webHidden/>
              </w:rPr>
              <w:fldChar w:fldCharType="end"/>
            </w:r>
          </w:hyperlink>
        </w:p>
        <w:p w14:paraId="2B3B41E5" w14:textId="77777777" w:rsidR="00195478" w:rsidRDefault="00195478">
          <w:pPr>
            <w:pStyle w:val="TOC2"/>
            <w:tabs>
              <w:tab w:val="right" w:leader="dot" w:pos="9830"/>
            </w:tabs>
            <w:rPr>
              <w:rFonts w:asciiTheme="minorHAnsi" w:eastAsiaTheme="minorEastAsia" w:hAnsiTheme="minorHAnsi" w:cstheme="minorBidi"/>
              <w:noProof/>
              <w:kern w:val="2"/>
              <w:lang/>
              <w14:ligatures w14:val="standardContextual"/>
            </w:rPr>
          </w:pPr>
          <w:hyperlink w:anchor="_Toc227788456" w:history="1">
            <w:r w:rsidRPr="0051667C">
              <w:rPr>
                <w:rStyle w:val="Hyperlink"/>
                <w:rFonts w:asciiTheme="minorBidi" w:hAnsiTheme="minorBidi"/>
                <w:noProof/>
              </w:rPr>
              <w:t>2.5 Gearing and Capital Structure</w:t>
            </w:r>
            <w:r>
              <w:rPr>
                <w:noProof/>
                <w:webHidden/>
              </w:rPr>
              <w:tab/>
            </w:r>
            <w:r>
              <w:rPr>
                <w:noProof/>
                <w:webHidden/>
              </w:rPr>
              <w:fldChar w:fldCharType="begin"/>
            </w:r>
            <w:r>
              <w:rPr>
                <w:noProof/>
                <w:webHidden/>
              </w:rPr>
              <w:instrText xml:space="preserve"> PAGEREF _Toc227788456 \h </w:instrText>
            </w:r>
            <w:r>
              <w:rPr>
                <w:noProof/>
                <w:webHidden/>
              </w:rPr>
            </w:r>
            <w:r>
              <w:rPr>
                <w:noProof/>
                <w:webHidden/>
              </w:rPr>
              <w:fldChar w:fldCharType="separate"/>
            </w:r>
            <w:r>
              <w:rPr>
                <w:noProof/>
                <w:webHidden/>
              </w:rPr>
              <w:t>10</w:t>
            </w:r>
            <w:r>
              <w:rPr>
                <w:noProof/>
                <w:webHidden/>
              </w:rPr>
              <w:fldChar w:fldCharType="end"/>
            </w:r>
          </w:hyperlink>
        </w:p>
        <w:p w14:paraId="1B5BAEB5" w14:textId="77777777" w:rsidR="00195478" w:rsidRDefault="00195478">
          <w:pPr>
            <w:pStyle w:val="TOC2"/>
            <w:tabs>
              <w:tab w:val="right" w:leader="dot" w:pos="9830"/>
            </w:tabs>
            <w:rPr>
              <w:rFonts w:asciiTheme="minorHAnsi" w:eastAsiaTheme="minorEastAsia" w:hAnsiTheme="minorHAnsi" w:cstheme="minorBidi"/>
              <w:noProof/>
              <w:kern w:val="2"/>
              <w:lang/>
              <w14:ligatures w14:val="standardContextual"/>
            </w:rPr>
          </w:pPr>
          <w:hyperlink w:anchor="_Toc227788457" w:history="1">
            <w:r w:rsidRPr="0051667C">
              <w:rPr>
                <w:rStyle w:val="Hyperlink"/>
                <w:rFonts w:asciiTheme="minorBidi" w:hAnsiTheme="minorBidi"/>
                <w:noProof/>
              </w:rPr>
              <w:t>2.6 Investment Ratios</w:t>
            </w:r>
            <w:r>
              <w:rPr>
                <w:noProof/>
                <w:webHidden/>
              </w:rPr>
              <w:tab/>
            </w:r>
            <w:r>
              <w:rPr>
                <w:noProof/>
                <w:webHidden/>
              </w:rPr>
              <w:fldChar w:fldCharType="begin"/>
            </w:r>
            <w:r>
              <w:rPr>
                <w:noProof/>
                <w:webHidden/>
              </w:rPr>
              <w:instrText xml:space="preserve"> PAGEREF _Toc227788457 \h </w:instrText>
            </w:r>
            <w:r>
              <w:rPr>
                <w:noProof/>
                <w:webHidden/>
              </w:rPr>
            </w:r>
            <w:r>
              <w:rPr>
                <w:noProof/>
                <w:webHidden/>
              </w:rPr>
              <w:fldChar w:fldCharType="separate"/>
            </w:r>
            <w:r>
              <w:rPr>
                <w:noProof/>
                <w:webHidden/>
              </w:rPr>
              <w:t>11</w:t>
            </w:r>
            <w:r>
              <w:rPr>
                <w:noProof/>
                <w:webHidden/>
              </w:rPr>
              <w:fldChar w:fldCharType="end"/>
            </w:r>
          </w:hyperlink>
        </w:p>
        <w:p w14:paraId="274A184B" w14:textId="77777777" w:rsidR="00195478" w:rsidRDefault="00195478">
          <w:pPr>
            <w:pStyle w:val="TOC2"/>
            <w:tabs>
              <w:tab w:val="right" w:leader="dot" w:pos="9830"/>
            </w:tabs>
            <w:rPr>
              <w:rFonts w:asciiTheme="minorHAnsi" w:eastAsiaTheme="minorEastAsia" w:hAnsiTheme="minorHAnsi" w:cstheme="minorBidi"/>
              <w:noProof/>
              <w:kern w:val="2"/>
              <w:lang/>
              <w14:ligatures w14:val="standardContextual"/>
            </w:rPr>
          </w:pPr>
          <w:hyperlink w:anchor="_Toc227788458" w:history="1">
            <w:r w:rsidRPr="0051667C">
              <w:rPr>
                <w:rStyle w:val="Hyperlink"/>
                <w:rFonts w:asciiTheme="minorBidi" w:hAnsiTheme="minorBidi"/>
                <w:noProof/>
              </w:rPr>
              <w:t>2.7 Cash Flow Analysis</w:t>
            </w:r>
            <w:r>
              <w:rPr>
                <w:noProof/>
                <w:webHidden/>
              </w:rPr>
              <w:tab/>
            </w:r>
            <w:r>
              <w:rPr>
                <w:noProof/>
                <w:webHidden/>
              </w:rPr>
              <w:fldChar w:fldCharType="begin"/>
            </w:r>
            <w:r>
              <w:rPr>
                <w:noProof/>
                <w:webHidden/>
              </w:rPr>
              <w:instrText xml:space="preserve"> PAGEREF _Toc227788458 \h </w:instrText>
            </w:r>
            <w:r>
              <w:rPr>
                <w:noProof/>
                <w:webHidden/>
              </w:rPr>
            </w:r>
            <w:r>
              <w:rPr>
                <w:noProof/>
                <w:webHidden/>
              </w:rPr>
              <w:fldChar w:fldCharType="separate"/>
            </w:r>
            <w:r>
              <w:rPr>
                <w:noProof/>
                <w:webHidden/>
              </w:rPr>
              <w:t>12</w:t>
            </w:r>
            <w:r>
              <w:rPr>
                <w:noProof/>
                <w:webHidden/>
              </w:rPr>
              <w:fldChar w:fldCharType="end"/>
            </w:r>
          </w:hyperlink>
        </w:p>
        <w:p w14:paraId="6092B41C" w14:textId="77777777" w:rsidR="00195478" w:rsidRDefault="00195478">
          <w:pPr>
            <w:pStyle w:val="TOC2"/>
            <w:tabs>
              <w:tab w:val="right" w:leader="dot" w:pos="9830"/>
            </w:tabs>
            <w:rPr>
              <w:rFonts w:asciiTheme="minorHAnsi" w:eastAsiaTheme="minorEastAsia" w:hAnsiTheme="minorHAnsi" w:cstheme="minorBidi"/>
              <w:noProof/>
              <w:kern w:val="2"/>
              <w:lang/>
              <w14:ligatures w14:val="standardContextual"/>
            </w:rPr>
          </w:pPr>
          <w:hyperlink w:anchor="_Toc227788459" w:history="1">
            <w:r w:rsidRPr="0051667C">
              <w:rPr>
                <w:rStyle w:val="Hyperlink"/>
                <w:rFonts w:asciiTheme="minorBidi" w:hAnsiTheme="minorBidi"/>
                <w:noProof/>
              </w:rPr>
              <w:t>2.8 Key Trends, Strengths and Weaknesses</w:t>
            </w:r>
            <w:r>
              <w:rPr>
                <w:noProof/>
                <w:webHidden/>
              </w:rPr>
              <w:tab/>
            </w:r>
            <w:r>
              <w:rPr>
                <w:noProof/>
                <w:webHidden/>
              </w:rPr>
              <w:fldChar w:fldCharType="begin"/>
            </w:r>
            <w:r>
              <w:rPr>
                <w:noProof/>
                <w:webHidden/>
              </w:rPr>
              <w:instrText xml:space="preserve"> PAGEREF _Toc227788459 \h </w:instrText>
            </w:r>
            <w:r>
              <w:rPr>
                <w:noProof/>
                <w:webHidden/>
              </w:rPr>
            </w:r>
            <w:r>
              <w:rPr>
                <w:noProof/>
                <w:webHidden/>
              </w:rPr>
              <w:fldChar w:fldCharType="separate"/>
            </w:r>
            <w:r>
              <w:rPr>
                <w:noProof/>
                <w:webHidden/>
              </w:rPr>
              <w:t>13</w:t>
            </w:r>
            <w:r>
              <w:rPr>
                <w:noProof/>
                <w:webHidden/>
              </w:rPr>
              <w:fldChar w:fldCharType="end"/>
            </w:r>
          </w:hyperlink>
        </w:p>
        <w:p w14:paraId="77147F38" w14:textId="77777777" w:rsidR="00195478" w:rsidRDefault="00195478">
          <w:pPr>
            <w:pStyle w:val="TOC1"/>
            <w:rPr>
              <w:rFonts w:asciiTheme="minorHAnsi" w:eastAsiaTheme="minorEastAsia" w:hAnsiTheme="minorHAnsi"/>
              <w:b w:val="0"/>
              <w:bCs w:val="0"/>
              <w:kern w:val="2"/>
              <w:szCs w:val="24"/>
              <w:lang w:eastAsia="zh-TW"/>
              <w14:ligatures w14:val="standardContextual"/>
            </w:rPr>
          </w:pPr>
          <w:hyperlink w:anchor="_Toc227788460" w:history="1">
            <w:r w:rsidRPr="0051667C">
              <w:rPr>
                <w:rStyle w:val="Hyperlink"/>
              </w:rPr>
              <w:t>3. Working Capital Management Analysis</w:t>
            </w:r>
            <w:r>
              <w:rPr>
                <w:webHidden/>
              </w:rPr>
              <w:tab/>
            </w:r>
            <w:r>
              <w:rPr>
                <w:webHidden/>
              </w:rPr>
              <w:fldChar w:fldCharType="begin"/>
            </w:r>
            <w:r>
              <w:rPr>
                <w:webHidden/>
              </w:rPr>
              <w:instrText xml:space="preserve"> PAGEREF _Toc227788460 \h </w:instrText>
            </w:r>
            <w:r>
              <w:rPr>
                <w:webHidden/>
              </w:rPr>
            </w:r>
            <w:r>
              <w:rPr>
                <w:webHidden/>
              </w:rPr>
              <w:fldChar w:fldCharType="separate"/>
            </w:r>
            <w:r>
              <w:rPr>
                <w:webHidden/>
              </w:rPr>
              <w:t>14</w:t>
            </w:r>
            <w:r>
              <w:rPr>
                <w:webHidden/>
              </w:rPr>
              <w:fldChar w:fldCharType="end"/>
            </w:r>
          </w:hyperlink>
        </w:p>
        <w:p w14:paraId="68617A82" w14:textId="77777777" w:rsidR="00195478" w:rsidRDefault="00195478">
          <w:pPr>
            <w:pStyle w:val="TOC2"/>
            <w:tabs>
              <w:tab w:val="right" w:leader="dot" w:pos="9830"/>
            </w:tabs>
            <w:rPr>
              <w:rFonts w:asciiTheme="minorHAnsi" w:eastAsiaTheme="minorEastAsia" w:hAnsiTheme="minorHAnsi" w:cstheme="minorBidi"/>
              <w:noProof/>
              <w:kern w:val="2"/>
              <w:lang/>
              <w14:ligatures w14:val="standardContextual"/>
            </w:rPr>
          </w:pPr>
          <w:hyperlink w:anchor="_Toc227788461" w:history="1">
            <w:r w:rsidRPr="0051667C">
              <w:rPr>
                <w:rStyle w:val="Hyperlink"/>
                <w:rFonts w:asciiTheme="minorBidi" w:hAnsiTheme="minorBidi"/>
                <w:noProof/>
              </w:rPr>
              <w:t>3.1 Cash Operating Cycle</w:t>
            </w:r>
            <w:r>
              <w:rPr>
                <w:noProof/>
                <w:webHidden/>
              </w:rPr>
              <w:tab/>
            </w:r>
            <w:r>
              <w:rPr>
                <w:noProof/>
                <w:webHidden/>
              </w:rPr>
              <w:fldChar w:fldCharType="begin"/>
            </w:r>
            <w:r>
              <w:rPr>
                <w:noProof/>
                <w:webHidden/>
              </w:rPr>
              <w:instrText xml:space="preserve"> PAGEREF _Toc227788461 \h </w:instrText>
            </w:r>
            <w:r>
              <w:rPr>
                <w:noProof/>
                <w:webHidden/>
              </w:rPr>
            </w:r>
            <w:r>
              <w:rPr>
                <w:noProof/>
                <w:webHidden/>
              </w:rPr>
              <w:fldChar w:fldCharType="separate"/>
            </w:r>
            <w:r>
              <w:rPr>
                <w:noProof/>
                <w:webHidden/>
              </w:rPr>
              <w:t>14</w:t>
            </w:r>
            <w:r>
              <w:rPr>
                <w:noProof/>
                <w:webHidden/>
              </w:rPr>
              <w:fldChar w:fldCharType="end"/>
            </w:r>
          </w:hyperlink>
        </w:p>
        <w:p w14:paraId="7EA5AE1B" w14:textId="77777777" w:rsidR="00195478" w:rsidRDefault="00195478">
          <w:pPr>
            <w:pStyle w:val="TOC2"/>
            <w:tabs>
              <w:tab w:val="right" w:leader="dot" w:pos="9830"/>
            </w:tabs>
            <w:rPr>
              <w:rFonts w:asciiTheme="minorHAnsi" w:eastAsiaTheme="minorEastAsia" w:hAnsiTheme="minorHAnsi" w:cstheme="minorBidi"/>
              <w:noProof/>
              <w:kern w:val="2"/>
              <w:lang/>
              <w14:ligatures w14:val="standardContextual"/>
            </w:rPr>
          </w:pPr>
          <w:hyperlink w:anchor="_Toc227788462" w:history="1">
            <w:r w:rsidRPr="0051667C">
              <w:rPr>
                <w:rStyle w:val="Hyperlink"/>
                <w:rFonts w:asciiTheme="minorBidi" w:hAnsiTheme="minorBidi"/>
                <w:noProof/>
              </w:rPr>
              <w:t>3.2 Working Capital Trends</w:t>
            </w:r>
            <w:r>
              <w:rPr>
                <w:noProof/>
                <w:webHidden/>
              </w:rPr>
              <w:tab/>
            </w:r>
            <w:r>
              <w:rPr>
                <w:noProof/>
                <w:webHidden/>
              </w:rPr>
              <w:fldChar w:fldCharType="begin"/>
            </w:r>
            <w:r>
              <w:rPr>
                <w:noProof/>
                <w:webHidden/>
              </w:rPr>
              <w:instrText xml:space="preserve"> PAGEREF _Toc227788462 \h </w:instrText>
            </w:r>
            <w:r>
              <w:rPr>
                <w:noProof/>
                <w:webHidden/>
              </w:rPr>
            </w:r>
            <w:r>
              <w:rPr>
                <w:noProof/>
                <w:webHidden/>
              </w:rPr>
              <w:fldChar w:fldCharType="separate"/>
            </w:r>
            <w:r>
              <w:rPr>
                <w:noProof/>
                <w:webHidden/>
              </w:rPr>
              <w:t>15</w:t>
            </w:r>
            <w:r>
              <w:rPr>
                <w:noProof/>
                <w:webHidden/>
              </w:rPr>
              <w:fldChar w:fldCharType="end"/>
            </w:r>
          </w:hyperlink>
        </w:p>
        <w:p w14:paraId="35153CB1" w14:textId="77777777" w:rsidR="00195478" w:rsidRDefault="00195478">
          <w:pPr>
            <w:pStyle w:val="TOC2"/>
            <w:tabs>
              <w:tab w:val="right" w:leader="dot" w:pos="9830"/>
            </w:tabs>
            <w:rPr>
              <w:rFonts w:asciiTheme="minorHAnsi" w:eastAsiaTheme="minorEastAsia" w:hAnsiTheme="minorHAnsi" w:cstheme="minorBidi"/>
              <w:noProof/>
              <w:kern w:val="2"/>
              <w:lang/>
              <w14:ligatures w14:val="standardContextual"/>
            </w:rPr>
          </w:pPr>
          <w:hyperlink w:anchor="_Toc227788463" w:history="1">
            <w:r w:rsidRPr="0051667C">
              <w:rPr>
                <w:rStyle w:val="Hyperlink"/>
                <w:rFonts w:asciiTheme="minorBidi" w:hAnsiTheme="minorBidi"/>
                <w:noProof/>
              </w:rPr>
              <w:t>3.3 Liquidity Challenges</w:t>
            </w:r>
            <w:r>
              <w:rPr>
                <w:noProof/>
                <w:webHidden/>
              </w:rPr>
              <w:tab/>
            </w:r>
            <w:r>
              <w:rPr>
                <w:noProof/>
                <w:webHidden/>
              </w:rPr>
              <w:fldChar w:fldCharType="begin"/>
            </w:r>
            <w:r>
              <w:rPr>
                <w:noProof/>
                <w:webHidden/>
              </w:rPr>
              <w:instrText xml:space="preserve"> PAGEREF _Toc227788463 \h </w:instrText>
            </w:r>
            <w:r>
              <w:rPr>
                <w:noProof/>
                <w:webHidden/>
              </w:rPr>
            </w:r>
            <w:r>
              <w:rPr>
                <w:noProof/>
                <w:webHidden/>
              </w:rPr>
              <w:fldChar w:fldCharType="separate"/>
            </w:r>
            <w:r>
              <w:rPr>
                <w:noProof/>
                <w:webHidden/>
              </w:rPr>
              <w:t>16</w:t>
            </w:r>
            <w:r>
              <w:rPr>
                <w:noProof/>
                <w:webHidden/>
              </w:rPr>
              <w:fldChar w:fldCharType="end"/>
            </w:r>
          </w:hyperlink>
        </w:p>
        <w:p w14:paraId="0AC627F3" w14:textId="77777777" w:rsidR="00195478" w:rsidRDefault="00195478">
          <w:pPr>
            <w:pStyle w:val="TOC2"/>
            <w:tabs>
              <w:tab w:val="right" w:leader="dot" w:pos="9830"/>
            </w:tabs>
            <w:rPr>
              <w:rFonts w:asciiTheme="minorHAnsi" w:eastAsiaTheme="minorEastAsia" w:hAnsiTheme="minorHAnsi" w:cstheme="minorBidi"/>
              <w:noProof/>
              <w:kern w:val="2"/>
              <w:lang/>
              <w14:ligatures w14:val="standardContextual"/>
            </w:rPr>
          </w:pPr>
          <w:hyperlink w:anchor="_Toc227788464" w:history="1">
            <w:r w:rsidRPr="0051667C">
              <w:rPr>
                <w:rStyle w:val="Hyperlink"/>
                <w:rFonts w:asciiTheme="minorBidi" w:hAnsiTheme="minorBidi"/>
                <w:noProof/>
              </w:rPr>
              <w:t>3.4 Recommendations for Improvement</w:t>
            </w:r>
            <w:r>
              <w:rPr>
                <w:noProof/>
                <w:webHidden/>
              </w:rPr>
              <w:tab/>
            </w:r>
            <w:r>
              <w:rPr>
                <w:noProof/>
                <w:webHidden/>
              </w:rPr>
              <w:fldChar w:fldCharType="begin"/>
            </w:r>
            <w:r>
              <w:rPr>
                <w:noProof/>
                <w:webHidden/>
              </w:rPr>
              <w:instrText xml:space="preserve"> PAGEREF _Toc227788464 \h </w:instrText>
            </w:r>
            <w:r>
              <w:rPr>
                <w:noProof/>
                <w:webHidden/>
              </w:rPr>
            </w:r>
            <w:r>
              <w:rPr>
                <w:noProof/>
                <w:webHidden/>
              </w:rPr>
              <w:fldChar w:fldCharType="separate"/>
            </w:r>
            <w:r>
              <w:rPr>
                <w:noProof/>
                <w:webHidden/>
              </w:rPr>
              <w:t>16</w:t>
            </w:r>
            <w:r>
              <w:rPr>
                <w:noProof/>
                <w:webHidden/>
              </w:rPr>
              <w:fldChar w:fldCharType="end"/>
            </w:r>
          </w:hyperlink>
        </w:p>
        <w:p w14:paraId="6EF739FD" w14:textId="77777777" w:rsidR="00195478" w:rsidRDefault="00195478">
          <w:pPr>
            <w:pStyle w:val="TOC2"/>
            <w:tabs>
              <w:tab w:val="right" w:leader="dot" w:pos="9830"/>
            </w:tabs>
            <w:rPr>
              <w:rFonts w:asciiTheme="minorHAnsi" w:eastAsiaTheme="minorEastAsia" w:hAnsiTheme="minorHAnsi" w:cstheme="minorBidi"/>
              <w:noProof/>
              <w:kern w:val="2"/>
              <w:lang/>
              <w14:ligatures w14:val="standardContextual"/>
            </w:rPr>
          </w:pPr>
          <w:hyperlink w:anchor="_Toc227788465" w:history="1">
            <w:r w:rsidRPr="0051667C">
              <w:rPr>
                <w:rStyle w:val="Hyperlink"/>
                <w:rFonts w:asciiTheme="minorBidi" w:hAnsiTheme="minorBidi"/>
                <w:noProof/>
              </w:rPr>
              <w:t>3.5 Short-Term and Long-Term Financing Options</w:t>
            </w:r>
            <w:r>
              <w:rPr>
                <w:noProof/>
                <w:webHidden/>
              </w:rPr>
              <w:tab/>
            </w:r>
            <w:r>
              <w:rPr>
                <w:noProof/>
                <w:webHidden/>
              </w:rPr>
              <w:fldChar w:fldCharType="begin"/>
            </w:r>
            <w:r>
              <w:rPr>
                <w:noProof/>
                <w:webHidden/>
              </w:rPr>
              <w:instrText xml:space="preserve"> PAGEREF _Toc227788465 \h </w:instrText>
            </w:r>
            <w:r>
              <w:rPr>
                <w:noProof/>
                <w:webHidden/>
              </w:rPr>
            </w:r>
            <w:r>
              <w:rPr>
                <w:noProof/>
                <w:webHidden/>
              </w:rPr>
              <w:fldChar w:fldCharType="separate"/>
            </w:r>
            <w:r>
              <w:rPr>
                <w:noProof/>
                <w:webHidden/>
              </w:rPr>
              <w:t>17</w:t>
            </w:r>
            <w:r>
              <w:rPr>
                <w:noProof/>
                <w:webHidden/>
              </w:rPr>
              <w:fldChar w:fldCharType="end"/>
            </w:r>
          </w:hyperlink>
        </w:p>
        <w:p w14:paraId="1D789F44" w14:textId="77777777" w:rsidR="00195478" w:rsidRDefault="00195478">
          <w:pPr>
            <w:pStyle w:val="TOC1"/>
            <w:rPr>
              <w:rFonts w:asciiTheme="minorHAnsi" w:eastAsiaTheme="minorEastAsia" w:hAnsiTheme="minorHAnsi"/>
              <w:b w:val="0"/>
              <w:bCs w:val="0"/>
              <w:kern w:val="2"/>
              <w:szCs w:val="24"/>
              <w:lang w:eastAsia="zh-TW"/>
              <w14:ligatures w14:val="standardContextual"/>
            </w:rPr>
          </w:pPr>
          <w:hyperlink w:anchor="_Toc227788466" w:history="1">
            <w:r w:rsidRPr="0051667C">
              <w:rPr>
                <w:rStyle w:val="Hyperlink"/>
              </w:rPr>
              <w:t>4. Strategic Financial Restructuring Plan</w:t>
            </w:r>
            <w:r>
              <w:rPr>
                <w:webHidden/>
              </w:rPr>
              <w:tab/>
            </w:r>
            <w:r>
              <w:rPr>
                <w:webHidden/>
              </w:rPr>
              <w:fldChar w:fldCharType="begin"/>
            </w:r>
            <w:r>
              <w:rPr>
                <w:webHidden/>
              </w:rPr>
              <w:instrText xml:space="preserve"> PAGEREF _Toc227788466 \h </w:instrText>
            </w:r>
            <w:r>
              <w:rPr>
                <w:webHidden/>
              </w:rPr>
            </w:r>
            <w:r>
              <w:rPr>
                <w:webHidden/>
              </w:rPr>
              <w:fldChar w:fldCharType="separate"/>
            </w:r>
            <w:r>
              <w:rPr>
                <w:webHidden/>
              </w:rPr>
              <w:t>17</w:t>
            </w:r>
            <w:r>
              <w:rPr>
                <w:webHidden/>
              </w:rPr>
              <w:fldChar w:fldCharType="end"/>
            </w:r>
          </w:hyperlink>
        </w:p>
        <w:p w14:paraId="3782AD06" w14:textId="77777777" w:rsidR="00195478" w:rsidRDefault="00195478">
          <w:pPr>
            <w:pStyle w:val="TOC2"/>
            <w:tabs>
              <w:tab w:val="right" w:leader="dot" w:pos="9830"/>
            </w:tabs>
            <w:rPr>
              <w:rFonts w:asciiTheme="minorHAnsi" w:eastAsiaTheme="minorEastAsia" w:hAnsiTheme="minorHAnsi" w:cstheme="minorBidi"/>
              <w:noProof/>
              <w:kern w:val="2"/>
              <w:lang/>
              <w14:ligatures w14:val="standardContextual"/>
            </w:rPr>
          </w:pPr>
          <w:hyperlink w:anchor="_Toc227788467" w:history="1">
            <w:r w:rsidRPr="0051667C">
              <w:rPr>
                <w:rStyle w:val="Hyperlink"/>
                <w:rFonts w:asciiTheme="minorBidi" w:hAnsiTheme="minorBidi"/>
                <w:noProof/>
              </w:rPr>
              <w:t>4.1 Restructuring objective</w:t>
            </w:r>
            <w:r>
              <w:rPr>
                <w:noProof/>
                <w:webHidden/>
              </w:rPr>
              <w:tab/>
            </w:r>
            <w:r>
              <w:rPr>
                <w:noProof/>
                <w:webHidden/>
              </w:rPr>
              <w:fldChar w:fldCharType="begin"/>
            </w:r>
            <w:r>
              <w:rPr>
                <w:noProof/>
                <w:webHidden/>
              </w:rPr>
              <w:instrText xml:space="preserve"> PAGEREF _Toc227788467 \h </w:instrText>
            </w:r>
            <w:r>
              <w:rPr>
                <w:noProof/>
                <w:webHidden/>
              </w:rPr>
            </w:r>
            <w:r>
              <w:rPr>
                <w:noProof/>
                <w:webHidden/>
              </w:rPr>
              <w:fldChar w:fldCharType="separate"/>
            </w:r>
            <w:r>
              <w:rPr>
                <w:noProof/>
                <w:webHidden/>
              </w:rPr>
              <w:t>17</w:t>
            </w:r>
            <w:r>
              <w:rPr>
                <w:noProof/>
                <w:webHidden/>
              </w:rPr>
              <w:fldChar w:fldCharType="end"/>
            </w:r>
          </w:hyperlink>
        </w:p>
        <w:p w14:paraId="2B34974C" w14:textId="77777777" w:rsidR="00195478" w:rsidRDefault="00195478">
          <w:pPr>
            <w:pStyle w:val="TOC2"/>
            <w:tabs>
              <w:tab w:val="right" w:leader="dot" w:pos="9830"/>
            </w:tabs>
            <w:rPr>
              <w:rFonts w:asciiTheme="minorHAnsi" w:eastAsiaTheme="minorEastAsia" w:hAnsiTheme="minorHAnsi" w:cstheme="minorBidi"/>
              <w:noProof/>
              <w:kern w:val="2"/>
              <w:lang/>
              <w14:ligatures w14:val="standardContextual"/>
            </w:rPr>
          </w:pPr>
          <w:hyperlink w:anchor="_Toc227788468" w:history="1">
            <w:r w:rsidRPr="0051667C">
              <w:rPr>
                <w:rStyle w:val="Hyperlink"/>
                <w:rFonts w:asciiTheme="minorBidi" w:hAnsiTheme="minorBidi"/>
                <w:noProof/>
              </w:rPr>
              <w:t>4.2 Recommended restructuring actions</w:t>
            </w:r>
            <w:r>
              <w:rPr>
                <w:noProof/>
                <w:webHidden/>
              </w:rPr>
              <w:tab/>
            </w:r>
            <w:r>
              <w:rPr>
                <w:noProof/>
                <w:webHidden/>
              </w:rPr>
              <w:fldChar w:fldCharType="begin"/>
            </w:r>
            <w:r>
              <w:rPr>
                <w:noProof/>
                <w:webHidden/>
              </w:rPr>
              <w:instrText xml:space="preserve"> PAGEREF _Toc227788468 \h </w:instrText>
            </w:r>
            <w:r>
              <w:rPr>
                <w:noProof/>
                <w:webHidden/>
              </w:rPr>
            </w:r>
            <w:r>
              <w:rPr>
                <w:noProof/>
                <w:webHidden/>
              </w:rPr>
              <w:fldChar w:fldCharType="separate"/>
            </w:r>
            <w:r>
              <w:rPr>
                <w:noProof/>
                <w:webHidden/>
              </w:rPr>
              <w:t>18</w:t>
            </w:r>
            <w:r>
              <w:rPr>
                <w:noProof/>
                <w:webHidden/>
              </w:rPr>
              <w:fldChar w:fldCharType="end"/>
            </w:r>
          </w:hyperlink>
        </w:p>
        <w:p w14:paraId="1B9D0977" w14:textId="77777777" w:rsidR="00195478" w:rsidRDefault="00195478">
          <w:pPr>
            <w:pStyle w:val="TOC2"/>
            <w:tabs>
              <w:tab w:val="right" w:leader="dot" w:pos="9830"/>
            </w:tabs>
            <w:rPr>
              <w:rFonts w:asciiTheme="minorHAnsi" w:eastAsiaTheme="minorEastAsia" w:hAnsiTheme="minorHAnsi" w:cstheme="minorBidi"/>
              <w:noProof/>
              <w:kern w:val="2"/>
              <w:lang/>
              <w14:ligatures w14:val="standardContextual"/>
            </w:rPr>
          </w:pPr>
          <w:hyperlink w:anchor="_Toc227788469" w:history="1">
            <w:r w:rsidRPr="0051667C">
              <w:rPr>
                <w:rStyle w:val="Hyperlink"/>
                <w:rFonts w:asciiTheme="minorBidi" w:hAnsiTheme="minorBidi"/>
                <w:noProof/>
              </w:rPr>
              <w:t>4.3 Impact on shareholder value, debt structure and flexibility</w:t>
            </w:r>
            <w:r>
              <w:rPr>
                <w:noProof/>
                <w:webHidden/>
              </w:rPr>
              <w:tab/>
            </w:r>
            <w:r>
              <w:rPr>
                <w:noProof/>
                <w:webHidden/>
              </w:rPr>
              <w:fldChar w:fldCharType="begin"/>
            </w:r>
            <w:r>
              <w:rPr>
                <w:noProof/>
                <w:webHidden/>
              </w:rPr>
              <w:instrText xml:space="preserve"> PAGEREF _Toc227788469 \h </w:instrText>
            </w:r>
            <w:r>
              <w:rPr>
                <w:noProof/>
                <w:webHidden/>
              </w:rPr>
            </w:r>
            <w:r>
              <w:rPr>
                <w:noProof/>
                <w:webHidden/>
              </w:rPr>
              <w:fldChar w:fldCharType="separate"/>
            </w:r>
            <w:r>
              <w:rPr>
                <w:noProof/>
                <w:webHidden/>
              </w:rPr>
              <w:t>18</w:t>
            </w:r>
            <w:r>
              <w:rPr>
                <w:noProof/>
                <w:webHidden/>
              </w:rPr>
              <w:fldChar w:fldCharType="end"/>
            </w:r>
          </w:hyperlink>
        </w:p>
        <w:p w14:paraId="7280DF50" w14:textId="77777777" w:rsidR="00195478" w:rsidRDefault="00195478">
          <w:pPr>
            <w:pStyle w:val="TOC2"/>
            <w:tabs>
              <w:tab w:val="right" w:leader="dot" w:pos="9830"/>
            </w:tabs>
            <w:rPr>
              <w:rFonts w:asciiTheme="minorHAnsi" w:eastAsiaTheme="minorEastAsia" w:hAnsiTheme="minorHAnsi" w:cstheme="minorBidi"/>
              <w:noProof/>
              <w:kern w:val="2"/>
              <w:lang/>
              <w14:ligatures w14:val="standardContextual"/>
            </w:rPr>
          </w:pPr>
          <w:hyperlink w:anchor="_Toc227788470" w:history="1">
            <w:r w:rsidRPr="0051667C">
              <w:rPr>
                <w:rStyle w:val="Hyperlink"/>
                <w:rFonts w:asciiTheme="minorBidi" w:hAnsiTheme="minorBidi"/>
                <w:noProof/>
              </w:rPr>
              <w:t>4.4 International risks and ethical considerations</w:t>
            </w:r>
            <w:r>
              <w:rPr>
                <w:noProof/>
                <w:webHidden/>
              </w:rPr>
              <w:tab/>
            </w:r>
            <w:r>
              <w:rPr>
                <w:noProof/>
                <w:webHidden/>
              </w:rPr>
              <w:fldChar w:fldCharType="begin"/>
            </w:r>
            <w:r>
              <w:rPr>
                <w:noProof/>
                <w:webHidden/>
              </w:rPr>
              <w:instrText xml:space="preserve"> PAGEREF _Toc227788470 \h </w:instrText>
            </w:r>
            <w:r>
              <w:rPr>
                <w:noProof/>
                <w:webHidden/>
              </w:rPr>
            </w:r>
            <w:r>
              <w:rPr>
                <w:noProof/>
                <w:webHidden/>
              </w:rPr>
              <w:fldChar w:fldCharType="separate"/>
            </w:r>
            <w:r>
              <w:rPr>
                <w:noProof/>
                <w:webHidden/>
              </w:rPr>
              <w:t>19</w:t>
            </w:r>
            <w:r>
              <w:rPr>
                <w:noProof/>
                <w:webHidden/>
              </w:rPr>
              <w:fldChar w:fldCharType="end"/>
            </w:r>
          </w:hyperlink>
        </w:p>
        <w:p w14:paraId="5503EC09" w14:textId="77777777" w:rsidR="00195478" w:rsidRDefault="00195478">
          <w:pPr>
            <w:pStyle w:val="TOC2"/>
            <w:tabs>
              <w:tab w:val="right" w:leader="dot" w:pos="9830"/>
            </w:tabs>
            <w:rPr>
              <w:rFonts w:asciiTheme="minorHAnsi" w:eastAsiaTheme="minorEastAsia" w:hAnsiTheme="minorHAnsi" w:cstheme="minorBidi"/>
              <w:noProof/>
              <w:kern w:val="2"/>
              <w:lang/>
              <w14:ligatures w14:val="standardContextual"/>
            </w:rPr>
          </w:pPr>
          <w:hyperlink w:anchor="_Toc227788471" w:history="1">
            <w:r w:rsidRPr="0051667C">
              <w:rPr>
                <w:rStyle w:val="Hyperlink"/>
                <w:rFonts w:asciiTheme="minorBidi" w:hAnsiTheme="minorBidi"/>
                <w:noProof/>
              </w:rPr>
              <w:t>4.5 Competitor lessons</w:t>
            </w:r>
            <w:r>
              <w:rPr>
                <w:noProof/>
                <w:webHidden/>
              </w:rPr>
              <w:tab/>
            </w:r>
            <w:r>
              <w:rPr>
                <w:noProof/>
                <w:webHidden/>
              </w:rPr>
              <w:fldChar w:fldCharType="begin"/>
            </w:r>
            <w:r>
              <w:rPr>
                <w:noProof/>
                <w:webHidden/>
              </w:rPr>
              <w:instrText xml:space="preserve"> PAGEREF _Toc227788471 \h </w:instrText>
            </w:r>
            <w:r>
              <w:rPr>
                <w:noProof/>
                <w:webHidden/>
              </w:rPr>
            </w:r>
            <w:r>
              <w:rPr>
                <w:noProof/>
                <w:webHidden/>
              </w:rPr>
              <w:fldChar w:fldCharType="separate"/>
            </w:r>
            <w:r>
              <w:rPr>
                <w:noProof/>
                <w:webHidden/>
              </w:rPr>
              <w:t>20</w:t>
            </w:r>
            <w:r>
              <w:rPr>
                <w:noProof/>
                <w:webHidden/>
              </w:rPr>
              <w:fldChar w:fldCharType="end"/>
            </w:r>
          </w:hyperlink>
        </w:p>
        <w:p w14:paraId="1282E55F" w14:textId="77777777" w:rsidR="00195478" w:rsidRDefault="00195478">
          <w:pPr>
            <w:pStyle w:val="TOC2"/>
            <w:tabs>
              <w:tab w:val="right" w:leader="dot" w:pos="9830"/>
            </w:tabs>
            <w:rPr>
              <w:rFonts w:asciiTheme="minorHAnsi" w:eastAsiaTheme="minorEastAsia" w:hAnsiTheme="minorHAnsi" w:cstheme="minorBidi"/>
              <w:noProof/>
              <w:kern w:val="2"/>
              <w:lang/>
              <w14:ligatures w14:val="standardContextual"/>
            </w:rPr>
          </w:pPr>
          <w:hyperlink w:anchor="_Toc227788472" w:history="1">
            <w:r w:rsidRPr="0051667C">
              <w:rPr>
                <w:rStyle w:val="Hyperlink"/>
                <w:rFonts w:asciiTheme="minorBidi" w:hAnsiTheme="minorBidi"/>
                <w:noProof/>
              </w:rPr>
              <w:t>4.6 Restructuring conclusion</w:t>
            </w:r>
            <w:r>
              <w:rPr>
                <w:noProof/>
                <w:webHidden/>
              </w:rPr>
              <w:tab/>
            </w:r>
            <w:r>
              <w:rPr>
                <w:noProof/>
                <w:webHidden/>
              </w:rPr>
              <w:fldChar w:fldCharType="begin"/>
            </w:r>
            <w:r>
              <w:rPr>
                <w:noProof/>
                <w:webHidden/>
              </w:rPr>
              <w:instrText xml:space="preserve"> PAGEREF _Toc227788472 \h </w:instrText>
            </w:r>
            <w:r>
              <w:rPr>
                <w:noProof/>
                <w:webHidden/>
              </w:rPr>
            </w:r>
            <w:r>
              <w:rPr>
                <w:noProof/>
                <w:webHidden/>
              </w:rPr>
              <w:fldChar w:fldCharType="separate"/>
            </w:r>
            <w:r>
              <w:rPr>
                <w:noProof/>
                <w:webHidden/>
              </w:rPr>
              <w:t>20</w:t>
            </w:r>
            <w:r>
              <w:rPr>
                <w:noProof/>
                <w:webHidden/>
              </w:rPr>
              <w:fldChar w:fldCharType="end"/>
            </w:r>
          </w:hyperlink>
        </w:p>
        <w:p w14:paraId="42A627A8" w14:textId="77777777" w:rsidR="00195478" w:rsidRDefault="00195478">
          <w:pPr>
            <w:pStyle w:val="TOC1"/>
            <w:rPr>
              <w:rFonts w:asciiTheme="minorHAnsi" w:eastAsiaTheme="minorEastAsia" w:hAnsiTheme="minorHAnsi"/>
              <w:b w:val="0"/>
              <w:bCs w:val="0"/>
              <w:kern w:val="2"/>
              <w:szCs w:val="24"/>
              <w:lang w:eastAsia="zh-TW"/>
              <w14:ligatures w14:val="standardContextual"/>
            </w:rPr>
          </w:pPr>
          <w:hyperlink w:anchor="_Toc227788473" w:history="1">
            <w:r w:rsidRPr="0051667C">
              <w:rPr>
                <w:rStyle w:val="Hyperlink"/>
              </w:rPr>
              <w:t>5. Investment Appraisal and Capital Budgeting</w:t>
            </w:r>
            <w:r>
              <w:rPr>
                <w:webHidden/>
              </w:rPr>
              <w:tab/>
            </w:r>
            <w:r>
              <w:rPr>
                <w:webHidden/>
              </w:rPr>
              <w:fldChar w:fldCharType="begin"/>
            </w:r>
            <w:r>
              <w:rPr>
                <w:webHidden/>
              </w:rPr>
              <w:instrText xml:space="preserve"> PAGEREF _Toc227788473 \h </w:instrText>
            </w:r>
            <w:r>
              <w:rPr>
                <w:webHidden/>
              </w:rPr>
            </w:r>
            <w:r>
              <w:rPr>
                <w:webHidden/>
              </w:rPr>
              <w:fldChar w:fldCharType="separate"/>
            </w:r>
            <w:r>
              <w:rPr>
                <w:webHidden/>
              </w:rPr>
              <w:t>20</w:t>
            </w:r>
            <w:r>
              <w:rPr>
                <w:webHidden/>
              </w:rPr>
              <w:fldChar w:fldCharType="end"/>
            </w:r>
          </w:hyperlink>
        </w:p>
        <w:p w14:paraId="7B4C3012" w14:textId="77777777" w:rsidR="00195478" w:rsidRDefault="00195478">
          <w:pPr>
            <w:pStyle w:val="TOC2"/>
            <w:tabs>
              <w:tab w:val="right" w:leader="dot" w:pos="9830"/>
            </w:tabs>
            <w:rPr>
              <w:rFonts w:asciiTheme="minorHAnsi" w:eastAsiaTheme="minorEastAsia" w:hAnsiTheme="minorHAnsi" w:cstheme="minorBidi"/>
              <w:noProof/>
              <w:kern w:val="2"/>
              <w:lang/>
              <w14:ligatures w14:val="standardContextual"/>
            </w:rPr>
          </w:pPr>
          <w:hyperlink w:anchor="_Toc227788474" w:history="1">
            <w:r w:rsidRPr="0051667C">
              <w:rPr>
                <w:rStyle w:val="Hyperlink"/>
                <w:rFonts w:asciiTheme="minorBidi" w:hAnsiTheme="minorBidi"/>
                <w:noProof/>
              </w:rPr>
              <w:t>5.1 Introduction</w:t>
            </w:r>
            <w:r>
              <w:rPr>
                <w:noProof/>
                <w:webHidden/>
              </w:rPr>
              <w:tab/>
            </w:r>
            <w:r>
              <w:rPr>
                <w:noProof/>
                <w:webHidden/>
              </w:rPr>
              <w:fldChar w:fldCharType="begin"/>
            </w:r>
            <w:r>
              <w:rPr>
                <w:noProof/>
                <w:webHidden/>
              </w:rPr>
              <w:instrText xml:space="preserve"> PAGEREF _Toc227788474 \h </w:instrText>
            </w:r>
            <w:r>
              <w:rPr>
                <w:noProof/>
                <w:webHidden/>
              </w:rPr>
            </w:r>
            <w:r>
              <w:rPr>
                <w:noProof/>
                <w:webHidden/>
              </w:rPr>
              <w:fldChar w:fldCharType="separate"/>
            </w:r>
            <w:r>
              <w:rPr>
                <w:noProof/>
                <w:webHidden/>
              </w:rPr>
              <w:t>20</w:t>
            </w:r>
            <w:r>
              <w:rPr>
                <w:noProof/>
                <w:webHidden/>
              </w:rPr>
              <w:fldChar w:fldCharType="end"/>
            </w:r>
          </w:hyperlink>
        </w:p>
        <w:p w14:paraId="34DD0CCA" w14:textId="77777777" w:rsidR="00195478" w:rsidRDefault="00195478">
          <w:pPr>
            <w:pStyle w:val="TOC2"/>
            <w:tabs>
              <w:tab w:val="right" w:leader="dot" w:pos="9830"/>
            </w:tabs>
            <w:rPr>
              <w:rFonts w:asciiTheme="minorHAnsi" w:eastAsiaTheme="minorEastAsia" w:hAnsiTheme="minorHAnsi" w:cstheme="minorBidi"/>
              <w:noProof/>
              <w:kern w:val="2"/>
              <w:lang/>
              <w14:ligatures w14:val="standardContextual"/>
            </w:rPr>
          </w:pPr>
          <w:hyperlink w:anchor="_Toc227788475" w:history="1">
            <w:r w:rsidRPr="0051667C">
              <w:rPr>
                <w:rStyle w:val="Hyperlink"/>
                <w:rFonts w:asciiTheme="minorBidi" w:hAnsiTheme="minorBidi"/>
                <w:noProof/>
              </w:rPr>
              <w:t>5.2 Payback Period</w:t>
            </w:r>
            <w:r>
              <w:rPr>
                <w:noProof/>
                <w:webHidden/>
              </w:rPr>
              <w:tab/>
            </w:r>
            <w:r>
              <w:rPr>
                <w:noProof/>
                <w:webHidden/>
              </w:rPr>
              <w:fldChar w:fldCharType="begin"/>
            </w:r>
            <w:r>
              <w:rPr>
                <w:noProof/>
                <w:webHidden/>
              </w:rPr>
              <w:instrText xml:space="preserve"> PAGEREF _Toc227788475 \h </w:instrText>
            </w:r>
            <w:r>
              <w:rPr>
                <w:noProof/>
                <w:webHidden/>
              </w:rPr>
            </w:r>
            <w:r>
              <w:rPr>
                <w:noProof/>
                <w:webHidden/>
              </w:rPr>
              <w:fldChar w:fldCharType="separate"/>
            </w:r>
            <w:r>
              <w:rPr>
                <w:noProof/>
                <w:webHidden/>
              </w:rPr>
              <w:t>21</w:t>
            </w:r>
            <w:r>
              <w:rPr>
                <w:noProof/>
                <w:webHidden/>
              </w:rPr>
              <w:fldChar w:fldCharType="end"/>
            </w:r>
          </w:hyperlink>
        </w:p>
        <w:p w14:paraId="1F406A97" w14:textId="77777777" w:rsidR="00195478" w:rsidRDefault="00195478">
          <w:pPr>
            <w:pStyle w:val="TOC2"/>
            <w:tabs>
              <w:tab w:val="right" w:leader="dot" w:pos="9830"/>
            </w:tabs>
            <w:rPr>
              <w:rFonts w:asciiTheme="minorHAnsi" w:eastAsiaTheme="minorEastAsia" w:hAnsiTheme="minorHAnsi" w:cstheme="minorBidi"/>
              <w:noProof/>
              <w:kern w:val="2"/>
              <w:lang/>
              <w14:ligatures w14:val="standardContextual"/>
            </w:rPr>
          </w:pPr>
          <w:hyperlink w:anchor="_Toc227788476" w:history="1">
            <w:r w:rsidRPr="0051667C">
              <w:rPr>
                <w:rStyle w:val="Hyperlink"/>
                <w:rFonts w:asciiTheme="minorBidi" w:hAnsiTheme="minorBidi"/>
                <w:noProof/>
              </w:rPr>
              <w:t>5.3 Accounting Rate of Return</w:t>
            </w:r>
            <w:r>
              <w:rPr>
                <w:noProof/>
                <w:webHidden/>
              </w:rPr>
              <w:tab/>
            </w:r>
            <w:r>
              <w:rPr>
                <w:noProof/>
                <w:webHidden/>
              </w:rPr>
              <w:fldChar w:fldCharType="begin"/>
            </w:r>
            <w:r>
              <w:rPr>
                <w:noProof/>
                <w:webHidden/>
              </w:rPr>
              <w:instrText xml:space="preserve"> PAGEREF _Toc227788476 \h </w:instrText>
            </w:r>
            <w:r>
              <w:rPr>
                <w:noProof/>
                <w:webHidden/>
              </w:rPr>
            </w:r>
            <w:r>
              <w:rPr>
                <w:noProof/>
                <w:webHidden/>
              </w:rPr>
              <w:fldChar w:fldCharType="separate"/>
            </w:r>
            <w:r>
              <w:rPr>
                <w:noProof/>
                <w:webHidden/>
              </w:rPr>
              <w:t>22</w:t>
            </w:r>
            <w:r>
              <w:rPr>
                <w:noProof/>
                <w:webHidden/>
              </w:rPr>
              <w:fldChar w:fldCharType="end"/>
            </w:r>
          </w:hyperlink>
        </w:p>
        <w:p w14:paraId="0545E818" w14:textId="77777777" w:rsidR="00195478" w:rsidRDefault="00195478">
          <w:pPr>
            <w:pStyle w:val="TOC2"/>
            <w:tabs>
              <w:tab w:val="right" w:leader="dot" w:pos="9830"/>
            </w:tabs>
            <w:rPr>
              <w:rFonts w:asciiTheme="minorHAnsi" w:eastAsiaTheme="minorEastAsia" w:hAnsiTheme="minorHAnsi" w:cstheme="minorBidi"/>
              <w:noProof/>
              <w:kern w:val="2"/>
              <w:lang/>
              <w14:ligatures w14:val="standardContextual"/>
            </w:rPr>
          </w:pPr>
          <w:hyperlink w:anchor="_Toc227788477" w:history="1">
            <w:r w:rsidRPr="0051667C">
              <w:rPr>
                <w:rStyle w:val="Hyperlink"/>
                <w:rFonts w:asciiTheme="minorBidi" w:hAnsiTheme="minorBidi"/>
                <w:noProof/>
              </w:rPr>
              <w:t>5.4 Net Present Value</w:t>
            </w:r>
            <w:r>
              <w:rPr>
                <w:noProof/>
                <w:webHidden/>
              </w:rPr>
              <w:tab/>
            </w:r>
            <w:r>
              <w:rPr>
                <w:noProof/>
                <w:webHidden/>
              </w:rPr>
              <w:fldChar w:fldCharType="begin"/>
            </w:r>
            <w:r>
              <w:rPr>
                <w:noProof/>
                <w:webHidden/>
              </w:rPr>
              <w:instrText xml:space="preserve"> PAGEREF _Toc227788477 \h </w:instrText>
            </w:r>
            <w:r>
              <w:rPr>
                <w:noProof/>
                <w:webHidden/>
              </w:rPr>
            </w:r>
            <w:r>
              <w:rPr>
                <w:noProof/>
                <w:webHidden/>
              </w:rPr>
              <w:fldChar w:fldCharType="separate"/>
            </w:r>
            <w:r>
              <w:rPr>
                <w:noProof/>
                <w:webHidden/>
              </w:rPr>
              <w:t>22</w:t>
            </w:r>
            <w:r>
              <w:rPr>
                <w:noProof/>
                <w:webHidden/>
              </w:rPr>
              <w:fldChar w:fldCharType="end"/>
            </w:r>
          </w:hyperlink>
        </w:p>
        <w:p w14:paraId="65E58DE6" w14:textId="77777777" w:rsidR="00195478" w:rsidRDefault="00195478">
          <w:pPr>
            <w:pStyle w:val="TOC2"/>
            <w:tabs>
              <w:tab w:val="right" w:leader="dot" w:pos="9830"/>
            </w:tabs>
            <w:rPr>
              <w:rFonts w:asciiTheme="minorHAnsi" w:eastAsiaTheme="minorEastAsia" w:hAnsiTheme="minorHAnsi" w:cstheme="minorBidi"/>
              <w:noProof/>
              <w:kern w:val="2"/>
              <w:lang/>
              <w14:ligatures w14:val="standardContextual"/>
            </w:rPr>
          </w:pPr>
          <w:hyperlink w:anchor="_Toc227788478" w:history="1">
            <w:r w:rsidRPr="0051667C">
              <w:rPr>
                <w:rStyle w:val="Hyperlink"/>
                <w:rFonts w:asciiTheme="minorBidi" w:hAnsiTheme="minorBidi"/>
                <w:noProof/>
              </w:rPr>
              <w:t>5.5 Internal Rate of Return</w:t>
            </w:r>
            <w:r>
              <w:rPr>
                <w:noProof/>
                <w:webHidden/>
              </w:rPr>
              <w:tab/>
            </w:r>
            <w:r>
              <w:rPr>
                <w:noProof/>
                <w:webHidden/>
              </w:rPr>
              <w:fldChar w:fldCharType="begin"/>
            </w:r>
            <w:r>
              <w:rPr>
                <w:noProof/>
                <w:webHidden/>
              </w:rPr>
              <w:instrText xml:space="preserve"> PAGEREF _Toc227788478 \h </w:instrText>
            </w:r>
            <w:r>
              <w:rPr>
                <w:noProof/>
                <w:webHidden/>
              </w:rPr>
            </w:r>
            <w:r>
              <w:rPr>
                <w:noProof/>
                <w:webHidden/>
              </w:rPr>
              <w:fldChar w:fldCharType="separate"/>
            </w:r>
            <w:r>
              <w:rPr>
                <w:noProof/>
                <w:webHidden/>
              </w:rPr>
              <w:t>23</w:t>
            </w:r>
            <w:r>
              <w:rPr>
                <w:noProof/>
                <w:webHidden/>
              </w:rPr>
              <w:fldChar w:fldCharType="end"/>
            </w:r>
          </w:hyperlink>
        </w:p>
        <w:p w14:paraId="32819EB3" w14:textId="77777777" w:rsidR="00195478" w:rsidRDefault="00195478">
          <w:pPr>
            <w:pStyle w:val="TOC2"/>
            <w:tabs>
              <w:tab w:val="right" w:leader="dot" w:pos="9830"/>
            </w:tabs>
            <w:rPr>
              <w:rFonts w:asciiTheme="minorHAnsi" w:eastAsiaTheme="minorEastAsia" w:hAnsiTheme="minorHAnsi" w:cstheme="minorBidi"/>
              <w:noProof/>
              <w:kern w:val="2"/>
              <w:lang/>
              <w14:ligatures w14:val="standardContextual"/>
            </w:rPr>
          </w:pPr>
          <w:hyperlink w:anchor="_Toc227788479" w:history="1">
            <w:r w:rsidRPr="0051667C">
              <w:rPr>
                <w:rStyle w:val="Hyperlink"/>
                <w:rFonts w:asciiTheme="minorBidi" w:hAnsiTheme="minorBidi"/>
                <w:noProof/>
              </w:rPr>
              <w:t>5.6 Profitability Index</w:t>
            </w:r>
            <w:r>
              <w:rPr>
                <w:noProof/>
                <w:webHidden/>
              </w:rPr>
              <w:tab/>
            </w:r>
            <w:r>
              <w:rPr>
                <w:noProof/>
                <w:webHidden/>
              </w:rPr>
              <w:fldChar w:fldCharType="begin"/>
            </w:r>
            <w:r>
              <w:rPr>
                <w:noProof/>
                <w:webHidden/>
              </w:rPr>
              <w:instrText xml:space="preserve"> PAGEREF _Toc227788479 \h </w:instrText>
            </w:r>
            <w:r>
              <w:rPr>
                <w:noProof/>
                <w:webHidden/>
              </w:rPr>
            </w:r>
            <w:r>
              <w:rPr>
                <w:noProof/>
                <w:webHidden/>
              </w:rPr>
              <w:fldChar w:fldCharType="separate"/>
            </w:r>
            <w:r>
              <w:rPr>
                <w:noProof/>
                <w:webHidden/>
              </w:rPr>
              <w:t>23</w:t>
            </w:r>
            <w:r>
              <w:rPr>
                <w:noProof/>
                <w:webHidden/>
              </w:rPr>
              <w:fldChar w:fldCharType="end"/>
            </w:r>
          </w:hyperlink>
        </w:p>
        <w:p w14:paraId="31B21351" w14:textId="77777777" w:rsidR="00195478" w:rsidRDefault="00195478">
          <w:pPr>
            <w:pStyle w:val="TOC2"/>
            <w:tabs>
              <w:tab w:val="right" w:leader="dot" w:pos="9830"/>
            </w:tabs>
            <w:rPr>
              <w:rFonts w:asciiTheme="minorHAnsi" w:eastAsiaTheme="minorEastAsia" w:hAnsiTheme="minorHAnsi" w:cstheme="minorBidi"/>
              <w:noProof/>
              <w:kern w:val="2"/>
              <w:lang/>
              <w14:ligatures w14:val="standardContextual"/>
            </w:rPr>
          </w:pPr>
          <w:hyperlink w:anchor="_Toc227788480" w:history="1">
            <w:r w:rsidRPr="0051667C">
              <w:rPr>
                <w:rStyle w:val="Hyperlink"/>
                <w:rFonts w:asciiTheme="minorBidi" w:hAnsiTheme="minorBidi"/>
                <w:noProof/>
              </w:rPr>
              <w:t>5.7 Project Comparison and Recommendation</w:t>
            </w:r>
            <w:r>
              <w:rPr>
                <w:noProof/>
                <w:webHidden/>
              </w:rPr>
              <w:tab/>
            </w:r>
            <w:r>
              <w:rPr>
                <w:noProof/>
                <w:webHidden/>
              </w:rPr>
              <w:fldChar w:fldCharType="begin"/>
            </w:r>
            <w:r>
              <w:rPr>
                <w:noProof/>
                <w:webHidden/>
              </w:rPr>
              <w:instrText xml:space="preserve"> PAGEREF _Toc227788480 \h </w:instrText>
            </w:r>
            <w:r>
              <w:rPr>
                <w:noProof/>
                <w:webHidden/>
              </w:rPr>
            </w:r>
            <w:r>
              <w:rPr>
                <w:noProof/>
                <w:webHidden/>
              </w:rPr>
              <w:fldChar w:fldCharType="separate"/>
            </w:r>
            <w:r>
              <w:rPr>
                <w:noProof/>
                <w:webHidden/>
              </w:rPr>
              <w:t>24</w:t>
            </w:r>
            <w:r>
              <w:rPr>
                <w:noProof/>
                <w:webHidden/>
              </w:rPr>
              <w:fldChar w:fldCharType="end"/>
            </w:r>
          </w:hyperlink>
        </w:p>
        <w:p w14:paraId="179BDF8C" w14:textId="77777777" w:rsidR="00195478" w:rsidRDefault="00195478">
          <w:pPr>
            <w:pStyle w:val="TOC2"/>
            <w:tabs>
              <w:tab w:val="right" w:leader="dot" w:pos="9830"/>
            </w:tabs>
            <w:rPr>
              <w:rFonts w:asciiTheme="minorHAnsi" w:eastAsiaTheme="minorEastAsia" w:hAnsiTheme="minorHAnsi" w:cstheme="minorBidi"/>
              <w:noProof/>
              <w:kern w:val="2"/>
              <w:lang/>
              <w14:ligatures w14:val="standardContextual"/>
            </w:rPr>
          </w:pPr>
          <w:hyperlink w:anchor="_Toc227788481" w:history="1">
            <w:r w:rsidRPr="0051667C">
              <w:rPr>
                <w:rStyle w:val="Hyperlink"/>
                <w:rFonts w:asciiTheme="minorBidi" w:hAnsiTheme="minorBidi"/>
                <w:noProof/>
              </w:rPr>
              <w:t>5.8 Capital Rationing Decision</w:t>
            </w:r>
            <w:r>
              <w:rPr>
                <w:noProof/>
                <w:webHidden/>
              </w:rPr>
              <w:tab/>
            </w:r>
            <w:r>
              <w:rPr>
                <w:noProof/>
                <w:webHidden/>
              </w:rPr>
              <w:fldChar w:fldCharType="begin"/>
            </w:r>
            <w:r>
              <w:rPr>
                <w:noProof/>
                <w:webHidden/>
              </w:rPr>
              <w:instrText xml:space="preserve"> PAGEREF _Toc227788481 \h </w:instrText>
            </w:r>
            <w:r>
              <w:rPr>
                <w:noProof/>
                <w:webHidden/>
              </w:rPr>
            </w:r>
            <w:r>
              <w:rPr>
                <w:noProof/>
                <w:webHidden/>
              </w:rPr>
              <w:fldChar w:fldCharType="separate"/>
            </w:r>
            <w:r>
              <w:rPr>
                <w:noProof/>
                <w:webHidden/>
              </w:rPr>
              <w:t>25</w:t>
            </w:r>
            <w:r>
              <w:rPr>
                <w:noProof/>
                <w:webHidden/>
              </w:rPr>
              <w:fldChar w:fldCharType="end"/>
            </w:r>
          </w:hyperlink>
        </w:p>
        <w:p w14:paraId="51DBBE86" w14:textId="77777777" w:rsidR="00195478" w:rsidRDefault="00195478">
          <w:pPr>
            <w:pStyle w:val="TOC1"/>
            <w:rPr>
              <w:rFonts w:asciiTheme="minorHAnsi" w:eastAsiaTheme="minorEastAsia" w:hAnsiTheme="minorHAnsi"/>
              <w:b w:val="0"/>
              <w:bCs w:val="0"/>
              <w:kern w:val="2"/>
              <w:szCs w:val="24"/>
              <w:lang w:eastAsia="zh-TW"/>
              <w14:ligatures w14:val="standardContextual"/>
            </w:rPr>
          </w:pPr>
          <w:hyperlink w:anchor="_Toc227788482" w:history="1">
            <w:r w:rsidRPr="0051667C">
              <w:rPr>
                <w:rStyle w:val="Hyperlink"/>
              </w:rPr>
              <w:t>6. Conclusion</w:t>
            </w:r>
            <w:r>
              <w:rPr>
                <w:webHidden/>
              </w:rPr>
              <w:tab/>
            </w:r>
            <w:r>
              <w:rPr>
                <w:webHidden/>
              </w:rPr>
              <w:fldChar w:fldCharType="begin"/>
            </w:r>
            <w:r>
              <w:rPr>
                <w:webHidden/>
              </w:rPr>
              <w:instrText xml:space="preserve"> PAGEREF _Toc227788482 \h </w:instrText>
            </w:r>
            <w:r>
              <w:rPr>
                <w:webHidden/>
              </w:rPr>
            </w:r>
            <w:r>
              <w:rPr>
                <w:webHidden/>
              </w:rPr>
              <w:fldChar w:fldCharType="separate"/>
            </w:r>
            <w:r>
              <w:rPr>
                <w:webHidden/>
              </w:rPr>
              <w:t>26</w:t>
            </w:r>
            <w:r>
              <w:rPr>
                <w:webHidden/>
              </w:rPr>
              <w:fldChar w:fldCharType="end"/>
            </w:r>
          </w:hyperlink>
        </w:p>
        <w:p w14:paraId="7628EB26" w14:textId="77777777" w:rsidR="00195478" w:rsidRDefault="00195478">
          <w:pPr>
            <w:pStyle w:val="TOC1"/>
            <w:rPr>
              <w:rFonts w:asciiTheme="minorHAnsi" w:eastAsiaTheme="minorEastAsia" w:hAnsiTheme="minorHAnsi"/>
              <w:b w:val="0"/>
              <w:bCs w:val="0"/>
              <w:kern w:val="2"/>
              <w:szCs w:val="24"/>
              <w:lang w:eastAsia="zh-TW"/>
              <w14:ligatures w14:val="standardContextual"/>
            </w:rPr>
          </w:pPr>
          <w:hyperlink w:anchor="_Toc227788483" w:history="1">
            <w:r w:rsidRPr="0051667C">
              <w:rPr>
                <w:rStyle w:val="Hyperlink"/>
              </w:rPr>
              <w:t>References</w:t>
            </w:r>
            <w:r>
              <w:rPr>
                <w:webHidden/>
              </w:rPr>
              <w:tab/>
            </w:r>
            <w:r>
              <w:rPr>
                <w:webHidden/>
              </w:rPr>
              <w:fldChar w:fldCharType="begin"/>
            </w:r>
            <w:r>
              <w:rPr>
                <w:webHidden/>
              </w:rPr>
              <w:instrText xml:space="preserve"> PAGEREF _Toc227788483 \h </w:instrText>
            </w:r>
            <w:r>
              <w:rPr>
                <w:webHidden/>
              </w:rPr>
            </w:r>
            <w:r>
              <w:rPr>
                <w:webHidden/>
              </w:rPr>
              <w:fldChar w:fldCharType="separate"/>
            </w:r>
            <w:r>
              <w:rPr>
                <w:webHidden/>
              </w:rPr>
              <w:t>27</w:t>
            </w:r>
            <w:r>
              <w:rPr>
                <w:webHidden/>
              </w:rPr>
              <w:fldChar w:fldCharType="end"/>
            </w:r>
          </w:hyperlink>
        </w:p>
        <w:p w14:paraId="1AD21428" w14:textId="77777777" w:rsidR="00195478" w:rsidRDefault="00195478">
          <w:pPr>
            <w:pStyle w:val="TOC1"/>
            <w:rPr>
              <w:rFonts w:asciiTheme="minorHAnsi" w:eastAsiaTheme="minorEastAsia" w:hAnsiTheme="minorHAnsi"/>
              <w:b w:val="0"/>
              <w:bCs w:val="0"/>
              <w:kern w:val="2"/>
              <w:szCs w:val="24"/>
              <w:lang w:eastAsia="zh-TW"/>
              <w14:ligatures w14:val="standardContextual"/>
            </w:rPr>
          </w:pPr>
          <w:hyperlink w:anchor="_Toc227788484" w:history="1">
            <w:r w:rsidRPr="0051667C">
              <w:rPr>
                <w:rStyle w:val="Hyperlink"/>
              </w:rPr>
              <w:t>Appendices</w:t>
            </w:r>
            <w:r>
              <w:rPr>
                <w:webHidden/>
              </w:rPr>
              <w:tab/>
            </w:r>
            <w:r>
              <w:rPr>
                <w:webHidden/>
              </w:rPr>
              <w:fldChar w:fldCharType="begin"/>
            </w:r>
            <w:r>
              <w:rPr>
                <w:webHidden/>
              </w:rPr>
              <w:instrText xml:space="preserve"> PAGEREF _Toc227788484 \h </w:instrText>
            </w:r>
            <w:r>
              <w:rPr>
                <w:webHidden/>
              </w:rPr>
            </w:r>
            <w:r>
              <w:rPr>
                <w:webHidden/>
              </w:rPr>
              <w:fldChar w:fldCharType="separate"/>
            </w:r>
            <w:r>
              <w:rPr>
                <w:webHidden/>
              </w:rPr>
              <w:t>31</w:t>
            </w:r>
            <w:r>
              <w:rPr>
                <w:webHidden/>
              </w:rPr>
              <w:fldChar w:fldCharType="end"/>
            </w:r>
          </w:hyperlink>
        </w:p>
        <w:p w14:paraId="085C060C" w14:textId="77777777" w:rsidR="00195478" w:rsidRDefault="00195478">
          <w:pPr>
            <w:pStyle w:val="TOC2"/>
            <w:tabs>
              <w:tab w:val="right" w:leader="dot" w:pos="9830"/>
            </w:tabs>
            <w:rPr>
              <w:rFonts w:asciiTheme="minorHAnsi" w:eastAsiaTheme="minorEastAsia" w:hAnsiTheme="minorHAnsi" w:cstheme="minorBidi"/>
              <w:noProof/>
              <w:kern w:val="2"/>
              <w:lang/>
              <w14:ligatures w14:val="standardContextual"/>
            </w:rPr>
          </w:pPr>
          <w:hyperlink w:anchor="_Toc227788485" w:history="1">
            <w:r w:rsidRPr="0051667C">
              <w:rPr>
                <w:rStyle w:val="Hyperlink"/>
                <w:rFonts w:asciiTheme="minorBidi" w:hAnsiTheme="minorBidi"/>
                <w:noProof/>
              </w:rPr>
              <w:t>Appendix A: Full Ratio Calculations with Formulas (2021-2025)</w:t>
            </w:r>
            <w:r>
              <w:rPr>
                <w:noProof/>
                <w:webHidden/>
              </w:rPr>
              <w:tab/>
            </w:r>
            <w:r>
              <w:rPr>
                <w:noProof/>
                <w:webHidden/>
              </w:rPr>
              <w:fldChar w:fldCharType="begin"/>
            </w:r>
            <w:r>
              <w:rPr>
                <w:noProof/>
                <w:webHidden/>
              </w:rPr>
              <w:instrText xml:space="preserve"> PAGEREF _Toc227788485 \h </w:instrText>
            </w:r>
            <w:r>
              <w:rPr>
                <w:noProof/>
                <w:webHidden/>
              </w:rPr>
            </w:r>
            <w:r>
              <w:rPr>
                <w:noProof/>
                <w:webHidden/>
              </w:rPr>
              <w:fldChar w:fldCharType="separate"/>
            </w:r>
            <w:r>
              <w:rPr>
                <w:noProof/>
                <w:webHidden/>
              </w:rPr>
              <w:t>31</w:t>
            </w:r>
            <w:r>
              <w:rPr>
                <w:noProof/>
                <w:webHidden/>
              </w:rPr>
              <w:fldChar w:fldCharType="end"/>
            </w:r>
          </w:hyperlink>
        </w:p>
        <w:p w14:paraId="4D60A0B9" w14:textId="77777777" w:rsidR="00195478" w:rsidRDefault="00195478">
          <w:pPr>
            <w:pStyle w:val="TOC2"/>
            <w:tabs>
              <w:tab w:val="right" w:leader="dot" w:pos="9830"/>
            </w:tabs>
            <w:rPr>
              <w:rFonts w:asciiTheme="minorHAnsi" w:eastAsiaTheme="minorEastAsia" w:hAnsiTheme="minorHAnsi" w:cstheme="minorBidi"/>
              <w:noProof/>
              <w:kern w:val="2"/>
              <w:lang/>
              <w14:ligatures w14:val="standardContextual"/>
            </w:rPr>
          </w:pPr>
          <w:hyperlink w:anchor="_Toc227788486" w:history="1">
            <w:r w:rsidRPr="0051667C">
              <w:rPr>
                <w:rStyle w:val="Hyperlink"/>
                <w:noProof/>
              </w:rPr>
              <w:t>Appendix B: Investment descisions workings in Excel</w:t>
            </w:r>
            <w:r>
              <w:rPr>
                <w:noProof/>
                <w:webHidden/>
              </w:rPr>
              <w:tab/>
            </w:r>
            <w:r>
              <w:rPr>
                <w:noProof/>
                <w:webHidden/>
              </w:rPr>
              <w:fldChar w:fldCharType="begin"/>
            </w:r>
            <w:r>
              <w:rPr>
                <w:noProof/>
                <w:webHidden/>
              </w:rPr>
              <w:instrText xml:space="preserve"> PAGEREF _Toc227788486 \h </w:instrText>
            </w:r>
            <w:r>
              <w:rPr>
                <w:noProof/>
                <w:webHidden/>
              </w:rPr>
            </w:r>
            <w:r>
              <w:rPr>
                <w:noProof/>
                <w:webHidden/>
              </w:rPr>
              <w:fldChar w:fldCharType="separate"/>
            </w:r>
            <w:r>
              <w:rPr>
                <w:noProof/>
                <w:webHidden/>
              </w:rPr>
              <w:t>34</w:t>
            </w:r>
            <w:r>
              <w:rPr>
                <w:noProof/>
                <w:webHidden/>
              </w:rPr>
              <w:fldChar w:fldCharType="end"/>
            </w:r>
          </w:hyperlink>
        </w:p>
        <w:p w14:paraId="0F02B30D" w14:textId="77777777" w:rsidR="008F61B8" w:rsidRPr="00A0292D" w:rsidRDefault="008F61B8" w:rsidP="008F61B8">
          <w:pPr>
            <w:spacing w:line="360" w:lineRule="auto"/>
            <w:rPr>
              <w:rFonts w:asciiTheme="minorBidi" w:hAnsiTheme="minorBidi" w:cstheme="minorBidi"/>
              <w:sz w:val="24"/>
              <w:szCs w:val="24"/>
            </w:rPr>
          </w:pPr>
          <w:r w:rsidRPr="00A0292D">
            <w:rPr>
              <w:rFonts w:asciiTheme="minorBidi" w:hAnsiTheme="minorBidi" w:cstheme="minorBidi"/>
              <w:b/>
              <w:bCs/>
              <w:noProof/>
              <w:sz w:val="16"/>
              <w:szCs w:val="16"/>
            </w:rPr>
            <w:fldChar w:fldCharType="end"/>
          </w:r>
        </w:p>
      </w:sdtContent>
    </w:sdt>
    <w:p w14:paraId="759BA507" w14:textId="77777777" w:rsidR="008F61B8" w:rsidRPr="00A0292D" w:rsidRDefault="008F61B8" w:rsidP="008F61B8">
      <w:pPr>
        <w:spacing w:line="360" w:lineRule="auto"/>
        <w:rPr>
          <w:rFonts w:asciiTheme="minorBidi" w:hAnsiTheme="minorBidi" w:cstheme="minorBidi"/>
          <w:sz w:val="24"/>
          <w:szCs w:val="24"/>
        </w:rPr>
      </w:pPr>
    </w:p>
    <w:p w14:paraId="6F16FD4B"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sz w:val="28"/>
          <w:szCs w:val="28"/>
        </w:rPr>
        <w:br w:type="page"/>
      </w:r>
    </w:p>
    <w:p w14:paraId="60001AE8" w14:textId="77777777" w:rsidR="004F56BC" w:rsidRPr="00A0292D" w:rsidRDefault="000F1E9B" w:rsidP="00566FB5">
      <w:pPr>
        <w:pStyle w:val="Heading1"/>
        <w:rPr>
          <w:rFonts w:asciiTheme="minorBidi" w:hAnsiTheme="minorBidi" w:cstheme="minorBidi"/>
        </w:rPr>
      </w:pPr>
      <w:bookmarkStart w:id="3" w:name="_Toc227788450"/>
      <w:r w:rsidRPr="00A0292D">
        <w:rPr>
          <w:rFonts w:asciiTheme="minorBidi" w:hAnsiTheme="minorBidi" w:cstheme="minorBidi"/>
        </w:rPr>
        <w:t>1. Introduction</w:t>
      </w:r>
      <w:bookmarkEnd w:id="3"/>
    </w:p>
    <w:p w14:paraId="7F152F70" w14:textId="77777777" w:rsidR="00335F39" w:rsidRPr="00A0292D" w:rsidRDefault="00335F39" w:rsidP="00335F39">
      <w:pPr>
        <w:spacing w:before="60" w:after="100" w:line="360" w:lineRule="auto"/>
        <w:jc w:val="both"/>
        <w:rPr>
          <w:rFonts w:asciiTheme="minorBidi" w:hAnsiTheme="minorBidi" w:cstheme="minorBidi"/>
          <w:sz w:val="24"/>
          <w:szCs w:val="24"/>
        </w:rPr>
      </w:pPr>
      <w:r w:rsidRPr="00A0292D">
        <w:rPr>
          <w:rFonts w:asciiTheme="minorBidi" w:hAnsiTheme="minorBidi" w:cstheme="minorBidi"/>
          <w:sz w:val="24"/>
          <w:szCs w:val="24"/>
        </w:rPr>
        <w:t>Toyota Motor Corporation is still among the most successful automotive groups in the world. It serves large markets around the world, has a workforce of over 383,000 employees, and competes in an industry which has now become electrified, digitalized in manufacturing, more regulated and reporting on sustainability ( Toyota Motor Corporation, 2025). Toyota has developed its current strength based on scale, production power and hybrid leadership. However, the current global transition to battery electric mobility exerts higher demands on investment choices, the working capital management, and financial organization (International Energy Agency, 2025; European Environment Agency, 2024).</w:t>
      </w:r>
    </w:p>
    <w:p w14:paraId="6AC9D0E0" w14:textId="77777777" w:rsidR="004F56BC" w:rsidRPr="00A0292D" w:rsidRDefault="00335F39" w:rsidP="00335F39">
      <w:pPr>
        <w:spacing w:before="60" w:after="100" w:line="360" w:lineRule="auto"/>
        <w:jc w:val="both"/>
        <w:rPr>
          <w:rFonts w:asciiTheme="minorBidi" w:hAnsiTheme="minorBidi" w:cstheme="minorBidi"/>
          <w:sz w:val="32"/>
          <w:szCs w:val="32"/>
        </w:rPr>
      </w:pPr>
      <w:r w:rsidRPr="00A0292D">
        <w:rPr>
          <w:rFonts w:asciiTheme="minorBidi" w:hAnsiTheme="minorBidi" w:cstheme="minorBidi"/>
          <w:sz w:val="24"/>
          <w:szCs w:val="24"/>
        </w:rPr>
        <w:t>This report is a detailed financial report that has been prepared based on the view of the Chief Financial Officer of Toyota. Section 1 explores financial performance (ratio analysis) in five years. Section 2 evaluates the management of working capital. Section 3 suggests a financial restructuring strategy. Section 4 reviews three capital investment projects based on various evaluation techniques</w:t>
      </w:r>
      <w:r w:rsidRPr="00A0292D">
        <w:rPr>
          <w:rFonts w:asciiTheme="minorBidi" w:hAnsiTheme="minorBidi" w:cstheme="minorBidi"/>
          <w:sz w:val="28"/>
          <w:szCs w:val="28"/>
        </w:rPr>
        <w:t xml:space="preserve">. </w:t>
      </w:r>
    </w:p>
    <w:p w14:paraId="5B5EFE82" w14:textId="77777777" w:rsidR="004F56BC" w:rsidRPr="00A0292D" w:rsidRDefault="000F1E9B" w:rsidP="00566FB5">
      <w:pPr>
        <w:pStyle w:val="Heading1"/>
        <w:rPr>
          <w:rFonts w:asciiTheme="minorBidi" w:hAnsiTheme="minorBidi" w:cstheme="minorBidi"/>
        </w:rPr>
      </w:pPr>
      <w:bookmarkStart w:id="4" w:name="_Toc227788451"/>
      <w:r w:rsidRPr="00A0292D">
        <w:rPr>
          <w:rFonts w:asciiTheme="minorBidi" w:hAnsiTheme="minorBidi" w:cstheme="minorBidi"/>
        </w:rPr>
        <w:t>2. Financial Health Check</w:t>
      </w:r>
      <w:bookmarkEnd w:id="4"/>
    </w:p>
    <w:p w14:paraId="6656B909" w14:textId="77777777" w:rsidR="004F56BC" w:rsidRPr="00A0292D" w:rsidRDefault="000F1E9B" w:rsidP="00566FB5">
      <w:pPr>
        <w:pStyle w:val="Heading2"/>
        <w:rPr>
          <w:rFonts w:asciiTheme="minorBidi" w:hAnsiTheme="minorBidi" w:cstheme="minorBidi"/>
        </w:rPr>
      </w:pPr>
      <w:bookmarkStart w:id="5" w:name="_Toc227788452"/>
      <w:r w:rsidRPr="00A0292D">
        <w:rPr>
          <w:rFonts w:asciiTheme="minorBidi" w:hAnsiTheme="minorBidi" w:cstheme="minorBidi"/>
        </w:rPr>
        <w:t>2.1 Overview of Financial Performance</w:t>
      </w:r>
      <w:bookmarkEnd w:id="5"/>
    </w:p>
    <w:p w14:paraId="2805791E" w14:textId="77777777" w:rsidR="004F56BC" w:rsidRPr="00A0292D" w:rsidRDefault="00335F39" w:rsidP="00335F39">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The increase in revenue was steady with JPY 27.21 trillion in 2021, then JPY 48.04 trillion in 2025. This growth is a sign of post pandemic volume recovery, a weaker yen increasing export revenue and continued hybrid demand. Cost of revenue increased to JPY 38.46 trillion as compared to JPY 22.38 trillion. Gross profit increased to JPY 9.58 trillion as compared to JPY 4.83 trillion. Table 1 below shows the five-year financial summary.</w:t>
      </w:r>
    </w:p>
    <w:p w14:paraId="75044E7C" w14:textId="77777777" w:rsidR="004F56BC" w:rsidRPr="00A0292D" w:rsidRDefault="000F1E9B" w:rsidP="008F61B8">
      <w:pPr>
        <w:spacing w:before="60" w:after="40" w:line="360" w:lineRule="auto"/>
        <w:jc w:val="center"/>
        <w:rPr>
          <w:rFonts w:asciiTheme="minorBidi" w:hAnsiTheme="minorBidi" w:cstheme="minorBidi"/>
          <w:sz w:val="28"/>
          <w:szCs w:val="28"/>
        </w:rPr>
      </w:pPr>
      <w:r w:rsidRPr="00A0292D">
        <w:rPr>
          <w:rFonts w:asciiTheme="minorBidi" w:hAnsiTheme="minorBidi" w:cstheme="minorBidi"/>
          <w:b/>
          <w:bCs/>
        </w:rPr>
        <w:t>Table 1: Toyota Five-Year Financial Summary (JPY Trillion)</w:t>
      </w:r>
    </w:p>
    <w:tbl>
      <w:tblPr>
        <w:tblW w:w="99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320"/>
        <w:gridCol w:w="1291"/>
        <w:gridCol w:w="1291"/>
        <w:gridCol w:w="1291"/>
        <w:gridCol w:w="1352"/>
        <w:gridCol w:w="1364"/>
      </w:tblGrid>
      <w:tr w:rsidR="004F56BC" w:rsidRPr="00A0292D" w14:paraId="5964A224" w14:textId="77777777" w:rsidTr="00566FB5">
        <w:trPr>
          <w:trHeight w:val="351"/>
        </w:trPr>
        <w:tc>
          <w:tcPr>
            <w:tcW w:w="3320"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4143DC0A" w14:textId="77777777" w:rsidR="004F56BC" w:rsidRPr="00A0292D" w:rsidRDefault="000F1E9B"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Metric</w:t>
            </w:r>
          </w:p>
        </w:tc>
        <w:tc>
          <w:tcPr>
            <w:tcW w:w="1291"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635D422C" w14:textId="77777777" w:rsidR="004F56BC" w:rsidRPr="00A0292D" w:rsidRDefault="000F1E9B"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2021</w:t>
            </w:r>
          </w:p>
        </w:tc>
        <w:tc>
          <w:tcPr>
            <w:tcW w:w="1291"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0BC08A53" w14:textId="77777777" w:rsidR="004F56BC" w:rsidRPr="00A0292D" w:rsidRDefault="000F1E9B"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2022</w:t>
            </w:r>
          </w:p>
        </w:tc>
        <w:tc>
          <w:tcPr>
            <w:tcW w:w="1291"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74873AB0" w14:textId="77777777" w:rsidR="004F56BC" w:rsidRPr="00A0292D" w:rsidRDefault="000F1E9B"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2023</w:t>
            </w:r>
          </w:p>
        </w:tc>
        <w:tc>
          <w:tcPr>
            <w:tcW w:w="1352"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02E3560C" w14:textId="77777777" w:rsidR="004F56BC" w:rsidRPr="00A0292D" w:rsidRDefault="000F1E9B"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2024</w:t>
            </w:r>
          </w:p>
        </w:tc>
        <w:tc>
          <w:tcPr>
            <w:tcW w:w="1364"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6668B13F" w14:textId="77777777" w:rsidR="004F56BC" w:rsidRPr="00A0292D" w:rsidRDefault="000F1E9B"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2025</w:t>
            </w:r>
          </w:p>
        </w:tc>
      </w:tr>
      <w:tr w:rsidR="004F56BC" w:rsidRPr="00A0292D" w14:paraId="7AD955D3" w14:textId="77777777" w:rsidTr="00566FB5">
        <w:trPr>
          <w:trHeight w:val="334"/>
        </w:trPr>
        <w:tc>
          <w:tcPr>
            <w:tcW w:w="332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4AD3146"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Revenue (JPY tn)</w:t>
            </w:r>
          </w:p>
        </w:tc>
        <w:tc>
          <w:tcPr>
            <w:tcW w:w="129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347F704"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27.21</w:t>
            </w:r>
          </w:p>
        </w:tc>
        <w:tc>
          <w:tcPr>
            <w:tcW w:w="129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ADC0AD9"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31.38</w:t>
            </w:r>
          </w:p>
        </w:tc>
        <w:tc>
          <w:tcPr>
            <w:tcW w:w="129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6992217"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37.15</w:t>
            </w:r>
          </w:p>
        </w:tc>
        <w:tc>
          <w:tcPr>
            <w:tcW w:w="135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BBDB57B"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45.10</w:t>
            </w:r>
          </w:p>
        </w:tc>
        <w:tc>
          <w:tcPr>
            <w:tcW w:w="136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7E80374"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48.04</w:t>
            </w:r>
          </w:p>
        </w:tc>
      </w:tr>
      <w:tr w:rsidR="004F56BC" w:rsidRPr="00A0292D" w14:paraId="5D2043A5" w14:textId="77777777" w:rsidTr="00566FB5">
        <w:trPr>
          <w:trHeight w:val="334"/>
        </w:trPr>
        <w:tc>
          <w:tcPr>
            <w:tcW w:w="332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EBE73F0"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Gross Profit (JPY tn)</w:t>
            </w:r>
          </w:p>
        </w:tc>
        <w:tc>
          <w:tcPr>
            <w:tcW w:w="129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B72BACA"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4.83</w:t>
            </w:r>
          </w:p>
        </w:tc>
        <w:tc>
          <w:tcPr>
            <w:tcW w:w="129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B74DA49"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5.97</w:t>
            </w:r>
          </w:p>
        </w:tc>
        <w:tc>
          <w:tcPr>
            <w:tcW w:w="129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CE6E295"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6.31</w:t>
            </w:r>
          </w:p>
        </w:tc>
        <w:tc>
          <w:tcPr>
            <w:tcW w:w="135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08F5396"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9.37</w:t>
            </w:r>
          </w:p>
        </w:tc>
        <w:tc>
          <w:tcPr>
            <w:tcW w:w="136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58652B9"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9.58</w:t>
            </w:r>
          </w:p>
        </w:tc>
      </w:tr>
      <w:tr w:rsidR="004F56BC" w:rsidRPr="00A0292D" w14:paraId="694399B6" w14:textId="77777777" w:rsidTr="00566FB5">
        <w:trPr>
          <w:trHeight w:val="334"/>
        </w:trPr>
        <w:tc>
          <w:tcPr>
            <w:tcW w:w="332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9CFFE60"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Operating Profit (JPY tn)</w:t>
            </w:r>
          </w:p>
        </w:tc>
        <w:tc>
          <w:tcPr>
            <w:tcW w:w="129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B5E7A8B"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2.20</w:t>
            </w:r>
          </w:p>
        </w:tc>
        <w:tc>
          <w:tcPr>
            <w:tcW w:w="129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290263F"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3.00</w:t>
            </w:r>
          </w:p>
        </w:tc>
        <w:tc>
          <w:tcPr>
            <w:tcW w:w="129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F18338D"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2.73</w:t>
            </w:r>
          </w:p>
        </w:tc>
        <w:tc>
          <w:tcPr>
            <w:tcW w:w="135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E7E7B04"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5.35</w:t>
            </w:r>
          </w:p>
        </w:tc>
        <w:tc>
          <w:tcPr>
            <w:tcW w:w="136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5423DA4"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4.80</w:t>
            </w:r>
          </w:p>
        </w:tc>
      </w:tr>
      <w:tr w:rsidR="004F56BC" w:rsidRPr="00A0292D" w14:paraId="171841CD" w14:textId="77777777" w:rsidTr="00566FB5">
        <w:trPr>
          <w:trHeight w:val="351"/>
        </w:trPr>
        <w:tc>
          <w:tcPr>
            <w:tcW w:w="332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16CD2DA"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Net Profit (JPY tn)</w:t>
            </w:r>
          </w:p>
        </w:tc>
        <w:tc>
          <w:tcPr>
            <w:tcW w:w="129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6E1D914"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2.25</w:t>
            </w:r>
          </w:p>
        </w:tc>
        <w:tc>
          <w:tcPr>
            <w:tcW w:w="129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1518C9D"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2.85</w:t>
            </w:r>
          </w:p>
        </w:tc>
        <w:tc>
          <w:tcPr>
            <w:tcW w:w="129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08C2D49"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2.45</w:t>
            </w:r>
          </w:p>
        </w:tc>
        <w:tc>
          <w:tcPr>
            <w:tcW w:w="135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CB249F2"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4.94</w:t>
            </w:r>
          </w:p>
        </w:tc>
        <w:tc>
          <w:tcPr>
            <w:tcW w:w="136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ECBAF7D"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4.77</w:t>
            </w:r>
          </w:p>
        </w:tc>
      </w:tr>
      <w:tr w:rsidR="004F56BC" w:rsidRPr="00A0292D" w14:paraId="1284E1A4" w14:textId="77777777" w:rsidTr="00566FB5">
        <w:trPr>
          <w:trHeight w:val="334"/>
        </w:trPr>
        <w:tc>
          <w:tcPr>
            <w:tcW w:w="332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8A124D3"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Total Assets (JPY tn)</w:t>
            </w:r>
          </w:p>
        </w:tc>
        <w:tc>
          <w:tcPr>
            <w:tcW w:w="129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90E73D6"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62.27</w:t>
            </w:r>
          </w:p>
        </w:tc>
        <w:tc>
          <w:tcPr>
            <w:tcW w:w="129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A7ED9FF"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67.69</w:t>
            </w:r>
          </w:p>
        </w:tc>
        <w:tc>
          <w:tcPr>
            <w:tcW w:w="129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2F7DCBDA"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74.30</w:t>
            </w:r>
          </w:p>
        </w:tc>
        <w:tc>
          <w:tcPr>
            <w:tcW w:w="135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802373A"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90.11</w:t>
            </w:r>
          </w:p>
        </w:tc>
        <w:tc>
          <w:tcPr>
            <w:tcW w:w="136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80D550E"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93.60</w:t>
            </w:r>
          </w:p>
        </w:tc>
      </w:tr>
      <w:tr w:rsidR="004F56BC" w:rsidRPr="00A0292D" w14:paraId="6FF04FC6" w14:textId="77777777" w:rsidTr="00566FB5">
        <w:trPr>
          <w:trHeight w:val="334"/>
        </w:trPr>
        <w:tc>
          <w:tcPr>
            <w:tcW w:w="332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ED1051B"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Total Equity (JPY tn)</w:t>
            </w:r>
          </w:p>
        </w:tc>
        <w:tc>
          <w:tcPr>
            <w:tcW w:w="129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3BD9CF4"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23.40</w:t>
            </w:r>
          </w:p>
        </w:tc>
        <w:tc>
          <w:tcPr>
            <w:tcW w:w="129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C3ADC56"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26.25</w:t>
            </w:r>
          </w:p>
        </w:tc>
        <w:tc>
          <w:tcPr>
            <w:tcW w:w="129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923A2B7"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28.34</w:t>
            </w:r>
          </w:p>
        </w:tc>
        <w:tc>
          <w:tcPr>
            <w:tcW w:w="135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726074C"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34.22</w:t>
            </w:r>
          </w:p>
        </w:tc>
        <w:tc>
          <w:tcPr>
            <w:tcW w:w="136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8F2A6A8"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35.92</w:t>
            </w:r>
          </w:p>
        </w:tc>
      </w:tr>
      <w:tr w:rsidR="004F56BC" w:rsidRPr="00A0292D" w14:paraId="6FCEDD4B" w14:textId="77777777" w:rsidTr="00566FB5">
        <w:trPr>
          <w:trHeight w:val="686"/>
        </w:trPr>
        <w:tc>
          <w:tcPr>
            <w:tcW w:w="332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131497A"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Operating Cash Flow (JPY tn)</w:t>
            </w:r>
          </w:p>
        </w:tc>
        <w:tc>
          <w:tcPr>
            <w:tcW w:w="129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ADCB267"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2.73</w:t>
            </w:r>
          </w:p>
        </w:tc>
        <w:tc>
          <w:tcPr>
            <w:tcW w:w="129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4FB4CE3E"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3.72</w:t>
            </w:r>
          </w:p>
        </w:tc>
        <w:tc>
          <w:tcPr>
            <w:tcW w:w="129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658FC89"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2.96</w:t>
            </w:r>
          </w:p>
        </w:tc>
        <w:tc>
          <w:tcPr>
            <w:tcW w:w="135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EDCEFB4"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4.21</w:t>
            </w:r>
          </w:p>
        </w:tc>
        <w:tc>
          <w:tcPr>
            <w:tcW w:w="136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CE4C7B8"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3.70</w:t>
            </w:r>
          </w:p>
        </w:tc>
      </w:tr>
      <w:tr w:rsidR="004F56BC" w:rsidRPr="00A0292D" w14:paraId="2D3981CB" w14:textId="77777777" w:rsidTr="00566FB5">
        <w:trPr>
          <w:trHeight w:val="351"/>
        </w:trPr>
        <w:tc>
          <w:tcPr>
            <w:tcW w:w="332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E0C8566"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Free Cash Flow (JPY tn)</w:t>
            </w:r>
          </w:p>
        </w:tc>
        <w:tc>
          <w:tcPr>
            <w:tcW w:w="129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1667D55"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(1.04)</w:t>
            </w:r>
          </w:p>
        </w:tc>
        <w:tc>
          <w:tcPr>
            <w:tcW w:w="129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3E319A6"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(0.11)</w:t>
            </w:r>
          </w:p>
        </w:tc>
        <w:tc>
          <w:tcPr>
            <w:tcW w:w="129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A5B9AD8"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(0.75)</w:t>
            </w:r>
          </w:p>
        </w:tc>
        <w:tc>
          <w:tcPr>
            <w:tcW w:w="135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7502A61"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(0.84)</w:t>
            </w:r>
          </w:p>
        </w:tc>
        <w:tc>
          <w:tcPr>
            <w:tcW w:w="136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976CA3F"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(1.56)</w:t>
            </w:r>
          </w:p>
        </w:tc>
      </w:tr>
    </w:tbl>
    <w:p w14:paraId="12351759" w14:textId="77777777" w:rsidR="004F56BC" w:rsidRPr="00A0292D" w:rsidRDefault="000F1E9B" w:rsidP="008F61B8">
      <w:pPr>
        <w:spacing w:before="50" w:after="130" w:line="360" w:lineRule="auto"/>
        <w:jc w:val="center"/>
        <w:rPr>
          <w:rFonts w:asciiTheme="minorBidi" w:hAnsiTheme="minorBidi" w:cstheme="minorBidi"/>
          <w:sz w:val="28"/>
          <w:szCs w:val="28"/>
        </w:rPr>
      </w:pPr>
      <w:r w:rsidRPr="00A0292D">
        <w:rPr>
          <w:rFonts w:asciiTheme="minorBidi" w:hAnsiTheme="minorBidi" w:cstheme="minorBidi"/>
          <w:i/>
          <w:iCs/>
          <w:color w:val="595959"/>
          <w:sz w:val="20"/>
          <w:szCs w:val="20"/>
        </w:rPr>
        <w:t>Source: Toyota Motor Corporation Integrated Reports (2021, 2022, 2023, 2024, 2025)</w:t>
      </w:r>
    </w:p>
    <w:p w14:paraId="19CD7991" w14:textId="77777777" w:rsidR="004F56BC" w:rsidRPr="00A0292D" w:rsidRDefault="00EE5347" w:rsidP="00335F39">
      <w:pPr>
        <w:spacing w:before="60" w:after="100" w:line="360" w:lineRule="auto"/>
        <w:jc w:val="both"/>
        <w:rPr>
          <w:rFonts w:asciiTheme="minorBidi" w:hAnsiTheme="minorBidi" w:cstheme="minorBidi"/>
          <w:sz w:val="28"/>
          <w:szCs w:val="28"/>
        </w:rPr>
      </w:pPr>
      <w:r w:rsidRPr="00A0292D">
        <w:rPr>
          <w:rFonts w:asciiTheme="minorBidi" w:hAnsiTheme="minorBidi" w:cstheme="minorBidi"/>
          <w:noProof/>
        </w:rPr>
        <w:drawing>
          <wp:inline distT="0" distB="0" distL="0" distR="0" wp14:anchorId="7D656A36" wp14:editId="2C9743A0">
            <wp:extent cx="6248400" cy="3293745"/>
            <wp:effectExtent l="0" t="0" r="12700" b="8255"/>
            <wp:docPr id="1999512754"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00335F39" w:rsidRPr="00A0292D">
        <w:rPr>
          <w:rFonts w:asciiTheme="minorBidi" w:hAnsiTheme="minorBidi" w:cstheme="minorBidi"/>
          <w:sz w:val="24"/>
          <w:szCs w:val="24"/>
        </w:rPr>
        <w:t>In 2023, net profit experienced a decrease of JPY 2.45 trillion, which was followed by a robust upswing of JPY 4.94 trillion in 2024. The 2023 dip was an indication of supply chain disruptions and high input prices. The recovery in 2024 could be partly explained by the fact that the depreciation of the yen increased the revenues of the company in the overseas market in the yen currency (Toyota Motor Corporation, 2024). It is clear that all the times the free cash flow was negative indicating that the business is yet to create enough cash to finance the business investment programme fully</w:t>
      </w:r>
      <w:r w:rsidRPr="00A0292D">
        <w:rPr>
          <w:rFonts w:asciiTheme="minorBidi" w:hAnsiTheme="minorBidi" w:cstheme="minorBidi"/>
          <w:sz w:val="24"/>
          <w:szCs w:val="24"/>
        </w:rPr>
        <w:t>.</w:t>
      </w:r>
    </w:p>
    <w:p w14:paraId="7ABD670B" w14:textId="77777777" w:rsidR="004F56BC" w:rsidRPr="00A0292D" w:rsidRDefault="000F1E9B" w:rsidP="00EE5347">
      <w:pPr>
        <w:pStyle w:val="Heading2"/>
        <w:rPr>
          <w:rFonts w:asciiTheme="minorBidi" w:hAnsiTheme="minorBidi" w:cstheme="minorBidi"/>
        </w:rPr>
      </w:pPr>
      <w:bookmarkStart w:id="6" w:name="_Toc227788453"/>
      <w:r w:rsidRPr="00A0292D">
        <w:rPr>
          <w:rFonts w:asciiTheme="minorBidi" w:hAnsiTheme="minorBidi" w:cstheme="minorBidi"/>
        </w:rPr>
        <w:t>2.2 Profitability Analysis</w:t>
      </w:r>
      <w:bookmarkEnd w:id="6"/>
    </w:p>
    <w:p w14:paraId="4F271A1D" w14:textId="77777777" w:rsidR="004F56BC" w:rsidRPr="00A0292D" w:rsidRDefault="00335F39" w:rsidP="00335F39">
      <w:pPr>
        <w:spacing w:before="60" w:after="100" w:line="360" w:lineRule="auto"/>
        <w:jc w:val="both"/>
        <w:rPr>
          <w:rFonts w:asciiTheme="minorBidi" w:hAnsiTheme="minorBidi" w:cstheme="minorBidi"/>
          <w:sz w:val="24"/>
          <w:szCs w:val="24"/>
        </w:rPr>
      </w:pPr>
      <w:r w:rsidRPr="00A0292D">
        <w:rPr>
          <w:rFonts w:asciiTheme="minorBidi" w:hAnsiTheme="minorBidi" w:cstheme="minorBidi"/>
          <w:sz w:val="24"/>
          <w:szCs w:val="24"/>
        </w:rPr>
        <w:t>The profitability ratios indicate that Toyota has been performing well in the five years. Gross margin rose from 17.75% in 2021 to 19.94% in 2025, although it dipped in 2023. The net profit margin went up to 9.93 percent. The ratio of the return on assets rose to 5.10 as compared to 3.61, and the ratio of the return on equity rose to 13.28 as compared to 9.62. These ratios suggest that Toyota put its asset base and shareholder funds to a better use by the end of the period (Easton et al., 2018). One of the strongest financial aspects that Toyota has is its profitability. A huge car maker requires a good margin in order to fund capital spending, research and strategic repositioning. That was the case at Toyota throughout the entire period, although 2023 experienced a bit of margin pressure. Profitability is not however a risk aversion. More robust accounting returns should also be accompanied by more robust cash generation in order to fund a long-term EV transition (Fridson and Alvarez, 2022).</w:t>
      </w:r>
    </w:p>
    <w:p w14:paraId="2A21B3D0" w14:textId="77777777" w:rsidR="004F56BC" w:rsidRPr="00A0292D" w:rsidRDefault="000F1E9B" w:rsidP="008F61B8">
      <w:pPr>
        <w:spacing w:before="60" w:after="40" w:line="360" w:lineRule="auto"/>
        <w:jc w:val="center"/>
        <w:rPr>
          <w:rFonts w:asciiTheme="minorBidi" w:hAnsiTheme="minorBidi" w:cstheme="minorBidi"/>
          <w:sz w:val="28"/>
          <w:szCs w:val="28"/>
        </w:rPr>
      </w:pPr>
      <w:r w:rsidRPr="00A0292D">
        <w:rPr>
          <w:rFonts w:asciiTheme="minorBidi" w:hAnsiTheme="minorBidi" w:cstheme="minorBidi"/>
          <w:b/>
          <w:bCs/>
        </w:rPr>
        <w:t>Table 2: Toyota Five-Year Ratio Summary</w:t>
      </w:r>
    </w:p>
    <w:tbl>
      <w:tblPr>
        <w:tblW w:w="98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363"/>
        <w:gridCol w:w="1307"/>
        <w:gridCol w:w="1307"/>
        <w:gridCol w:w="1307"/>
        <w:gridCol w:w="1307"/>
        <w:gridCol w:w="1307"/>
      </w:tblGrid>
      <w:tr w:rsidR="004F56BC" w:rsidRPr="00A0292D" w14:paraId="4641ED9F" w14:textId="77777777" w:rsidTr="00566FB5">
        <w:trPr>
          <w:trHeight w:val="343"/>
        </w:trPr>
        <w:tc>
          <w:tcPr>
            <w:tcW w:w="3363"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69FBEDE7" w14:textId="77777777" w:rsidR="004F56BC" w:rsidRPr="00A0292D" w:rsidRDefault="000F1E9B"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Ratio</w:t>
            </w:r>
          </w:p>
        </w:tc>
        <w:tc>
          <w:tcPr>
            <w:tcW w:w="1307"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00E2B1BB" w14:textId="77777777" w:rsidR="004F56BC" w:rsidRPr="00A0292D" w:rsidRDefault="000F1E9B"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2021</w:t>
            </w:r>
          </w:p>
        </w:tc>
        <w:tc>
          <w:tcPr>
            <w:tcW w:w="1307"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13C8FB3F" w14:textId="77777777" w:rsidR="004F56BC" w:rsidRPr="00A0292D" w:rsidRDefault="000F1E9B"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2022</w:t>
            </w:r>
          </w:p>
        </w:tc>
        <w:tc>
          <w:tcPr>
            <w:tcW w:w="1307"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205B6F17" w14:textId="77777777" w:rsidR="004F56BC" w:rsidRPr="00A0292D" w:rsidRDefault="000F1E9B"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2023</w:t>
            </w:r>
          </w:p>
        </w:tc>
        <w:tc>
          <w:tcPr>
            <w:tcW w:w="1307"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6EC1841B" w14:textId="77777777" w:rsidR="004F56BC" w:rsidRPr="00A0292D" w:rsidRDefault="000F1E9B"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2024</w:t>
            </w:r>
          </w:p>
        </w:tc>
        <w:tc>
          <w:tcPr>
            <w:tcW w:w="1307"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10F5F197" w14:textId="77777777" w:rsidR="004F56BC" w:rsidRPr="00A0292D" w:rsidRDefault="000F1E9B"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2025</w:t>
            </w:r>
          </w:p>
        </w:tc>
      </w:tr>
      <w:tr w:rsidR="004F56BC" w:rsidRPr="00A0292D" w14:paraId="3DB215A9" w14:textId="77777777" w:rsidTr="00566FB5">
        <w:trPr>
          <w:trHeight w:val="326"/>
        </w:trPr>
        <w:tc>
          <w:tcPr>
            <w:tcW w:w="3363"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A45B657"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Gross Profit Margin (%)</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F710FAF"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17.8%</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F736B83"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19.0%</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9F0709C"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17.0%</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81CD96D"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20.8%</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5CE12C0"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19.9%</w:t>
            </w:r>
          </w:p>
        </w:tc>
      </w:tr>
      <w:tr w:rsidR="004F56BC" w:rsidRPr="00A0292D" w14:paraId="673D397C" w14:textId="77777777" w:rsidTr="00566FB5">
        <w:trPr>
          <w:trHeight w:val="326"/>
        </w:trPr>
        <w:tc>
          <w:tcPr>
            <w:tcW w:w="3363"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3F5B9ED"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Operating Margin (%)</w:t>
            </w:r>
          </w:p>
        </w:tc>
        <w:tc>
          <w:tcPr>
            <w:tcW w:w="130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4EAA884"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8.1%</w:t>
            </w:r>
          </w:p>
        </w:tc>
        <w:tc>
          <w:tcPr>
            <w:tcW w:w="130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94FADB1"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9.6%</w:t>
            </w:r>
          </w:p>
        </w:tc>
        <w:tc>
          <w:tcPr>
            <w:tcW w:w="130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0C71BB1"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7.3%</w:t>
            </w:r>
          </w:p>
        </w:tc>
        <w:tc>
          <w:tcPr>
            <w:tcW w:w="130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17E3E94"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11.9%</w:t>
            </w:r>
          </w:p>
        </w:tc>
        <w:tc>
          <w:tcPr>
            <w:tcW w:w="130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3336F30"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10.0%</w:t>
            </w:r>
          </w:p>
        </w:tc>
      </w:tr>
      <w:tr w:rsidR="004F56BC" w:rsidRPr="00A0292D" w14:paraId="20226544" w14:textId="77777777" w:rsidTr="00566FB5">
        <w:trPr>
          <w:trHeight w:val="326"/>
        </w:trPr>
        <w:tc>
          <w:tcPr>
            <w:tcW w:w="3363"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2D33AF8"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Net Profit Margin (%)</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C89FC4E"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8.3%</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4A12FBB"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9.1%</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6B0C1EC"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6.6%</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60C3BEC"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11.0%</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E63A7A0"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9.9%</w:t>
            </w:r>
          </w:p>
        </w:tc>
      </w:tr>
      <w:tr w:rsidR="004F56BC" w:rsidRPr="00A0292D" w14:paraId="1A72200C" w14:textId="77777777" w:rsidTr="00566FB5">
        <w:trPr>
          <w:trHeight w:val="343"/>
        </w:trPr>
        <w:tc>
          <w:tcPr>
            <w:tcW w:w="3363"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293A7C2"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Return on Assets (%)</w:t>
            </w:r>
          </w:p>
        </w:tc>
        <w:tc>
          <w:tcPr>
            <w:tcW w:w="130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597B74F"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3.6%</w:t>
            </w:r>
          </w:p>
        </w:tc>
        <w:tc>
          <w:tcPr>
            <w:tcW w:w="130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86038E0"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4.2%</w:t>
            </w:r>
          </w:p>
        </w:tc>
        <w:tc>
          <w:tcPr>
            <w:tcW w:w="130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E72C7C8"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3.3%</w:t>
            </w:r>
          </w:p>
        </w:tc>
        <w:tc>
          <w:tcPr>
            <w:tcW w:w="130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4673EC3"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5.5%</w:t>
            </w:r>
          </w:p>
        </w:tc>
        <w:tc>
          <w:tcPr>
            <w:tcW w:w="130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7DFA964"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5.1%</w:t>
            </w:r>
          </w:p>
        </w:tc>
      </w:tr>
      <w:tr w:rsidR="004F56BC" w:rsidRPr="00A0292D" w14:paraId="19E6C6D9" w14:textId="77777777" w:rsidTr="00566FB5">
        <w:trPr>
          <w:trHeight w:val="326"/>
        </w:trPr>
        <w:tc>
          <w:tcPr>
            <w:tcW w:w="3363"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2744211C"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Return on Equity (%)</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BB70436"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9.6%</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729920A"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10.9%</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0D45E3A"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8.6%</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E2FB3AE"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14.4%</w:t>
            </w:r>
          </w:p>
        </w:tc>
        <w:tc>
          <w:tcPr>
            <w:tcW w:w="130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70D0789"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13.3%</w:t>
            </w:r>
          </w:p>
        </w:tc>
      </w:tr>
    </w:tbl>
    <w:p w14:paraId="45672F86" w14:textId="77777777" w:rsidR="004F56BC" w:rsidRPr="00A0292D" w:rsidRDefault="000F1E9B" w:rsidP="00EE5347">
      <w:pPr>
        <w:spacing w:before="50" w:after="130" w:line="360" w:lineRule="auto"/>
        <w:jc w:val="center"/>
        <w:rPr>
          <w:rFonts w:asciiTheme="minorBidi" w:hAnsiTheme="minorBidi" w:cstheme="minorBidi"/>
          <w:i/>
          <w:iCs/>
          <w:color w:val="595959"/>
          <w:sz w:val="20"/>
          <w:szCs w:val="20"/>
        </w:rPr>
      </w:pPr>
      <w:r w:rsidRPr="00A0292D">
        <w:rPr>
          <w:rFonts w:asciiTheme="minorBidi" w:hAnsiTheme="minorBidi" w:cstheme="minorBidi"/>
          <w:i/>
          <w:iCs/>
          <w:color w:val="595959"/>
          <w:sz w:val="20"/>
          <w:szCs w:val="20"/>
        </w:rPr>
        <w:t>Source: Author's calculations based on Toyota Motor Corporation Integrated Reports (2021-2025). Full workings in Appendix A.</w:t>
      </w:r>
    </w:p>
    <w:p w14:paraId="22970677" w14:textId="77777777" w:rsidR="00EE5347" w:rsidRPr="00A0292D" w:rsidRDefault="00EE5347" w:rsidP="00EE5347">
      <w:pPr>
        <w:spacing w:before="50" w:after="130" w:line="360" w:lineRule="auto"/>
        <w:jc w:val="center"/>
        <w:rPr>
          <w:rFonts w:asciiTheme="minorBidi" w:hAnsiTheme="minorBidi" w:cstheme="minorBidi"/>
          <w:sz w:val="28"/>
          <w:szCs w:val="28"/>
        </w:rPr>
      </w:pPr>
      <w:r w:rsidRPr="00A0292D">
        <w:rPr>
          <w:rFonts w:asciiTheme="minorBidi" w:hAnsiTheme="minorBidi" w:cstheme="minorBidi"/>
          <w:noProof/>
        </w:rPr>
        <w:drawing>
          <wp:inline distT="0" distB="0" distL="0" distR="0" wp14:anchorId="45B49353" wp14:editId="24DDD39B">
            <wp:extent cx="6248400" cy="2950845"/>
            <wp:effectExtent l="0" t="0" r="12700" b="8255"/>
            <wp:docPr id="1633806754" name="Chart 1">
              <a:extLst xmlns:a="http://schemas.openxmlformats.org/drawingml/2006/main">
                <a:ext uri="{FF2B5EF4-FFF2-40B4-BE49-F238E27FC236}">
                  <a16:creationId xmlns:a16="http://schemas.microsoft.com/office/drawing/2014/main" id="{00000000-0008-0000-01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6DFD475" w14:textId="77777777" w:rsidR="004F56BC" w:rsidRPr="00A0292D" w:rsidRDefault="000F1E9B" w:rsidP="00EE5347">
      <w:pPr>
        <w:pStyle w:val="Heading2"/>
        <w:rPr>
          <w:rFonts w:asciiTheme="minorBidi" w:hAnsiTheme="minorBidi" w:cstheme="minorBidi"/>
        </w:rPr>
      </w:pPr>
      <w:bookmarkStart w:id="7" w:name="_Toc227788454"/>
      <w:r w:rsidRPr="00A0292D">
        <w:rPr>
          <w:rFonts w:asciiTheme="minorBidi" w:hAnsiTheme="minorBidi" w:cstheme="minorBidi"/>
        </w:rPr>
        <w:t>2.3 Liquidity Analysis</w:t>
      </w:r>
      <w:bookmarkEnd w:id="7"/>
    </w:p>
    <w:p w14:paraId="23E63C16" w14:textId="77777777" w:rsidR="004F56BC" w:rsidRPr="00A0292D" w:rsidRDefault="00335F39" w:rsidP="00335F39">
      <w:pPr>
        <w:spacing w:before="60" w:after="100" w:line="360" w:lineRule="auto"/>
        <w:jc w:val="both"/>
        <w:rPr>
          <w:rFonts w:asciiTheme="minorBidi" w:hAnsiTheme="minorBidi" w:cstheme="minorBidi"/>
          <w:sz w:val="24"/>
          <w:szCs w:val="24"/>
        </w:rPr>
      </w:pPr>
      <w:r w:rsidRPr="00A0292D">
        <w:rPr>
          <w:rFonts w:asciiTheme="minorBidi" w:hAnsiTheme="minorBidi" w:cstheme="minorBidi"/>
          <w:sz w:val="24"/>
          <w:szCs w:val="24"/>
        </w:rPr>
        <w:t>The liquidity ratios indicate a slight improvement over the period. The current ratio increased from 1.06 in 2021 to 1.26 in 2025. The quick ratio rose from 0.93 to 1.10, while the cash ratio rose from 0.43 to 0.54. According to these changes, it is possible to state that Toyota became more solvent in the short term, which was facilitated by increased amounts of cash and short-term investments. Nevertheless, the liquidity was only moderately good. Current liabilities grew to JPY 29.43 trillion and short-term obligations were still high. It is an indication that the short-term position of Toyota has improved, but not to an extent that it would eliminate the necessity of a more rigorous cash discipline. It is reported in the financial accounting literature that manufacturers can operate on moderate liquidity ratios, but these companies are at risk when working capital is tied up consuming more and more cash (Winfield, Graham and Miller, 2021</w:t>
      </w:r>
      <w:r w:rsidR="00EE5347" w:rsidRPr="00EE5347">
        <w:rPr>
          <w:rFonts w:asciiTheme="minorBidi" w:hAnsiTheme="minorBidi" w:cstheme="minorBidi"/>
          <w:sz w:val="24"/>
          <w:szCs w:val="24"/>
        </w:rPr>
        <w:t>)</w:t>
      </w:r>
      <w:r w:rsidRPr="00A0292D">
        <w:rPr>
          <w:rFonts w:asciiTheme="minorBidi" w:hAnsiTheme="minorBidi" w:cstheme="minorBidi"/>
          <w:sz w:val="24"/>
          <w:szCs w:val="24"/>
        </w:rPr>
        <w:t>.</w:t>
      </w:r>
    </w:p>
    <w:p w14:paraId="529BD894" w14:textId="77777777" w:rsidR="00566FB5" w:rsidRPr="00566FB5" w:rsidRDefault="00566FB5" w:rsidP="00566FB5">
      <w:pPr>
        <w:spacing w:before="60" w:after="100" w:line="360" w:lineRule="auto"/>
        <w:jc w:val="center"/>
        <w:rPr>
          <w:rFonts w:asciiTheme="minorBidi" w:hAnsiTheme="minorBidi" w:cstheme="minorBidi"/>
          <w:b/>
          <w:bCs/>
          <w:sz w:val="24"/>
          <w:szCs w:val="24"/>
        </w:rPr>
      </w:pPr>
      <w:r w:rsidRPr="00566FB5">
        <w:rPr>
          <w:rFonts w:asciiTheme="minorBidi" w:hAnsiTheme="minorBidi" w:cstheme="minorBidi"/>
          <w:b/>
          <w:bCs/>
          <w:sz w:val="24"/>
          <w:szCs w:val="24"/>
        </w:rPr>
        <w:t>Table 3 Liquidity ratios, 2021 to 2025</w:t>
      </w:r>
    </w:p>
    <w:tbl>
      <w:tblPr>
        <w:tblStyle w:val="GridTable4-Accent1"/>
        <w:tblW w:w="9918" w:type="dxa"/>
        <w:tblLook w:val="04A0" w:firstRow="1" w:lastRow="0" w:firstColumn="1" w:lastColumn="0" w:noHBand="0" w:noVBand="1"/>
      </w:tblPr>
      <w:tblGrid>
        <w:gridCol w:w="2989"/>
        <w:gridCol w:w="1373"/>
        <w:gridCol w:w="1373"/>
        <w:gridCol w:w="1373"/>
        <w:gridCol w:w="1373"/>
        <w:gridCol w:w="1437"/>
      </w:tblGrid>
      <w:tr w:rsidR="00566FB5" w:rsidRPr="00A0292D" w14:paraId="78391BCB" w14:textId="77777777" w:rsidTr="00566FB5">
        <w:trPr>
          <w:cnfStyle w:val="100000000000" w:firstRow="1" w:lastRow="0" w:firstColumn="0" w:lastColumn="0" w:oddVBand="0" w:evenVBand="0" w:oddHBand="0" w:evenHBand="0" w:firstRowFirstColumn="0" w:firstRowLastColumn="0" w:lastRowFirstColumn="0" w:lastRowLastColumn="0"/>
          <w:trHeight w:val="586"/>
        </w:trPr>
        <w:tc>
          <w:tcPr>
            <w:cnfStyle w:val="001000000000" w:firstRow="0" w:lastRow="0" w:firstColumn="1" w:lastColumn="0" w:oddVBand="0" w:evenVBand="0" w:oddHBand="0" w:evenHBand="0" w:firstRowFirstColumn="0" w:firstRowLastColumn="0" w:lastRowFirstColumn="0" w:lastRowLastColumn="0"/>
            <w:tcW w:w="0" w:type="auto"/>
            <w:hideMark/>
          </w:tcPr>
          <w:p w14:paraId="3FD095A2" w14:textId="77777777" w:rsidR="00566FB5" w:rsidRPr="00566FB5" w:rsidRDefault="00566FB5" w:rsidP="00566FB5">
            <w:pPr>
              <w:spacing w:before="60" w:after="100" w:line="360" w:lineRule="auto"/>
              <w:jc w:val="both"/>
              <w:rPr>
                <w:rFonts w:asciiTheme="minorBidi" w:hAnsiTheme="minorBidi" w:cstheme="minorBidi"/>
                <w:sz w:val="21"/>
                <w:szCs w:val="21"/>
              </w:rPr>
            </w:pPr>
            <w:r w:rsidRPr="00566FB5">
              <w:rPr>
                <w:rFonts w:asciiTheme="minorBidi" w:hAnsiTheme="minorBidi" w:cstheme="minorBidi"/>
                <w:sz w:val="21"/>
                <w:szCs w:val="21"/>
              </w:rPr>
              <w:t>Ratio</w:t>
            </w:r>
          </w:p>
        </w:tc>
        <w:tc>
          <w:tcPr>
            <w:tcW w:w="0" w:type="auto"/>
            <w:hideMark/>
          </w:tcPr>
          <w:p w14:paraId="400948F5" w14:textId="77777777" w:rsidR="00566FB5" w:rsidRPr="00566FB5" w:rsidRDefault="00566FB5"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2021</w:t>
            </w:r>
          </w:p>
        </w:tc>
        <w:tc>
          <w:tcPr>
            <w:tcW w:w="0" w:type="auto"/>
            <w:hideMark/>
          </w:tcPr>
          <w:p w14:paraId="3F40C86E" w14:textId="77777777" w:rsidR="00566FB5" w:rsidRPr="00566FB5" w:rsidRDefault="00566FB5"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2022</w:t>
            </w:r>
          </w:p>
        </w:tc>
        <w:tc>
          <w:tcPr>
            <w:tcW w:w="0" w:type="auto"/>
            <w:hideMark/>
          </w:tcPr>
          <w:p w14:paraId="3355ED3E" w14:textId="77777777" w:rsidR="00566FB5" w:rsidRPr="00566FB5" w:rsidRDefault="00566FB5"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2023</w:t>
            </w:r>
          </w:p>
        </w:tc>
        <w:tc>
          <w:tcPr>
            <w:tcW w:w="0" w:type="auto"/>
            <w:hideMark/>
          </w:tcPr>
          <w:p w14:paraId="027B2FBB" w14:textId="77777777" w:rsidR="00566FB5" w:rsidRPr="00566FB5" w:rsidRDefault="00566FB5"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2024</w:t>
            </w:r>
          </w:p>
        </w:tc>
        <w:tc>
          <w:tcPr>
            <w:tcW w:w="1437" w:type="dxa"/>
            <w:hideMark/>
          </w:tcPr>
          <w:p w14:paraId="4AE2C1FE" w14:textId="77777777" w:rsidR="00566FB5" w:rsidRPr="00566FB5" w:rsidRDefault="00566FB5"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2025</w:t>
            </w:r>
          </w:p>
        </w:tc>
      </w:tr>
      <w:tr w:rsidR="00566FB5" w:rsidRPr="00A0292D" w14:paraId="527ED6E3" w14:textId="77777777" w:rsidTr="00566FB5">
        <w:trPr>
          <w:cnfStyle w:val="000000100000" w:firstRow="0" w:lastRow="0" w:firstColumn="0" w:lastColumn="0" w:oddVBand="0" w:evenVBand="0" w:oddHBand="1" w:evenHBand="0" w:firstRowFirstColumn="0" w:firstRowLastColumn="0" w:lastRowFirstColumn="0" w:lastRowLastColumn="0"/>
          <w:trHeight w:val="586"/>
        </w:trPr>
        <w:tc>
          <w:tcPr>
            <w:cnfStyle w:val="001000000000" w:firstRow="0" w:lastRow="0" w:firstColumn="1" w:lastColumn="0" w:oddVBand="0" w:evenVBand="0" w:oddHBand="0" w:evenHBand="0" w:firstRowFirstColumn="0" w:firstRowLastColumn="0" w:lastRowFirstColumn="0" w:lastRowLastColumn="0"/>
            <w:tcW w:w="0" w:type="auto"/>
            <w:hideMark/>
          </w:tcPr>
          <w:p w14:paraId="41EC2884" w14:textId="77777777" w:rsidR="00566FB5" w:rsidRPr="00566FB5" w:rsidRDefault="00566FB5" w:rsidP="00566FB5">
            <w:pPr>
              <w:spacing w:before="60" w:after="100" w:line="360" w:lineRule="auto"/>
              <w:jc w:val="both"/>
              <w:rPr>
                <w:rFonts w:asciiTheme="minorBidi" w:hAnsiTheme="minorBidi" w:cstheme="minorBidi"/>
                <w:sz w:val="21"/>
                <w:szCs w:val="21"/>
              </w:rPr>
            </w:pPr>
            <w:r w:rsidRPr="00566FB5">
              <w:rPr>
                <w:rFonts w:asciiTheme="minorBidi" w:hAnsiTheme="minorBidi" w:cstheme="minorBidi"/>
                <w:sz w:val="21"/>
                <w:szCs w:val="21"/>
              </w:rPr>
              <w:t>Current ratio</w:t>
            </w:r>
          </w:p>
        </w:tc>
        <w:tc>
          <w:tcPr>
            <w:tcW w:w="0" w:type="auto"/>
            <w:hideMark/>
          </w:tcPr>
          <w:p w14:paraId="1BDB2DD7" w14:textId="77777777" w:rsidR="00566FB5" w:rsidRPr="00566FB5" w:rsidRDefault="00566FB5"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1.06</w:t>
            </w:r>
          </w:p>
        </w:tc>
        <w:tc>
          <w:tcPr>
            <w:tcW w:w="0" w:type="auto"/>
            <w:hideMark/>
          </w:tcPr>
          <w:p w14:paraId="427A5B6F" w14:textId="77777777" w:rsidR="00566FB5" w:rsidRPr="00566FB5" w:rsidRDefault="00566FB5"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1.09</w:t>
            </w:r>
          </w:p>
        </w:tc>
        <w:tc>
          <w:tcPr>
            <w:tcW w:w="0" w:type="auto"/>
            <w:hideMark/>
          </w:tcPr>
          <w:p w14:paraId="6B12925B" w14:textId="77777777" w:rsidR="00566FB5" w:rsidRPr="00566FB5" w:rsidRDefault="00566FB5"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1.10</w:t>
            </w:r>
          </w:p>
        </w:tc>
        <w:tc>
          <w:tcPr>
            <w:tcW w:w="0" w:type="auto"/>
            <w:hideMark/>
          </w:tcPr>
          <w:p w14:paraId="42858F84" w14:textId="77777777" w:rsidR="00566FB5" w:rsidRPr="00566FB5" w:rsidRDefault="00566FB5"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1.19</w:t>
            </w:r>
          </w:p>
        </w:tc>
        <w:tc>
          <w:tcPr>
            <w:tcW w:w="1437" w:type="dxa"/>
            <w:hideMark/>
          </w:tcPr>
          <w:p w14:paraId="18DF885B" w14:textId="77777777" w:rsidR="00566FB5" w:rsidRPr="00566FB5" w:rsidRDefault="00566FB5"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1.26</w:t>
            </w:r>
          </w:p>
        </w:tc>
      </w:tr>
      <w:tr w:rsidR="00566FB5" w:rsidRPr="00A0292D" w14:paraId="79F99A15" w14:textId="77777777" w:rsidTr="00566FB5">
        <w:trPr>
          <w:trHeight w:val="586"/>
        </w:trPr>
        <w:tc>
          <w:tcPr>
            <w:cnfStyle w:val="001000000000" w:firstRow="0" w:lastRow="0" w:firstColumn="1" w:lastColumn="0" w:oddVBand="0" w:evenVBand="0" w:oddHBand="0" w:evenHBand="0" w:firstRowFirstColumn="0" w:firstRowLastColumn="0" w:lastRowFirstColumn="0" w:lastRowLastColumn="0"/>
            <w:tcW w:w="0" w:type="auto"/>
            <w:hideMark/>
          </w:tcPr>
          <w:p w14:paraId="67069569" w14:textId="77777777" w:rsidR="00566FB5" w:rsidRPr="00566FB5" w:rsidRDefault="00566FB5" w:rsidP="00566FB5">
            <w:pPr>
              <w:spacing w:before="60" w:after="100" w:line="360" w:lineRule="auto"/>
              <w:jc w:val="both"/>
              <w:rPr>
                <w:rFonts w:asciiTheme="minorBidi" w:hAnsiTheme="minorBidi" w:cstheme="minorBidi"/>
                <w:sz w:val="21"/>
                <w:szCs w:val="21"/>
              </w:rPr>
            </w:pPr>
            <w:r w:rsidRPr="00566FB5">
              <w:rPr>
                <w:rFonts w:asciiTheme="minorBidi" w:hAnsiTheme="minorBidi" w:cstheme="minorBidi"/>
                <w:sz w:val="21"/>
                <w:szCs w:val="21"/>
              </w:rPr>
              <w:t>Quick ratio</w:t>
            </w:r>
          </w:p>
        </w:tc>
        <w:tc>
          <w:tcPr>
            <w:tcW w:w="0" w:type="auto"/>
            <w:hideMark/>
          </w:tcPr>
          <w:p w14:paraId="029EB9E9" w14:textId="77777777" w:rsidR="00566FB5" w:rsidRPr="00566FB5" w:rsidRDefault="00566FB5"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0.93</w:t>
            </w:r>
          </w:p>
        </w:tc>
        <w:tc>
          <w:tcPr>
            <w:tcW w:w="0" w:type="auto"/>
            <w:hideMark/>
          </w:tcPr>
          <w:p w14:paraId="1E4ECE2D" w14:textId="77777777" w:rsidR="00566FB5" w:rsidRPr="00566FB5" w:rsidRDefault="00566FB5"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0.91</w:t>
            </w:r>
          </w:p>
        </w:tc>
        <w:tc>
          <w:tcPr>
            <w:tcW w:w="0" w:type="auto"/>
            <w:hideMark/>
          </w:tcPr>
          <w:p w14:paraId="50486679" w14:textId="77777777" w:rsidR="00566FB5" w:rsidRPr="00566FB5" w:rsidRDefault="00566FB5"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0.93</w:t>
            </w:r>
          </w:p>
        </w:tc>
        <w:tc>
          <w:tcPr>
            <w:tcW w:w="0" w:type="auto"/>
            <w:hideMark/>
          </w:tcPr>
          <w:p w14:paraId="048FFD70" w14:textId="77777777" w:rsidR="00566FB5" w:rsidRPr="00566FB5" w:rsidRDefault="00566FB5"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1.03</w:t>
            </w:r>
          </w:p>
        </w:tc>
        <w:tc>
          <w:tcPr>
            <w:tcW w:w="1437" w:type="dxa"/>
            <w:hideMark/>
          </w:tcPr>
          <w:p w14:paraId="22FA5E1F" w14:textId="77777777" w:rsidR="00566FB5" w:rsidRPr="00566FB5" w:rsidRDefault="00566FB5"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1.10</w:t>
            </w:r>
          </w:p>
        </w:tc>
      </w:tr>
      <w:tr w:rsidR="00566FB5" w:rsidRPr="00A0292D" w14:paraId="51648D1E" w14:textId="77777777" w:rsidTr="00566FB5">
        <w:trPr>
          <w:cnfStyle w:val="000000100000" w:firstRow="0" w:lastRow="0" w:firstColumn="0" w:lastColumn="0" w:oddVBand="0" w:evenVBand="0" w:oddHBand="1" w:evenHBand="0" w:firstRowFirstColumn="0" w:firstRowLastColumn="0" w:lastRowFirstColumn="0" w:lastRowLastColumn="0"/>
          <w:trHeight w:val="586"/>
        </w:trPr>
        <w:tc>
          <w:tcPr>
            <w:cnfStyle w:val="001000000000" w:firstRow="0" w:lastRow="0" w:firstColumn="1" w:lastColumn="0" w:oddVBand="0" w:evenVBand="0" w:oddHBand="0" w:evenHBand="0" w:firstRowFirstColumn="0" w:firstRowLastColumn="0" w:lastRowFirstColumn="0" w:lastRowLastColumn="0"/>
            <w:tcW w:w="0" w:type="auto"/>
            <w:hideMark/>
          </w:tcPr>
          <w:p w14:paraId="77991B20" w14:textId="77777777" w:rsidR="00566FB5" w:rsidRPr="00566FB5" w:rsidRDefault="00566FB5" w:rsidP="00566FB5">
            <w:pPr>
              <w:spacing w:before="60" w:after="100" w:line="360" w:lineRule="auto"/>
              <w:jc w:val="both"/>
              <w:rPr>
                <w:rFonts w:asciiTheme="minorBidi" w:hAnsiTheme="minorBidi" w:cstheme="minorBidi"/>
                <w:sz w:val="21"/>
                <w:szCs w:val="21"/>
              </w:rPr>
            </w:pPr>
            <w:r w:rsidRPr="00566FB5">
              <w:rPr>
                <w:rFonts w:asciiTheme="minorBidi" w:hAnsiTheme="minorBidi" w:cstheme="minorBidi"/>
                <w:sz w:val="21"/>
                <w:szCs w:val="21"/>
              </w:rPr>
              <w:t>Cash ratio</w:t>
            </w:r>
          </w:p>
        </w:tc>
        <w:tc>
          <w:tcPr>
            <w:tcW w:w="0" w:type="auto"/>
            <w:hideMark/>
          </w:tcPr>
          <w:p w14:paraId="47B2926F" w14:textId="77777777" w:rsidR="00566FB5" w:rsidRPr="00566FB5" w:rsidRDefault="00566FB5"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0.43</w:t>
            </w:r>
          </w:p>
        </w:tc>
        <w:tc>
          <w:tcPr>
            <w:tcW w:w="0" w:type="auto"/>
            <w:hideMark/>
          </w:tcPr>
          <w:p w14:paraId="28A89740" w14:textId="77777777" w:rsidR="00566FB5" w:rsidRPr="00566FB5" w:rsidRDefault="00566FB5"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0.39</w:t>
            </w:r>
          </w:p>
        </w:tc>
        <w:tc>
          <w:tcPr>
            <w:tcW w:w="0" w:type="auto"/>
            <w:hideMark/>
          </w:tcPr>
          <w:p w14:paraId="66BF2D71" w14:textId="77777777" w:rsidR="00566FB5" w:rsidRPr="00566FB5" w:rsidRDefault="00566FB5"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0.39</w:t>
            </w:r>
          </w:p>
        </w:tc>
        <w:tc>
          <w:tcPr>
            <w:tcW w:w="0" w:type="auto"/>
            <w:hideMark/>
          </w:tcPr>
          <w:p w14:paraId="4F3F34EC" w14:textId="77777777" w:rsidR="00566FB5" w:rsidRPr="00566FB5" w:rsidRDefault="00566FB5"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0.48</w:t>
            </w:r>
          </w:p>
        </w:tc>
        <w:tc>
          <w:tcPr>
            <w:tcW w:w="1437" w:type="dxa"/>
            <w:hideMark/>
          </w:tcPr>
          <w:p w14:paraId="46DE18A7" w14:textId="77777777" w:rsidR="00566FB5" w:rsidRPr="00566FB5" w:rsidRDefault="00566FB5"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0.54</w:t>
            </w:r>
          </w:p>
        </w:tc>
      </w:tr>
    </w:tbl>
    <w:p w14:paraId="1986988F" w14:textId="77777777" w:rsidR="00EE5347" w:rsidRPr="00A0292D" w:rsidRDefault="00EE5347" w:rsidP="00EE5347">
      <w:pPr>
        <w:rPr>
          <w:rFonts w:asciiTheme="minorBidi" w:hAnsiTheme="minorBidi" w:cstheme="minorBidi"/>
        </w:rPr>
      </w:pPr>
      <w:r w:rsidRPr="00A0292D">
        <w:rPr>
          <w:rFonts w:asciiTheme="minorBidi" w:hAnsiTheme="minorBidi" w:cstheme="minorBidi"/>
          <w:noProof/>
        </w:rPr>
        <w:drawing>
          <wp:inline distT="0" distB="0" distL="0" distR="0" wp14:anchorId="3DF08123" wp14:editId="6E2AA0AE">
            <wp:extent cx="6248400" cy="2950845"/>
            <wp:effectExtent l="0" t="0" r="12700" b="8255"/>
            <wp:docPr id="1144869695" name="Chart 1">
              <a:extLst xmlns:a="http://schemas.openxmlformats.org/drawingml/2006/main">
                <a:ext uri="{FF2B5EF4-FFF2-40B4-BE49-F238E27FC236}">
                  <a16:creationId xmlns:a16="http://schemas.microsoft.com/office/drawing/2014/main" id="{00000000-0008-0000-02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B976590" w14:textId="77777777" w:rsidR="004F56BC" w:rsidRPr="00A0292D" w:rsidRDefault="000F1E9B" w:rsidP="00566FB5">
      <w:pPr>
        <w:pStyle w:val="Heading2"/>
        <w:rPr>
          <w:rFonts w:asciiTheme="minorBidi" w:hAnsiTheme="minorBidi" w:cstheme="minorBidi"/>
        </w:rPr>
      </w:pPr>
      <w:bookmarkStart w:id="8" w:name="_Toc227788455"/>
      <w:r w:rsidRPr="00A0292D">
        <w:rPr>
          <w:rFonts w:asciiTheme="minorBidi" w:hAnsiTheme="minorBidi" w:cstheme="minorBidi"/>
        </w:rPr>
        <w:t>2.4 Efficiency Analysis</w:t>
      </w:r>
      <w:bookmarkEnd w:id="8"/>
    </w:p>
    <w:p w14:paraId="5A202751" w14:textId="77777777" w:rsidR="004F56BC" w:rsidRPr="00A0292D" w:rsidRDefault="00335F39" w:rsidP="00335F39">
      <w:pPr>
        <w:spacing w:before="60" w:after="100" w:line="360" w:lineRule="auto"/>
        <w:jc w:val="both"/>
        <w:rPr>
          <w:rFonts w:asciiTheme="minorBidi" w:hAnsiTheme="minorBidi" w:cstheme="minorBidi"/>
          <w:sz w:val="24"/>
          <w:szCs w:val="24"/>
        </w:rPr>
      </w:pPr>
      <w:r w:rsidRPr="00A0292D">
        <w:rPr>
          <w:rFonts w:asciiTheme="minorBidi" w:hAnsiTheme="minorBidi" w:cstheme="minorBidi"/>
          <w:sz w:val="24"/>
          <w:szCs w:val="24"/>
        </w:rPr>
        <w:t xml:space="preserve">The efficiency ratios of Toyota were relatively good during the period. Inventory turnover rose from 7.74 times in 2021 to 8.36 times in 2025. The improvement in the turnover of receivables was 2.77 to 3.13 times and the turnover of assets was 0.44 to 0.51. These outcomes suggest that Toyota continued to utilize inventory, receivables, and assets (Marshall, McManus and Viele, 2023; Wild, 2021). These values indicate that Toyota did not face its core financial stress due to poor operating discipline. </w:t>
      </w:r>
    </w:p>
    <w:p w14:paraId="1E913EBF" w14:textId="77777777" w:rsidR="00566FB5" w:rsidRPr="00566FB5" w:rsidRDefault="00566FB5" w:rsidP="00EE5347">
      <w:pPr>
        <w:spacing w:before="60" w:after="100" w:line="360" w:lineRule="auto"/>
        <w:jc w:val="center"/>
        <w:rPr>
          <w:rFonts w:asciiTheme="minorBidi" w:hAnsiTheme="minorBidi" w:cstheme="minorBidi"/>
          <w:b/>
          <w:bCs/>
        </w:rPr>
      </w:pPr>
      <w:r w:rsidRPr="00566FB5">
        <w:rPr>
          <w:rFonts w:asciiTheme="minorBidi" w:hAnsiTheme="minorBidi" w:cstheme="minorBidi"/>
          <w:b/>
          <w:bCs/>
        </w:rPr>
        <w:t xml:space="preserve">Table </w:t>
      </w:r>
      <w:r w:rsidR="00EE5347" w:rsidRPr="00A0292D">
        <w:rPr>
          <w:rFonts w:asciiTheme="minorBidi" w:hAnsiTheme="minorBidi" w:cstheme="minorBidi"/>
          <w:b/>
          <w:bCs/>
        </w:rPr>
        <w:t>4</w:t>
      </w:r>
      <w:r w:rsidRPr="00566FB5">
        <w:rPr>
          <w:rFonts w:asciiTheme="minorBidi" w:hAnsiTheme="minorBidi" w:cstheme="minorBidi"/>
          <w:b/>
          <w:bCs/>
        </w:rPr>
        <w:t xml:space="preserve"> Efficiency ratios, 2021 to 2025</w:t>
      </w:r>
    </w:p>
    <w:tbl>
      <w:tblPr>
        <w:tblStyle w:val="GridTable4-Accent1"/>
        <w:tblW w:w="9927" w:type="dxa"/>
        <w:tblLook w:val="04A0" w:firstRow="1" w:lastRow="0" w:firstColumn="1" w:lastColumn="0" w:noHBand="0" w:noVBand="1"/>
      </w:tblPr>
      <w:tblGrid>
        <w:gridCol w:w="3842"/>
        <w:gridCol w:w="1217"/>
        <w:gridCol w:w="1217"/>
        <w:gridCol w:w="1217"/>
        <w:gridCol w:w="1217"/>
        <w:gridCol w:w="1217"/>
      </w:tblGrid>
      <w:tr w:rsidR="00EE5347" w:rsidRPr="00A0292D" w14:paraId="23A41BEB" w14:textId="77777777" w:rsidTr="00EE5347">
        <w:trPr>
          <w:cnfStyle w:val="100000000000" w:firstRow="1" w:lastRow="0" w:firstColumn="0" w:lastColumn="0" w:oddVBand="0" w:evenVBand="0" w:oddHBand="0" w:evenHBand="0" w:firstRowFirstColumn="0" w:firstRowLastColumn="0" w:lastRowFirstColumn="0" w:lastRowLastColumn="0"/>
          <w:trHeight w:val="509"/>
        </w:trPr>
        <w:tc>
          <w:tcPr>
            <w:cnfStyle w:val="001000000000" w:firstRow="0" w:lastRow="0" w:firstColumn="1" w:lastColumn="0" w:oddVBand="0" w:evenVBand="0" w:oddHBand="0" w:evenHBand="0" w:firstRowFirstColumn="0" w:firstRowLastColumn="0" w:lastRowFirstColumn="0" w:lastRowLastColumn="0"/>
            <w:tcW w:w="0" w:type="auto"/>
            <w:hideMark/>
          </w:tcPr>
          <w:p w14:paraId="4520E394" w14:textId="77777777" w:rsidR="00EE5347" w:rsidRPr="00566FB5" w:rsidRDefault="00EE5347" w:rsidP="00566FB5">
            <w:pPr>
              <w:spacing w:before="60" w:after="100" w:line="360" w:lineRule="auto"/>
              <w:jc w:val="both"/>
              <w:rPr>
                <w:rFonts w:asciiTheme="minorBidi" w:hAnsiTheme="minorBidi" w:cstheme="minorBidi"/>
                <w:sz w:val="21"/>
                <w:szCs w:val="21"/>
              </w:rPr>
            </w:pPr>
            <w:r w:rsidRPr="00566FB5">
              <w:rPr>
                <w:rFonts w:asciiTheme="minorBidi" w:hAnsiTheme="minorBidi" w:cstheme="minorBidi"/>
                <w:sz w:val="21"/>
                <w:szCs w:val="21"/>
              </w:rPr>
              <w:t>Ratio</w:t>
            </w:r>
          </w:p>
        </w:tc>
        <w:tc>
          <w:tcPr>
            <w:tcW w:w="0" w:type="auto"/>
            <w:hideMark/>
          </w:tcPr>
          <w:p w14:paraId="19C77577" w14:textId="77777777" w:rsidR="00EE5347" w:rsidRPr="00566FB5" w:rsidRDefault="00EE5347" w:rsidP="00EE5347">
            <w:pPr>
              <w:spacing w:before="60" w:after="100" w:line="360" w:lineRule="auto"/>
              <w:jc w:val="center"/>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2021</w:t>
            </w:r>
          </w:p>
        </w:tc>
        <w:tc>
          <w:tcPr>
            <w:tcW w:w="0" w:type="auto"/>
            <w:hideMark/>
          </w:tcPr>
          <w:p w14:paraId="13F221C3" w14:textId="77777777" w:rsidR="00EE5347" w:rsidRPr="00566FB5" w:rsidRDefault="00EE5347" w:rsidP="00EE5347">
            <w:pPr>
              <w:spacing w:before="60" w:after="100" w:line="360" w:lineRule="auto"/>
              <w:jc w:val="center"/>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2022</w:t>
            </w:r>
          </w:p>
        </w:tc>
        <w:tc>
          <w:tcPr>
            <w:tcW w:w="0" w:type="auto"/>
            <w:hideMark/>
          </w:tcPr>
          <w:p w14:paraId="4B05ECE9" w14:textId="77777777" w:rsidR="00EE5347" w:rsidRPr="00566FB5" w:rsidRDefault="00EE5347" w:rsidP="00EE5347">
            <w:pPr>
              <w:spacing w:before="60" w:after="100" w:line="360" w:lineRule="auto"/>
              <w:jc w:val="center"/>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2023</w:t>
            </w:r>
          </w:p>
        </w:tc>
        <w:tc>
          <w:tcPr>
            <w:tcW w:w="0" w:type="auto"/>
            <w:hideMark/>
          </w:tcPr>
          <w:p w14:paraId="3D5E93E4" w14:textId="77777777" w:rsidR="00EE5347" w:rsidRPr="00566FB5" w:rsidRDefault="00EE5347" w:rsidP="00EE5347">
            <w:pPr>
              <w:spacing w:before="60" w:after="100" w:line="360" w:lineRule="auto"/>
              <w:jc w:val="center"/>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2024</w:t>
            </w:r>
          </w:p>
        </w:tc>
        <w:tc>
          <w:tcPr>
            <w:tcW w:w="0" w:type="auto"/>
            <w:hideMark/>
          </w:tcPr>
          <w:p w14:paraId="705C6538" w14:textId="77777777" w:rsidR="00EE5347" w:rsidRPr="00566FB5" w:rsidRDefault="00EE5347" w:rsidP="00EE5347">
            <w:pPr>
              <w:spacing w:before="60" w:after="100" w:line="360" w:lineRule="auto"/>
              <w:jc w:val="center"/>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2025</w:t>
            </w:r>
          </w:p>
        </w:tc>
      </w:tr>
      <w:tr w:rsidR="00EE5347" w:rsidRPr="00A0292D" w14:paraId="0740905C" w14:textId="77777777" w:rsidTr="00EE5347">
        <w:trPr>
          <w:cnfStyle w:val="000000100000" w:firstRow="0" w:lastRow="0" w:firstColumn="0" w:lastColumn="0" w:oddVBand="0" w:evenVBand="0" w:oddHBand="1" w:evenHBand="0" w:firstRowFirstColumn="0" w:firstRowLastColumn="0" w:lastRowFirstColumn="0" w:lastRowLastColumn="0"/>
          <w:trHeight w:val="532"/>
        </w:trPr>
        <w:tc>
          <w:tcPr>
            <w:cnfStyle w:val="001000000000" w:firstRow="0" w:lastRow="0" w:firstColumn="1" w:lastColumn="0" w:oddVBand="0" w:evenVBand="0" w:oddHBand="0" w:evenHBand="0" w:firstRowFirstColumn="0" w:firstRowLastColumn="0" w:lastRowFirstColumn="0" w:lastRowLastColumn="0"/>
            <w:tcW w:w="0" w:type="auto"/>
            <w:hideMark/>
          </w:tcPr>
          <w:p w14:paraId="69CFC289" w14:textId="77777777" w:rsidR="00EE5347" w:rsidRPr="00566FB5" w:rsidRDefault="00EE5347" w:rsidP="00566FB5">
            <w:pPr>
              <w:spacing w:before="60" w:after="100" w:line="360" w:lineRule="auto"/>
              <w:jc w:val="both"/>
              <w:rPr>
                <w:rFonts w:asciiTheme="minorBidi" w:hAnsiTheme="minorBidi" w:cstheme="minorBidi"/>
                <w:sz w:val="21"/>
                <w:szCs w:val="21"/>
              </w:rPr>
            </w:pPr>
            <w:r w:rsidRPr="00566FB5">
              <w:rPr>
                <w:rFonts w:asciiTheme="minorBidi" w:hAnsiTheme="minorBidi" w:cstheme="minorBidi"/>
                <w:sz w:val="21"/>
                <w:szCs w:val="21"/>
              </w:rPr>
              <w:t>Inventory turnover</w:t>
            </w:r>
          </w:p>
        </w:tc>
        <w:tc>
          <w:tcPr>
            <w:tcW w:w="0" w:type="auto"/>
            <w:hideMark/>
          </w:tcPr>
          <w:p w14:paraId="6266FC80"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7.74</w:t>
            </w:r>
          </w:p>
        </w:tc>
        <w:tc>
          <w:tcPr>
            <w:tcW w:w="0" w:type="auto"/>
            <w:hideMark/>
          </w:tcPr>
          <w:p w14:paraId="23F1A892"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6.65</w:t>
            </w:r>
          </w:p>
        </w:tc>
        <w:tc>
          <w:tcPr>
            <w:tcW w:w="0" w:type="auto"/>
            <w:hideMark/>
          </w:tcPr>
          <w:p w14:paraId="08DCBC5D"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7.24</w:t>
            </w:r>
          </w:p>
        </w:tc>
        <w:tc>
          <w:tcPr>
            <w:tcW w:w="0" w:type="auto"/>
            <w:hideMark/>
          </w:tcPr>
          <w:p w14:paraId="1732EEAA"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7.75</w:t>
            </w:r>
          </w:p>
        </w:tc>
        <w:tc>
          <w:tcPr>
            <w:tcW w:w="0" w:type="auto"/>
            <w:hideMark/>
          </w:tcPr>
          <w:p w14:paraId="17FAB00D"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8.36</w:t>
            </w:r>
          </w:p>
        </w:tc>
      </w:tr>
      <w:tr w:rsidR="00EE5347" w:rsidRPr="00A0292D" w14:paraId="464F8CAA" w14:textId="77777777" w:rsidTr="00EE5347">
        <w:trPr>
          <w:trHeight w:val="509"/>
        </w:trPr>
        <w:tc>
          <w:tcPr>
            <w:cnfStyle w:val="001000000000" w:firstRow="0" w:lastRow="0" w:firstColumn="1" w:lastColumn="0" w:oddVBand="0" w:evenVBand="0" w:oddHBand="0" w:evenHBand="0" w:firstRowFirstColumn="0" w:firstRowLastColumn="0" w:lastRowFirstColumn="0" w:lastRowLastColumn="0"/>
            <w:tcW w:w="0" w:type="auto"/>
            <w:hideMark/>
          </w:tcPr>
          <w:p w14:paraId="52EEBE49" w14:textId="77777777" w:rsidR="00EE5347" w:rsidRPr="00566FB5" w:rsidRDefault="00EE5347" w:rsidP="00566FB5">
            <w:pPr>
              <w:spacing w:before="60" w:after="100" w:line="360" w:lineRule="auto"/>
              <w:jc w:val="both"/>
              <w:rPr>
                <w:rFonts w:asciiTheme="minorBidi" w:hAnsiTheme="minorBidi" w:cstheme="minorBidi"/>
                <w:sz w:val="21"/>
                <w:szCs w:val="21"/>
              </w:rPr>
            </w:pPr>
            <w:r w:rsidRPr="00566FB5">
              <w:rPr>
                <w:rFonts w:asciiTheme="minorBidi" w:hAnsiTheme="minorBidi" w:cstheme="minorBidi"/>
                <w:sz w:val="21"/>
                <w:szCs w:val="21"/>
              </w:rPr>
              <w:t>Receivables turnover</w:t>
            </w:r>
          </w:p>
        </w:tc>
        <w:tc>
          <w:tcPr>
            <w:tcW w:w="0" w:type="auto"/>
            <w:hideMark/>
          </w:tcPr>
          <w:p w14:paraId="2C06DE72"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2.77</w:t>
            </w:r>
          </w:p>
        </w:tc>
        <w:tc>
          <w:tcPr>
            <w:tcW w:w="0" w:type="auto"/>
            <w:hideMark/>
          </w:tcPr>
          <w:p w14:paraId="1E9092C8"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2.99</w:t>
            </w:r>
          </w:p>
        </w:tc>
        <w:tc>
          <w:tcPr>
            <w:tcW w:w="0" w:type="auto"/>
            <w:hideMark/>
          </w:tcPr>
          <w:p w14:paraId="2B5BD48E"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3.08</w:t>
            </w:r>
          </w:p>
        </w:tc>
        <w:tc>
          <w:tcPr>
            <w:tcW w:w="0" w:type="auto"/>
            <w:hideMark/>
          </w:tcPr>
          <w:p w14:paraId="7CF61384"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3.01</w:t>
            </w:r>
          </w:p>
        </w:tc>
        <w:tc>
          <w:tcPr>
            <w:tcW w:w="0" w:type="auto"/>
            <w:hideMark/>
          </w:tcPr>
          <w:p w14:paraId="0757972F"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3.13</w:t>
            </w:r>
          </w:p>
        </w:tc>
      </w:tr>
      <w:tr w:rsidR="00EE5347" w:rsidRPr="00A0292D" w14:paraId="2272F192" w14:textId="77777777" w:rsidTr="00EE5347">
        <w:trPr>
          <w:cnfStyle w:val="000000100000" w:firstRow="0" w:lastRow="0" w:firstColumn="0" w:lastColumn="0" w:oddVBand="0" w:evenVBand="0" w:oddHBand="1" w:evenHBand="0" w:firstRowFirstColumn="0" w:firstRowLastColumn="0" w:lastRowFirstColumn="0" w:lastRowLastColumn="0"/>
          <w:trHeight w:val="509"/>
        </w:trPr>
        <w:tc>
          <w:tcPr>
            <w:cnfStyle w:val="001000000000" w:firstRow="0" w:lastRow="0" w:firstColumn="1" w:lastColumn="0" w:oddVBand="0" w:evenVBand="0" w:oddHBand="0" w:evenHBand="0" w:firstRowFirstColumn="0" w:firstRowLastColumn="0" w:lastRowFirstColumn="0" w:lastRowLastColumn="0"/>
            <w:tcW w:w="0" w:type="auto"/>
            <w:hideMark/>
          </w:tcPr>
          <w:p w14:paraId="74D41E23" w14:textId="77777777" w:rsidR="00EE5347" w:rsidRPr="00566FB5" w:rsidRDefault="00EE5347" w:rsidP="00566FB5">
            <w:pPr>
              <w:spacing w:before="60" w:after="100" w:line="360" w:lineRule="auto"/>
              <w:jc w:val="both"/>
              <w:rPr>
                <w:rFonts w:asciiTheme="minorBidi" w:hAnsiTheme="minorBidi" w:cstheme="minorBidi"/>
                <w:sz w:val="21"/>
                <w:szCs w:val="21"/>
              </w:rPr>
            </w:pPr>
            <w:r w:rsidRPr="00566FB5">
              <w:rPr>
                <w:rFonts w:asciiTheme="minorBidi" w:hAnsiTheme="minorBidi" w:cstheme="minorBidi"/>
                <w:sz w:val="21"/>
                <w:szCs w:val="21"/>
              </w:rPr>
              <w:t>Total asset turnover</w:t>
            </w:r>
          </w:p>
        </w:tc>
        <w:tc>
          <w:tcPr>
            <w:tcW w:w="0" w:type="auto"/>
            <w:hideMark/>
          </w:tcPr>
          <w:p w14:paraId="08951064"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0.44</w:t>
            </w:r>
          </w:p>
        </w:tc>
        <w:tc>
          <w:tcPr>
            <w:tcW w:w="0" w:type="auto"/>
            <w:hideMark/>
          </w:tcPr>
          <w:p w14:paraId="59A2808D"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0.46</w:t>
            </w:r>
          </w:p>
        </w:tc>
        <w:tc>
          <w:tcPr>
            <w:tcW w:w="0" w:type="auto"/>
            <w:hideMark/>
          </w:tcPr>
          <w:p w14:paraId="4A2A9237"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0.50</w:t>
            </w:r>
          </w:p>
        </w:tc>
        <w:tc>
          <w:tcPr>
            <w:tcW w:w="0" w:type="auto"/>
            <w:hideMark/>
          </w:tcPr>
          <w:p w14:paraId="5E381E85"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0.50</w:t>
            </w:r>
          </w:p>
        </w:tc>
        <w:tc>
          <w:tcPr>
            <w:tcW w:w="0" w:type="auto"/>
            <w:hideMark/>
          </w:tcPr>
          <w:p w14:paraId="29F7CCA7"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0.51</w:t>
            </w:r>
          </w:p>
        </w:tc>
      </w:tr>
      <w:tr w:rsidR="00EE5347" w:rsidRPr="00A0292D" w14:paraId="6D5A634B" w14:textId="77777777" w:rsidTr="00EE5347">
        <w:trPr>
          <w:trHeight w:val="509"/>
        </w:trPr>
        <w:tc>
          <w:tcPr>
            <w:cnfStyle w:val="001000000000" w:firstRow="0" w:lastRow="0" w:firstColumn="1" w:lastColumn="0" w:oddVBand="0" w:evenVBand="0" w:oddHBand="0" w:evenHBand="0" w:firstRowFirstColumn="0" w:firstRowLastColumn="0" w:lastRowFirstColumn="0" w:lastRowLastColumn="0"/>
            <w:tcW w:w="0" w:type="auto"/>
            <w:hideMark/>
          </w:tcPr>
          <w:p w14:paraId="2EAA2BC8" w14:textId="77777777" w:rsidR="00EE5347" w:rsidRPr="00566FB5" w:rsidRDefault="00EE5347" w:rsidP="00566FB5">
            <w:pPr>
              <w:spacing w:before="60" w:after="100" w:line="360" w:lineRule="auto"/>
              <w:jc w:val="both"/>
              <w:rPr>
                <w:rFonts w:asciiTheme="minorBidi" w:hAnsiTheme="minorBidi" w:cstheme="minorBidi"/>
                <w:sz w:val="21"/>
                <w:szCs w:val="21"/>
              </w:rPr>
            </w:pPr>
            <w:r w:rsidRPr="00566FB5">
              <w:rPr>
                <w:rFonts w:asciiTheme="minorBidi" w:hAnsiTheme="minorBidi" w:cstheme="minorBidi"/>
                <w:sz w:val="21"/>
                <w:szCs w:val="21"/>
              </w:rPr>
              <w:t>Inventory days</w:t>
            </w:r>
          </w:p>
        </w:tc>
        <w:tc>
          <w:tcPr>
            <w:tcW w:w="0" w:type="auto"/>
            <w:hideMark/>
          </w:tcPr>
          <w:p w14:paraId="515E64E8"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47.1</w:t>
            </w:r>
          </w:p>
        </w:tc>
        <w:tc>
          <w:tcPr>
            <w:tcW w:w="0" w:type="auto"/>
            <w:hideMark/>
          </w:tcPr>
          <w:p w14:paraId="2D51FC89"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54.9</w:t>
            </w:r>
          </w:p>
        </w:tc>
        <w:tc>
          <w:tcPr>
            <w:tcW w:w="0" w:type="auto"/>
            <w:hideMark/>
          </w:tcPr>
          <w:p w14:paraId="3D51EEF5"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50.4</w:t>
            </w:r>
          </w:p>
        </w:tc>
        <w:tc>
          <w:tcPr>
            <w:tcW w:w="0" w:type="auto"/>
            <w:hideMark/>
          </w:tcPr>
          <w:p w14:paraId="0B490905"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47.1</w:t>
            </w:r>
          </w:p>
        </w:tc>
        <w:tc>
          <w:tcPr>
            <w:tcW w:w="0" w:type="auto"/>
            <w:hideMark/>
          </w:tcPr>
          <w:p w14:paraId="0BEBBA65"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43.7</w:t>
            </w:r>
          </w:p>
        </w:tc>
      </w:tr>
      <w:tr w:rsidR="00EE5347" w:rsidRPr="00A0292D" w14:paraId="6A6B58D6" w14:textId="77777777" w:rsidTr="00EE5347">
        <w:trPr>
          <w:cnfStyle w:val="000000100000" w:firstRow="0" w:lastRow="0" w:firstColumn="0" w:lastColumn="0" w:oddVBand="0" w:evenVBand="0" w:oddHBand="1" w:evenHBand="0" w:firstRowFirstColumn="0" w:firstRowLastColumn="0" w:lastRowFirstColumn="0" w:lastRowLastColumn="0"/>
          <w:trHeight w:val="532"/>
        </w:trPr>
        <w:tc>
          <w:tcPr>
            <w:cnfStyle w:val="001000000000" w:firstRow="0" w:lastRow="0" w:firstColumn="1" w:lastColumn="0" w:oddVBand="0" w:evenVBand="0" w:oddHBand="0" w:evenHBand="0" w:firstRowFirstColumn="0" w:firstRowLastColumn="0" w:lastRowFirstColumn="0" w:lastRowLastColumn="0"/>
            <w:tcW w:w="0" w:type="auto"/>
            <w:hideMark/>
          </w:tcPr>
          <w:p w14:paraId="3FA033B3" w14:textId="77777777" w:rsidR="00EE5347" w:rsidRPr="00566FB5" w:rsidRDefault="00EE5347" w:rsidP="00566FB5">
            <w:pPr>
              <w:spacing w:before="60" w:after="100" w:line="360" w:lineRule="auto"/>
              <w:jc w:val="both"/>
              <w:rPr>
                <w:rFonts w:asciiTheme="minorBidi" w:hAnsiTheme="minorBidi" w:cstheme="minorBidi"/>
                <w:sz w:val="21"/>
                <w:szCs w:val="21"/>
              </w:rPr>
            </w:pPr>
            <w:r w:rsidRPr="00566FB5">
              <w:rPr>
                <w:rFonts w:asciiTheme="minorBidi" w:hAnsiTheme="minorBidi" w:cstheme="minorBidi"/>
                <w:sz w:val="21"/>
                <w:szCs w:val="21"/>
              </w:rPr>
              <w:t>Receivables days</w:t>
            </w:r>
          </w:p>
        </w:tc>
        <w:tc>
          <w:tcPr>
            <w:tcW w:w="0" w:type="auto"/>
            <w:hideMark/>
          </w:tcPr>
          <w:p w14:paraId="7FEC32D0"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131.9</w:t>
            </w:r>
          </w:p>
        </w:tc>
        <w:tc>
          <w:tcPr>
            <w:tcW w:w="0" w:type="auto"/>
            <w:hideMark/>
          </w:tcPr>
          <w:p w14:paraId="23665F22"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122.0</w:t>
            </w:r>
          </w:p>
        </w:tc>
        <w:tc>
          <w:tcPr>
            <w:tcW w:w="0" w:type="auto"/>
            <w:hideMark/>
          </w:tcPr>
          <w:p w14:paraId="295C61B6"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118.7</w:t>
            </w:r>
          </w:p>
        </w:tc>
        <w:tc>
          <w:tcPr>
            <w:tcW w:w="0" w:type="auto"/>
            <w:hideMark/>
          </w:tcPr>
          <w:p w14:paraId="581D4C19"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121.1</w:t>
            </w:r>
          </w:p>
        </w:tc>
        <w:tc>
          <w:tcPr>
            <w:tcW w:w="0" w:type="auto"/>
            <w:hideMark/>
          </w:tcPr>
          <w:p w14:paraId="76FD31C5"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116.6</w:t>
            </w:r>
          </w:p>
        </w:tc>
      </w:tr>
      <w:tr w:rsidR="00EE5347" w:rsidRPr="00A0292D" w14:paraId="62C15935" w14:textId="77777777" w:rsidTr="00EE5347">
        <w:trPr>
          <w:trHeight w:val="509"/>
        </w:trPr>
        <w:tc>
          <w:tcPr>
            <w:cnfStyle w:val="001000000000" w:firstRow="0" w:lastRow="0" w:firstColumn="1" w:lastColumn="0" w:oddVBand="0" w:evenVBand="0" w:oddHBand="0" w:evenHBand="0" w:firstRowFirstColumn="0" w:firstRowLastColumn="0" w:lastRowFirstColumn="0" w:lastRowLastColumn="0"/>
            <w:tcW w:w="0" w:type="auto"/>
            <w:hideMark/>
          </w:tcPr>
          <w:p w14:paraId="333BF6C4" w14:textId="77777777" w:rsidR="00EE5347" w:rsidRPr="00566FB5" w:rsidRDefault="00EE5347" w:rsidP="00566FB5">
            <w:pPr>
              <w:spacing w:before="60" w:after="100" w:line="360" w:lineRule="auto"/>
              <w:jc w:val="both"/>
              <w:rPr>
                <w:rFonts w:asciiTheme="minorBidi" w:hAnsiTheme="minorBidi" w:cstheme="minorBidi"/>
                <w:sz w:val="21"/>
                <w:szCs w:val="21"/>
              </w:rPr>
            </w:pPr>
            <w:r w:rsidRPr="00566FB5">
              <w:rPr>
                <w:rFonts w:asciiTheme="minorBidi" w:hAnsiTheme="minorBidi" w:cstheme="minorBidi"/>
                <w:sz w:val="21"/>
                <w:szCs w:val="21"/>
              </w:rPr>
              <w:t>Payables days</w:t>
            </w:r>
          </w:p>
        </w:tc>
        <w:tc>
          <w:tcPr>
            <w:tcW w:w="0" w:type="auto"/>
            <w:hideMark/>
          </w:tcPr>
          <w:p w14:paraId="1E767BB2"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66.1</w:t>
            </w:r>
          </w:p>
        </w:tc>
        <w:tc>
          <w:tcPr>
            <w:tcW w:w="0" w:type="auto"/>
            <w:hideMark/>
          </w:tcPr>
          <w:p w14:paraId="427421DF"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61.6</w:t>
            </w:r>
          </w:p>
        </w:tc>
        <w:tc>
          <w:tcPr>
            <w:tcW w:w="0" w:type="auto"/>
            <w:hideMark/>
          </w:tcPr>
          <w:p w14:paraId="7C44496A"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59.1</w:t>
            </w:r>
          </w:p>
        </w:tc>
        <w:tc>
          <w:tcPr>
            <w:tcW w:w="0" w:type="auto"/>
            <w:hideMark/>
          </w:tcPr>
          <w:p w14:paraId="62C16CCE"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53.6</w:t>
            </w:r>
          </w:p>
        </w:tc>
        <w:tc>
          <w:tcPr>
            <w:tcW w:w="0" w:type="auto"/>
            <w:hideMark/>
          </w:tcPr>
          <w:p w14:paraId="3177FA12"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sz w:val="21"/>
                <w:szCs w:val="21"/>
              </w:rPr>
            </w:pPr>
            <w:r w:rsidRPr="00566FB5">
              <w:rPr>
                <w:rFonts w:asciiTheme="minorBidi" w:hAnsiTheme="minorBidi" w:cstheme="minorBidi"/>
                <w:sz w:val="21"/>
                <w:szCs w:val="21"/>
              </w:rPr>
              <w:t>52.5</w:t>
            </w:r>
          </w:p>
        </w:tc>
      </w:tr>
    </w:tbl>
    <w:p w14:paraId="2E8829D6" w14:textId="77777777" w:rsidR="00EE5347" w:rsidRPr="00A0292D" w:rsidRDefault="00EE5347" w:rsidP="00EE5347">
      <w:pPr>
        <w:rPr>
          <w:rFonts w:asciiTheme="minorBidi" w:hAnsiTheme="minorBidi" w:cstheme="minorBidi"/>
        </w:rPr>
      </w:pPr>
      <w:r w:rsidRPr="00A0292D">
        <w:rPr>
          <w:rFonts w:asciiTheme="minorBidi" w:hAnsiTheme="minorBidi" w:cstheme="minorBidi"/>
          <w:noProof/>
        </w:rPr>
        <w:drawing>
          <wp:inline distT="0" distB="0" distL="0" distR="0" wp14:anchorId="558D4516" wp14:editId="69D81BEA">
            <wp:extent cx="6248400" cy="2950845"/>
            <wp:effectExtent l="0" t="0" r="12700" b="8255"/>
            <wp:docPr id="1060662500" name="Chart 1">
              <a:extLst xmlns:a="http://schemas.openxmlformats.org/drawingml/2006/main">
                <a:ext uri="{FF2B5EF4-FFF2-40B4-BE49-F238E27FC236}">
                  <a16:creationId xmlns:a16="http://schemas.microsoft.com/office/drawing/2014/main" id="{00000000-0008-0000-03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8B9B994" w14:textId="77777777" w:rsidR="004F56BC" w:rsidRPr="00A0292D" w:rsidRDefault="000F1E9B" w:rsidP="00566FB5">
      <w:pPr>
        <w:pStyle w:val="Heading2"/>
        <w:rPr>
          <w:rFonts w:asciiTheme="minorBidi" w:hAnsiTheme="minorBidi" w:cstheme="minorBidi"/>
        </w:rPr>
      </w:pPr>
      <w:bookmarkStart w:id="9" w:name="_Toc227788456"/>
      <w:r w:rsidRPr="00A0292D">
        <w:rPr>
          <w:rFonts w:asciiTheme="minorBidi" w:hAnsiTheme="minorBidi" w:cstheme="minorBidi"/>
        </w:rPr>
        <w:t>2.5 Gearing and Capital Structure</w:t>
      </w:r>
      <w:bookmarkEnd w:id="9"/>
    </w:p>
    <w:p w14:paraId="48113D81" w14:textId="77777777" w:rsidR="004F56BC" w:rsidRPr="00A0292D" w:rsidRDefault="00335F39" w:rsidP="00335F39">
      <w:pPr>
        <w:spacing w:before="60" w:after="100" w:line="360" w:lineRule="auto"/>
        <w:jc w:val="both"/>
        <w:rPr>
          <w:rFonts w:asciiTheme="minorBidi" w:hAnsiTheme="minorBidi" w:cstheme="minorBidi"/>
          <w:sz w:val="24"/>
          <w:szCs w:val="24"/>
        </w:rPr>
      </w:pPr>
      <w:r w:rsidRPr="00A0292D">
        <w:rPr>
          <w:rFonts w:asciiTheme="minorBidi" w:hAnsiTheme="minorBidi" w:cstheme="minorBidi"/>
          <w:sz w:val="24"/>
          <w:szCs w:val="24"/>
        </w:rPr>
        <w:t>The capital structure of Toyota indicates that its liability is increasing, as well as its equity. In 2021, total liabilities were JPY 38.86 trillion and in 2025, it was JPY 57.68 trillion. The increase in total equity was also JPY 23.40 trillion to JPY 35.92 trillion. Consequently, debt-to-equity ratio was relatively steady (ranging between 1.58 to 1.66 times), whereas debt ratio was near to 61% to 62 percent. This stability must be taken in a cautious way. It represents an increase in the balance sheet as opposed to decreased financial strain. The net debt increased to JPY 17.41 trillion by moving up to JPY 12.00 trillion, and long-term debt increased significantly. Toyota thus seems firm on the headline gearing, but more extended when cash-backed debt capacity is taken into consideration</w:t>
      </w:r>
      <w:r w:rsidR="00C51075" w:rsidRPr="00A0292D">
        <w:rPr>
          <w:rFonts w:asciiTheme="minorBidi" w:hAnsiTheme="minorBidi" w:cstheme="minorBidi"/>
          <w:sz w:val="24"/>
          <w:szCs w:val="24"/>
        </w:rPr>
        <w:t xml:space="preserve"> (Watson and Head, 2010).</w:t>
      </w:r>
      <w:r w:rsidRPr="00A0292D">
        <w:rPr>
          <w:rFonts w:asciiTheme="minorBidi" w:hAnsiTheme="minorBidi" w:cstheme="minorBidi"/>
          <w:sz w:val="24"/>
          <w:szCs w:val="24"/>
        </w:rPr>
        <w:t>.</w:t>
      </w:r>
    </w:p>
    <w:p w14:paraId="5871566D" w14:textId="77777777" w:rsidR="00566FB5" w:rsidRPr="00566FB5" w:rsidRDefault="00566FB5" w:rsidP="00EE5347">
      <w:pPr>
        <w:spacing w:before="60" w:after="100" w:line="360" w:lineRule="auto"/>
        <w:jc w:val="center"/>
        <w:rPr>
          <w:rFonts w:asciiTheme="minorBidi" w:hAnsiTheme="minorBidi" w:cstheme="minorBidi"/>
          <w:b/>
          <w:bCs/>
        </w:rPr>
      </w:pPr>
      <w:r w:rsidRPr="00566FB5">
        <w:rPr>
          <w:rFonts w:asciiTheme="minorBidi" w:hAnsiTheme="minorBidi" w:cstheme="minorBidi"/>
          <w:b/>
          <w:bCs/>
        </w:rPr>
        <w:t xml:space="preserve">Table </w:t>
      </w:r>
      <w:r w:rsidR="00EE5347" w:rsidRPr="00A0292D">
        <w:rPr>
          <w:rFonts w:asciiTheme="minorBidi" w:hAnsiTheme="minorBidi" w:cstheme="minorBidi"/>
          <w:b/>
          <w:bCs/>
        </w:rPr>
        <w:t>5</w:t>
      </w:r>
      <w:r w:rsidRPr="00566FB5">
        <w:rPr>
          <w:rFonts w:asciiTheme="minorBidi" w:hAnsiTheme="minorBidi" w:cstheme="minorBidi"/>
          <w:b/>
          <w:bCs/>
        </w:rPr>
        <w:t xml:space="preserve"> Gearing ratios, 2021 to 2025</w:t>
      </w:r>
    </w:p>
    <w:tbl>
      <w:tblPr>
        <w:tblStyle w:val="GridTable4-Accent1"/>
        <w:tblW w:w="9807" w:type="dxa"/>
        <w:tblLook w:val="04A0" w:firstRow="1" w:lastRow="0" w:firstColumn="1" w:lastColumn="0" w:noHBand="0" w:noVBand="1"/>
      </w:tblPr>
      <w:tblGrid>
        <w:gridCol w:w="3442"/>
        <w:gridCol w:w="1273"/>
        <w:gridCol w:w="1273"/>
        <w:gridCol w:w="1273"/>
        <w:gridCol w:w="1273"/>
        <w:gridCol w:w="1273"/>
      </w:tblGrid>
      <w:tr w:rsidR="00EE5347" w:rsidRPr="00A0292D" w14:paraId="47426F7B" w14:textId="77777777" w:rsidTr="00EE5347">
        <w:trPr>
          <w:cnfStyle w:val="100000000000" w:firstRow="1" w:lastRow="0" w:firstColumn="0" w:lastColumn="0" w:oddVBand="0" w:evenVBand="0" w:oddHBand="0" w:evenHBand="0" w:firstRowFirstColumn="0" w:firstRowLastColumn="0" w:lastRowFirstColumn="0" w:lastRowLastColumn="0"/>
          <w:trHeight w:val="554"/>
        </w:trPr>
        <w:tc>
          <w:tcPr>
            <w:cnfStyle w:val="001000000000" w:firstRow="0" w:lastRow="0" w:firstColumn="1" w:lastColumn="0" w:oddVBand="0" w:evenVBand="0" w:oddHBand="0" w:evenHBand="0" w:firstRowFirstColumn="0" w:firstRowLastColumn="0" w:lastRowFirstColumn="0" w:lastRowLastColumn="0"/>
            <w:tcW w:w="0" w:type="auto"/>
            <w:hideMark/>
          </w:tcPr>
          <w:p w14:paraId="0F0D8844" w14:textId="77777777" w:rsidR="00EE5347" w:rsidRPr="00566FB5" w:rsidRDefault="00EE5347" w:rsidP="00EE5347">
            <w:pPr>
              <w:spacing w:before="60" w:after="100" w:line="360" w:lineRule="auto"/>
              <w:jc w:val="center"/>
              <w:rPr>
                <w:rFonts w:asciiTheme="minorBidi" w:hAnsiTheme="minorBidi" w:cstheme="minorBidi"/>
              </w:rPr>
            </w:pPr>
            <w:r w:rsidRPr="00566FB5">
              <w:rPr>
                <w:rFonts w:asciiTheme="minorBidi" w:hAnsiTheme="minorBidi" w:cstheme="minorBidi"/>
              </w:rPr>
              <w:t>Ratio</w:t>
            </w:r>
          </w:p>
        </w:tc>
        <w:tc>
          <w:tcPr>
            <w:tcW w:w="0" w:type="auto"/>
            <w:hideMark/>
          </w:tcPr>
          <w:p w14:paraId="15314510" w14:textId="77777777" w:rsidR="00EE5347" w:rsidRPr="00566FB5" w:rsidRDefault="00EE5347" w:rsidP="00EE5347">
            <w:pPr>
              <w:spacing w:before="60" w:after="100" w:line="360" w:lineRule="auto"/>
              <w:jc w:val="center"/>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2021</w:t>
            </w:r>
          </w:p>
        </w:tc>
        <w:tc>
          <w:tcPr>
            <w:tcW w:w="0" w:type="auto"/>
            <w:hideMark/>
          </w:tcPr>
          <w:p w14:paraId="1E333EAC" w14:textId="77777777" w:rsidR="00EE5347" w:rsidRPr="00566FB5" w:rsidRDefault="00EE5347" w:rsidP="00EE5347">
            <w:pPr>
              <w:spacing w:before="60" w:after="100" w:line="360" w:lineRule="auto"/>
              <w:jc w:val="center"/>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2022</w:t>
            </w:r>
          </w:p>
        </w:tc>
        <w:tc>
          <w:tcPr>
            <w:tcW w:w="0" w:type="auto"/>
            <w:hideMark/>
          </w:tcPr>
          <w:p w14:paraId="2EF80761" w14:textId="77777777" w:rsidR="00EE5347" w:rsidRPr="00566FB5" w:rsidRDefault="00EE5347" w:rsidP="00EE5347">
            <w:pPr>
              <w:spacing w:before="60" w:after="100" w:line="360" w:lineRule="auto"/>
              <w:jc w:val="center"/>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2023</w:t>
            </w:r>
          </w:p>
        </w:tc>
        <w:tc>
          <w:tcPr>
            <w:tcW w:w="0" w:type="auto"/>
            <w:hideMark/>
          </w:tcPr>
          <w:p w14:paraId="7C3FE53B" w14:textId="77777777" w:rsidR="00EE5347" w:rsidRPr="00566FB5" w:rsidRDefault="00EE5347" w:rsidP="00EE5347">
            <w:pPr>
              <w:spacing w:before="60" w:after="100" w:line="360" w:lineRule="auto"/>
              <w:jc w:val="center"/>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2024</w:t>
            </w:r>
          </w:p>
        </w:tc>
        <w:tc>
          <w:tcPr>
            <w:tcW w:w="0" w:type="auto"/>
            <w:hideMark/>
          </w:tcPr>
          <w:p w14:paraId="3A4A1633" w14:textId="77777777" w:rsidR="00EE5347" w:rsidRPr="00566FB5" w:rsidRDefault="00EE5347" w:rsidP="00EE5347">
            <w:pPr>
              <w:spacing w:before="60" w:after="100" w:line="360" w:lineRule="auto"/>
              <w:jc w:val="center"/>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2025</w:t>
            </w:r>
          </w:p>
        </w:tc>
      </w:tr>
      <w:tr w:rsidR="00EE5347" w:rsidRPr="00A0292D" w14:paraId="053D3459" w14:textId="77777777" w:rsidTr="00EE5347">
        <w:trPr>
          <w:cnfStyle w:val="000000100000" w:firstRow="0" w:lastRow="0" w:firstColumn="0" w:lastColumn="0" w:oddVBand="0" w:evenVBand="0" w:oddHBand="1" w:evenHBand="0" w:firstRowFirstColumn="0" w:firstRowLastColumn="0" w:lastRowFirstColumn="0" w:lastRowLastColumn="0"/>
          <w:trHeight w:val="554"/>
        </w:trPr>
        <w:tc>
          <w:tcPr>
            <w:cnfStyle w:val="001000000000" w:firstRow="0" w:lastRow="0" w:firstColumn="1" w:lastColumn="0" w:oddVBand="0" w:evenVBand="0" w:oddHBand="0" w:evenHBand="0" w:firstRowFirstColumn="0" w:firstRowLastColumn="0" w:lastRowFirstColumn="0" w:lastRowLastColumn="0"/>
            <w:tcW w:w="0" w:type="auto"/>
            <w:hideMark/>
          </w:tcPr>
          <w:p w14:paraId="5ABB8A10" w14:textId="77777777" w:rsidR="00EE5347" w:rsidRPr="00566FB5" w:rsidRDefault="00EE5347" w:rsidP="00EE5347">
            <w:pPr>
              <w:spacing w:before="60" w:after="100" w:line="360" w:lineRule="auto"/>
              <w:jc w:val="center"/>
              <w:rPr>
                <w:rFonts w:asciiTheme="minorBidi" w:hAnsiTheme="minorBidi" w:cstheme="minorBidi"/>
              </w:rPr>
            </w:pPr>
            <w:r w:rsidRPr="00566FB5">
              <w:rPr>
                <w:rFonts w:asciiTheme="minorBidi" w:hAnsiTheme="minorBidi" w:cstheme="minorBidi"/>
              </w:rPr>
              <w:t>Debt to equity</w:t>
            </w:r>
          </w:p>
        </w:tc>
        <w:tc>
          <w:tcPr>
            <w:tcW w:w="0" w:type="auto"/>
            <w:hideMark/>
          </w:tcPr>
          <w:p w14:paraId="67AC737B"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1.66</w:t>
            </w:r>
          </w:p>
        </w:tc>
        <w:tc>
          <w:tcPr>
            <w:tcW w:w="0" w:type="auto"/>
            <w:hideMark/>
          </w:tcPr>
          <w:p w14:paraId="5DD7368F"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1.58</w:t>
            </w:r>
          </w:p>
        </w:tc>
        <w:tc>
          <w:tcPr>
            <w:tcW w:w="0" w:type="auto"/>
            <w:hideMark/>
          </w:tcPr>
          <w:p w14:paraId="2454F5FA"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1.62</w:t>
            </w:r>
          </w:p>
        </w:tc>
        <w:tc>
          <w:tcPr>
            <w:tcW w:w="0" w:type="auto"/>
            <w:hideMark/>
          </w:tcPr>
          <w:p w14:paraId="6A6D2C1E"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1.63</w:t>
            </w:r>
          </w:p>
        </w:tc>
        <w:tc>
          <w:tcPr>
            <w:tcW w:w="0" w:type="auto"/>
            <w:hideMark/>
          </w:tcPr>
          <w:p w14:paraId="794272DB"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1.61</w:t>
            </w:r>
          </w:p>
        </w:tc>
      </w:tr>
      <w:tr w:rsidR="00EE5347" w:rsidRPr="00A0292D" w14:paraId="42D76204" w14:textId="77777777" w:rsidTr="00EE5347">
        <w:trPr>
          <w:trHeight w:val="554"/>
        </w:trPr>
        <w:tc>
          <w:tcPr>
            <w:cnfStyle w:val="001000000000" w:firstRow="0" w:lastRow="0" w:firstColumn="1" w:lastColumn="0" w:oddVBand="0" w:evenVBand="0" w:oddHBand="0" w:evenHBand="0" w:firstRowFirstColumn="0" w:firstRowLastColumn="0" w:lastRowFirstColumn="0" w:lastRowLastColumn="0"/>
            <w:tcW w:w="0" w:type="auto"/>
            <w:hideMark/>
          </w:tcPr>
          <w:p w14:paraId="180DE651" w14:textId="77777777" w:rsidR="00EE5347" w:rsidRPr="00566FB5" w:rsidRDefault="00EE5347" w:rsidP="00EE5347">
            <w:pPr>
              <w:spacing w:before="60" w:after="100" w:line="360" w:lineRule="auto"/>
              <w:jc w:val="center"/>
              <w:rPr>
                <w:rFonts w:asciiTheme="minorBidi" w:hAnsiTheme="minorBidi" w:cstheme="minorBidi"/>
              </w:rPr>
            </w:pPr>
            <w:r w:rsidRPr="00566FB5">
              <w:rPr>
                <w:rFonts w:asciiTheme="minorBidi" w:hAnsiTheme="minorBidi" w:cstheme="minorBidi"/>
              </w:rPr>
              <w:t>Debt ratio %</w:t>
            </w:r>
          </w:p>
        </w:tc>
        <w:tc>
          <w:tcPr>
            <w:tcW w:w="0" w:type="auto"/>
            <w:hideMark/>
          </w:tcPr>
          <w:p w14:paraId="68497CCD"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62.40</w:t>
            </w:r>
          </w:p>
        </w:tc>
        <w:tc>
          <w:tcPr>
            <w:tcW w:w="0" w:type="auto"/>
            <w:hideMark/>
          </w:tcPr>
          <w:p w14:paraId="6645BA55"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61.22</w:t>
            </w:r>
          </w:p>
        </w:tc>
        <w:tc>
          <w:tcPr>
            <w:tcW w:w="0" w:type="auto"/>
            <w:hideMark/>
          </w:tcPr>
          <w:p w14:paraId="1C0A445E"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61.86</w:t>
            </w:r>
          </w:p>
        </w:tc>
        <w:tc>
          <w:tcPr>
            <w:tcW w:w="0" w:type="auto"/>
            <w:hideMark/>
          </w:tcPr>
          <w:p w14:paraId="50ED9CCB"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62.02</w:t>
            </w:r>
          </w:p>
        </w:tc>
        <w:tc>
          <w:tcPr>
            <w:tcW w:w="0" w:type="auto"/>
            <w:hideMark/>
          </w:tcPr>
          <w:p w14:paraId="46A4FEFF" w14:textId="77777777" w:rsidR="00EE5347" w:rsidRPr="00566FB5" w:rsidRDefault="00EE5347" w:rsidP="00EE5347">
            <w:pPr>
              <w:spacing w:before="60" w:after="100" w:line="360" w:lineRule="auto"/>
              <w:jc w:val="center"/>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61.62</w:t>
            </w:r>
          </w:p>
        </w:tc>
      </w:tr>
      <w:tr w:rsidR="00EE5347" w:rsidRPr="00A0292D" w14:paraId="37B7F193" w14:textId="77777777" w:rsidTr="00EE5347">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0" w:type="auto"/>
            <w:hideMark/>
          </w:tcPr>
          <w:p w14:paraId="5BD80413" w14:textId="77777777" w:rsidR="00EE5347" w:rsidRPr="00566FB5" w:rsidRDefault="00EE5347" w:rsidP="00EE5347">
            <w:pPr>
              <w:spacing w:before="60" w:after="100" w:line="360" w:lineRule="auto"/>
              <w:jc w:val="center"/>
              <w:rPr>
                <w:rFonts w:asciiTheme="minorBidi" w:hAnsiTheme="minorBidi" w:cstheme="minorBidi"/>
              </w:rPr>
            </w:pPr>
            <w:r w:rsidRPr="00566FB5">
              <w:rPr>
                <w:rFonts w:asciiTheme="minorBidi" w:hAnsiTheme="minorBidi" w:cstheme="minorBidi"/>
              </w:rPr>
              <w:t>Net debt to equity</w:t>
            </w:r>
          </w:p>
        </w:tc>
        <w:tc>
          <w:tcPr>
            <w:tcW w:w="0" w:type="auto"/>
            <w:hideMark/>
          </w:tcPr>
          <w:p w14:paraId="092137D4"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0.51</w:t>
            </w:r>
          </w:p>
        </w:tc>
        <w:tc>
          <w:tcPr>
            <w:tcW w:w="0" w:type="auto"/>
            <w:hideMark/>
          </w:tcPr>
          <w:p w14:paraId="5A677B35"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0.52</w:t>
            </w:r>
          </w:p>
        </w:tc>
        <w:tc>
          <w:tcPr>
            <w:tcW w:w="0" w:type="auto"/>
            <w:hideMark/>
          </w:tcPr>
          <w:p w14:paraId="4EEE8D20"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0.55</w:t>
            </w:r>
          </w:p>
        </w:tc>
        <w:tc>
          <w:tcPr>
            <w:tcW w:w="0" w:type="auto"/>
            <w:hideMark/>
          </w:tcPr>
          <w:p w14:paraId="30A8DB8B"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0.50</w:t>
            </w:r>
          </w:p>
        </w:tc>
        <w:tc>
          <w:tcPr>
            <w:tcW w:w="0" w:type="auto"/>
            <w:hideMark/>
          </w:tcPr>
          <w:p w14:paraId="58FB31F2" w14:textId="77777777" w:rsidR="00EE5347" w:rsidRPr="00566FB5" w:rsidRDefault="00EE5347" w:rsidP="00EE5347">
            <w:pPr>
              <w:spacing w:before="60" w:after="100" w:line="360" w:lineRule="auto"/>
              <w:jc w:val="center"/>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0.48</w:t>
            </w:r>
          </w:p>
        </w:tc>
      </w:tr>
    </w:tbl>
    <w:p w14:paraId="26BB5405" w14:textId="77777777" w:rsidR="00EE5347" w:rsidRPr="00A0292D" w:rsidRDefault="00EE5347" w:rsidP="00EE5347">
      <w:pPr>
        <w:rPr>
          <w:rFonts w:asciiTheme="minorBidi" w:hAnsiTheme="minorBidi" w:cstheme="minorBidi"/>
        </w:rPr>
      </w:pPr>
      <w:r w:rsidRPr="00A0292D">
        <w:rPr>
          <w:rFonts w:asciiTheme="minorBidi" w:hAnsiTheme="minorBidi" w:cstheme="minorBidi"/>
          <w:noProof/>
        </w:rPr>
        <w:drawing>
          <wp:inline distT="0" distB="0" distL="0" distR="0" wp14:anchorId="1D205CF5" wp14:editId="7A5D1D79">
            <wp:extent cx="6248400" cy="2950845"/>
            <wp:effectExtent l="0" t="0" r="12700" b="8255"/>
            <wp:docPr id="1673296813" name="Chart 1">
              <a:extLst xmlns:a="http://schemas.openxmlformats.org/drawingml/2006/main">
                <a:ext uri="{FF2B5EF4-FFF2-40B4-BE49-F238E27FC236}">
                  <a16:creationId xmlns:a16="http://schemas.microsoft.com/office/drawing/2014/main" id="{00000000-0008-0000-04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B92FF75" w14:textId="77777777" w:rsidR="004F56BC" w:rsidRPr="00A0292D" w:rsidRDefault="000F1E9B" w:rsidP="00EE5347">
      <w:pPr>
        <w:pStyle w:val="Heading2"/>
        <w:rPr>
          <w:rFonts w:asciiTheme="minorBidi" w:hAnsiTheme="minorBidi" w:cstheme="minorBidi"/>
        </w:rPr>
      </w:pPr>
      <w:bookmarkStart w:id="10" w:name="_Toc227788457"/>
      <w:r w:rsidRPr="00A0292D">
        <w:rPr>
          <w:rFonts w:asciiTheme="minorBidi" w:hAnsiTheme="minorBidi" w:cstheme="minorBidi"/>
        </w:rPr>
        <w:t>2.6 Investment Ratios</w:t>
      </w:r>
      <w:bookmarkEnd w:id="10"/>
    </w:p>
    <w:p w14:paraId="515F1BD2" w14:textId="77777777" w:rsidR="00EE5347" w:rsidRPr="00EE5347" w:rsidRDefault="00335F39" w:rsidP="00335F39">
      <w:pPr>
        <w:spacing w:before="60" w:after="100" w:line="360" w:lineRule="auto"/>
        <w:jc w:val="both"/>
        <w:rPr>
          <w:rFonts w:asciiTheme="minorBidi" w:hAnsiTheme="minorBidi" w:cstheme="minorBidi"/>
          <w:sz w:val="24"/>
          <w:szCs w:val="24"/>
        </w:rPr>
      </w:pPr>
      <w:r w:rsidRPr="00A0292D">
        <w:rPr>
          <w:rFonts w:asciiTheme="minorBidi" w:hAnsiTheme="minorBidi" w:cstheme="minorBidi"/>
          <w:sz w:val="24"/>
          <w:szCs w:val="24"/>
        </w:rPr>
        <w:t>The ratios of investment indicate a better performance trend of shareholders over the period. Diluted EPS rose from JPY 158.93 in 2021 to JPY 359.56 in 2025, after peaking in 2024 at JPY 365.94. The retained earnings also improved consistently between JPY 24.10 trillion to JPY 35.84 trillion. These are the numbers which suggest Toyota was still creating value to shareholders and building internal reserves</w:t>
      </w:r>
      <w:r w:rsidR="00EE5347" w:rsidRPr="00EE5347">
        <w:rPr>
          <w:rFonts w:asciiTheme="minorBidi" w:hAnsiTheme="minorBidi" w:cstheme="minorBidi"/>
          <w:sz w:val="24"/>
          <w:szCs w:val="24"/>
        </w:rPr>
        <w:t xml:space="preserve">. </w:t>
      </w:r>
    </w:p>
    <w:p w14:paraId="48BB2BEB" w14:textId="77777777" w:rsidR="004F56BC" w:rsidRPr="00A0292D" w:rsidRDefault="00A31045" w:rsidP="00A31045">
      <w:pPr>
        <w:spacing w:before="60" w:after="100" w:line="360" w:lineRule="auto"/>
        <w:jc w:val="both"/>
        <w:rPr>
          <w:rFonts w:asciiTheme="minorBidi" w:hAnsiTheme="minorBidi" w:cstheme="minorBidi"/>
          <w:sz w:val="24"/>
          <w:szCs w:val="24"/>
        </w:rPr>
      </w:pPr>
      <w:r w:rsidRPr="00A0292D">
        <w:rPr>
          <w:rFonts w:asciiTheme="minorBidi" w:hAnsiTheme="minorBidi" w:cstheme="minorBidi"/>
          <w:sz w:val="24"/>
          <w:szCs w:val="24"/>
        </w:rPr>
        <w:t>Nevertheless, the dividend record presented in the assignment data is not complete, and only 2021 has a figure of dividend per share. Meanwhile, the amount of total dividends paid increased to JPY 0.63 trillion in 2021 to JPY 1.13 trillion in 2025. This implies that the amount of investments that were made in the shareholders was high at a time when there was negative free cash flow (Fridson and Alvarez, 2022</w:t>
      </w:r>
      <w:r w:rsidR="00EE5347" w:rsidRPr="00EE5347">
        <w:rPr>
          <w:rFonts w:asciiTheme="minorBidi" w:hAnsiTheme="minorBidi" w:cstheme="minorBidi"/>
          <w:sz w:val="24"/>
          <w:szCs w:val="24"/>
        </w:rPr>
        <w:t>)</w:t>
      </w:r>
      <w:r w:rsidRPr="00A0292D">
        <w:rPr>
          <w:rFonts w:asciiTheme="minorBidi" w:hAnsiTheme="minorBidi" w:cstheme="minorBidi"/>
          <w:sz w:val="24"/>
          <w:szCs w:val="24"/>
        </w:rPr>
        <w:t>.</w:t>
      </w:r>
    </w:p>
    <w:p w14:paraId="4F90AE09" w14:textId="77777777" w:rsidR="00566FB5" w:rsidRPr="00566FB5" w:rsidRDefault="00566FB5" w:rsidP="00EE5347">
      <w:pPr>
        <w:spacing w:before="60" w:after="100" w:line="360" w:lineRule="auto"/>
        <w:jc w:val="center"/>
        <w:rPr>
          <w:rFonts w:asciiTheme="minorBidi" w:hAnsiTheme="minorBidi" w:cstheme="minorBidi"/>
          <w:b/>
          <w:bCs/>
        </w:rPr>
      </w:pPr>
      <w:r w:rsidRPr="00566FB5">
        <w:rPr>
          <w:rFonts w:asciiTheme="minorBidi" w:hAnsiTheme="minorBidi" w:cstheme="minorBidi"/>
          <w:b/>
          <w:bCs/>
        </w:rPr>
        <w:t xml:space="preserve">Table </w:t>
      </w:r>
      <w:r w:rsidR="00EE5347" w:rsidRPr="00A0292D">
        <w:rPr>
          <w:rFonts w:asciiTheme="minorBidi" w:hAnsiTheme="minorBidi" w:cstheme="minorBidi"/>
          <w:b/>
          <w:bCs/>
        </w:rPr>
        <w:t>6</w:t>
      </w:r>
      <w:r w:rsidRPr="00566FB5">
        <w:rPr>
          <w:rFonts w:asciiTheme="minorBidi" w:hAnsiTheme="minorBidi" w:cstheme="minorBidi"/>
          <w:b/>
          <w:bCs/>
        </w:rPr>
        <w:t xml:space="preserve"> Investment ratios and shareholder indicators, 2021 to 2025</w:t>
      </w:r>
    </w:p>
    <w:tbl>
      <w:tblPr>
        <w:tblStyle w:val="GridTable4-Accent1"/>
        <w:tblW w:w="9694" w:type="dxa"/>
        <w:tblLook w:val="04A0" w:firstRow="1" w:lastRow="0" w:firstColumn="1" w:lastColumn="0" w:noHBand="0" w:noVBand="1"/>
      </w:tblPr>
      <w:tblGrid>
        <w:gridCol w:w="3919"/>
        <w:gridCol w:w="1155"/>
        <w:gridCol w:w="1155"/>
        <w:gridCol w:w="1155"/>
        <w:gridCol w:w="1155"/>
        <w:gridCol w:w="1155"/>
      </w:tblGrid>
      <w:tr w:rsidR="00EE5347" w:rsidRPr="00A0292D" w14:paraId="4768B511" w14:textId="77777777" w:rsidTr="00EE5347">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0" w:type="auto"/>
            <w:hideMark/>
          </w:tcPr>
          <w:p w14:paraId="7C717D09" w14:textId="77777777" w:rsidR="00EE5347" w:rsidRPr="00566FB5" w:rsidRDefault="00EE5347" w:rsidP="00566FB5">
            <w:pPr>
              <w:spacing w:before="60" w:after="100" w:line="360" w:lineRule="auto"/>
              <w:jc w:val="both"/>
              <w:rPr>
                <w:rFonts w:asciiTheme="minorBidi" w:hAnsiTheme="minorBidi" w:cstheme="minorBidi"/>
              </w:rPr>
            </w:pPr>
            <w:r w:rsidRPr="00566FB5">
              <w:rPr>
                <w:rFonts w:asciiTheme="minorBidi" w:hAnsiTheme="minorBidi" w:cstheme="minorBidi"/>
              </w:rPr>
              <w:t>Indicator</w:t>
            </w:r>
          </w:p>
        </w:tc>
        <w:tc>
          <w:tcPr>
            <w:tcW w:w="0" w:type="auto"/>
            <w:hideMark/>
          </w:tcPr>
          <w:p w14:paraId="28D6C672" w14:textId="77777777" w:rsidR="00EE5347" w:rsidRPr="00566FB5" w:rsidRDefault="00EE5347"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2021</w:t>
            </w:r>
          </w:p>
        </w:tc>
        <w:tc>
          <w:tcPr>
            <w:tcW w:w="0" w:type="auto"/>
            <w:hideMark/>
          </w:tcPr>
          <w:p w14:paraId="5287C6C6" w14:textId="77777777" w:rsidR="00EE5347" w:rsidRPr="00566FB5" w:rsidRDefault="00EE5347"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2022</w:t>
            </w:r>
          </w:p>
        </w:tc>
        <w:tc>
          <w:tcPr>
            <w:tcW w:w="0" w:type="auto"/>
            <w:hideMark/>
          </w:tcPr>
          <w:p w14:paraId="3DE17F15" w14:textId="77777777" w:rsidR="00EE5347" w:rsidRPr="00566FB5" w:rsidRDefault="00EE5347"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2023</w:t>
            </w:r>
          </w:p>
        </w:tc>
        <w:tc>
          <w:tcPr>
            <w:tcW w:w="0" w:type="auto"/>
            <w:hideMark/>
          </w:tcPr>
          <w:p w14:paraId="0ED52AB7" w14:textId="77777777" w:rsidR="00EE5347" w:rsidRPr="00566FB5" w:rsidRDefault="00EE5347"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2024</w:t>
            </w:r>
          </w:p>
        </w:tc>
        <w:tc>
          <w:tcPr>
            <w:tcW w:w="0" w:type="auto"/>
            <w:hideMark/>
          </w:tcPr>
          <w:p w14:paraId="22D4590B" w14:textId="77777777" w:rsidR="00EE5347" w:rsidRPr="00566FB5" w:rsidRDefault="00EE5347"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2025</w:t>
            </w:r>
          </w:p>
        </w:tc>
      </w:tr>
      <w:tr w:rsidR="00EE5347" w:rsidRPr="00A0292D" w14:paraId="6E414590" w14:textId="77777777" w:rsidTr="00EE5347">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0" w:type="auto"/>
            <w:hideMark/>
          </w:tcPr>
          <w:p w14:paraId="16F71E40" w14:textId="77777777" w:rsidR="00EE5347" w:rsidRPr="00566FB5" w:rsidRDefault="00EE5347" w:rsidP="00566FB5">
            <w:pPr>
              <w:spacing w:before="60" w:after="100" w:line="360" w:lineRule="auto"/>
              <w:jc w:val="both"/>
              <w:rPr>
                <w:rFonts w:asciiTheme="minorBidi" w:hAnsiTheme="minorBidi" w:cstheme="minorBidi"/>
              </w:rPr>
            </w:pPr>
            <w:r w:rsidRPr="00566FB5">
              <w:rPr>
                <w:rFonts w:asciiTheme="minorBidi" w:hAnsiTheme="minorBidi" w:cstheme="minorBidi"/>
              </w:rPr>
              <w:t>Diluted EPS (JPY)</w:t>
            </w:r>
          </w:p>
        </w:tc>
        <w:tc>
          <w:tcPr>
            <w:tcW w:w="0" w:type="auto"/>
            <w:hideMark/>
          </w:tcPr>
          <w:p w14:paraId="21504542"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158.93</w:t>
            </w:r>
          </w:p>
        </w:tc>
        <w:tc>
          <w:tcPr>
            <w:tcW w:w="0" w:type="auto"/>
            <w:hideMark/>
          </w:tcPr>
          <w:p w14:paraId="1F7DBDCF"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205.23</w:t>
            </w:r>
          </w:p>
        </w:tc>
        <w:tc>
          <w:tcPr>
            <w:tcW w:w="0" w:type="auto"/>
            <w:hideMark/>
          </w:tcPr>
          <w:p w14:paraId="35E776F5"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179.47</w:t>
            </w:r>
          </w:p>
        </w:tc>
        <w:tc>
          <w:tcPr>
            <w:tcW w:w="0" w:type="auto"/>
            <w:hideMark/>
          </w:tcPr>
          <w:p w14:paraId="0BCB56CB"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365.94</w:t>
            </w:r>
          </w:p>
        </w:tc>
        <w:tc>
          <w:tcPr>
            <w:tcW w:w="0" w:type="auto"/>
            <w:hideMark/>
          </w:tcPr>
          <w:p w14:paraId="12CD6FA8"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359.56</w:t>
            </w:r>
          </w:p>
        </w:tc>
      </w:tr>
      <w:tr w:rsidR="00EE5347" w:rsidRPr="00A0292D" w14:paraId="09569273" w14:textId="77777777" w:rsidTr="00EE5347">
        <w:trPr>
          <w:trHeight w:val="558"/>
        </w:trPr>
        <w:tc>
          <w:tcPr>
            <w:cnfStyle w:val="001000000000" w:firstRow="0" w:lastRow="0" w:firstColumn="1" w:lastColumn="0" w:oddVBand="0" w:evenVBand="0" w:oddHBand="0" w:evenHBand="0" w:firstRowFirstColumn="0" w:firstRowLastColumn="0" w:lastRowFirstColumn="0" w:lastRowLastColumn="0"/>
            <w:tcW w:w="0" w:type="auto"/>
            <w:hideMark/>
          </w:tcPr>
          <w:p w14:paraId="591694BB" w14:textId="77777777" w:rsidR="00EE5347" w:rsidRPr="00566FB5" w:rsidRDefault="00EE5347" w:rsidP="00566FB5">
            <w:pPr>
              <w:spacing w:before="60" w:after="100" w:line="360" w:lineRule="auto"/>
              <w:jc w:val="both"/>
              <w:rPr>
                <w:rFonts w:asciiTheme="minorBidi" w:hAnsiTheme="minorBidi" w:cstheme="minorBidi"/>
              </w:rPr>
            </w:pPr>
            <w:r w:rsidRPr="00566FB5">
              <w:rPr>
                <w:rFonts w:asciiTheme="minorBidi" w:hAnsiTheme="minorBidi" w:cstheme="minorBidi"/>
              </w:rPr>
              <w:t>Dividend per share (JPY)</w:t>
            </w:r>
          </w:p>
        </w:tc>
        <w:tc>
          <w:tcPr>
            <w:tcW w:w="0" w:type="auto"/>
            <w:hideMark/>
          </w:tcPr>
          <w:p w14:paraId="5254A7AB"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47.00</w:t>
            </w:r>
          </w:p>
        </w:tc>
        <w:tc>
          <w:tcPr>
            <w:tcW w:w="0" w:type="auto"/>
            <w:hideMark/>
          </w:tcPr>
          <w:p w14:paraId="14B12DE1"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n/a</w:t>
            </w:r>
          </w:p>
        </w:tc>
        <w:tc>
          <w:tcPr>
            <w:tcW w:w="0" w:type="auto"/>
            <w:hideMark/>
          </w:tcPr>
          <w:p w14:paraId="6C39D3A6"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n/a</w:t>
            </w:r>
          </w:p>
        </w:tc>
        <w:tc>
          <w:tcPr>
            <w:tcW w:w="0" w:type="auto"/>
            <w:hideMark/>
          </w:tcPr>
          <w:p w14:paraId="01796904"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n/a</w:t>
            </w:r>
          </w:p>
        </w:tc>
        <w:tc>
          <w:tcPr>
            <w:tcW w:w="0" w:type="auto"/>
            <w:hideMark/>
          </w:tcPr>
          <w:p w14:paraId="29BE6C89"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n/a</w:t>
            </w:r>
          </w:p>
        </w:tc>
      </w:tr>
      <w:tr w:rsidR="00EE5347" w:rsidRPr="00A0292D" w14:paraId="42D03D0E" w14:textId="77777777" w:rsidTr="00EE5347">
        <w:trPr>
          <w:cnfStyle w:val="000000100000" w:firstRow="0" w:lastRow="0" w:firstColumn="0" w:lastColumn="0" w:oddVBand="0" w:evenVBand="0" w:oddHBand="1"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0" w:type="auto"/>
            <w:hideMark/>
          </w:tcPr>
          <w:p w14:paraId="593CFA1D" w14:textId="77777777" w:rsidR="00EE5347" w:rsidRPr="00566FB5" w:rsidRDefault="00EE5347" w:rsidP="00566FB5">
            <w:pPr>
              <w:spacing w:before="60" w:after="100" w:line="360" w:lineRule="auto"/>
              <w:jc w:val="both"/>
              <w:rPr>
                <w:rFonts w:asciiTheme="minorBidi" w:hAnsiTheme="minorBidi" w:cstheme="minorBidi"/>
              </w:rPr>
            </w:pPr>
            <w:r w:rsidRPr="00566FB5">
              <w:rPr>
                <w:rFonts w:asciiTheme="minorBidi" w:hAnsiTheme="minorBidi" w:cstheme="minorBidi"/>
              </w:rPr>
              <w:t>Retained earnings (JPY tn)</w:t>
            </w:r>
          </w:p>
        </w:tc>
        <w:tc>
          <w:tcPr>
            <w:tcW w:w="0" w:type="auto"/>
            <w:hideMark/>
          </w:tcPr>
          <w:p w14:paraId="135412CD"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24.10</w:t>
            </w:r>
          </w:p>
        </w:tc>
        <w:tc>
          <w:tcPr>
            <w:tcW w:w="0" w:type="auto"/>
            <w:hideMark/>
          </w:tcPr>
          <w:p w14:paraId="1B61FFB1"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26.45</w:t>
            </w:r>
          </w:p>
        </w:tc>
        <w:tc>
          <w:tcPr>
            <w:tcW w:w="0" w:type="auto"/>
            <w:hideMark/>
          </w:tcPr>
          <w:p w14:paraId="199AEC24"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28.34</w:t>
            </w:r>
          </w:p>
        </w:tc>
        <w:tc>
          <w:tcPr>
            <w:tcW w:w="0" w:type="auto"/>
            <w:hideMark/>
          </w:tcPr>
          <w:p w14:paraId="6761D573"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32.80</w:t>
            </w:r>
          </w:p>
        </w:tc>
        <w:tc>
          <w:tcPr>
            <w:tcW w:w="0" w:type="auto"/>
            <w:hideMark/>
          </w:tcPr>
          <w:p w14:paraId="2F469BB5"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35.84</w:t>
            </w:r>
          </w:p>
        </w:tc>
      </w:tr>
      <w:tr w:rsidR="00EE5347" w:rsidRPr="00A0292D" w14:paraId="17FF03B8" w14:textId="77777777" w:rsidTr="00EE5347">
        <w:trPr>
          <w:trHeight w:val="580"/>
        </w:trPr>
        <w:tc>
          <w:tcPr>
            <w:cnfStyle w:val="001000000000" w:firstRow="0" w:lastRow="0" w:firstColumn="1" w:lastColumn="0" w:oddVBand="0" w:evenVBand="0" w:oddHBand="0" w:evenHBand="0" w:firstRowFirstColumn="0" w:firstRowLastColumn="0" w:lastRowFirstColumn="0" w:lastRowLastColumn="0"/>
            <w:tcW w:w="0" w:type="auto"/>
            <w:hideMark/>
          </w:tcPr>
          <w:p w14:paraId="49C314CE" w14:textId="77777777" w:rsidR="00EE5347" w:rsidRPr="00566FB5" w:rsidRDefault="00EE5347" w:rsidP="00566FB5">
            <w:pPr>
              <w:spacing w:before="60" w:after="100" w:line="360" w:lineRule="auto"/>
              <w:jc w:val="both"/>
              <w:rPr>
                <w:rFonts w:asciiTheme="minorBidi" w:hAnsiTheme="minorBidi" w:cstheme="minorBidi"/>
              </w:rPr>
            </w:pPr>
            <w:r w:rsidRPr="00566FB5">
              <w:rPr>
                <w:rFonts w:asciiTheme="minorBidi" w:hAnsiTheme="minorBidi" w:cstheme="minorBidi"/>
              </w:rPr>
              <w:t>Dividends paid (JPY tn)</w:t>
            </w:r>
          </w:p>
        </w:tc>
        <w:tc>
          <w:tcPr>
            <w:tcW w:w="0" w:type="auto"/>
            <w:hideMark/>
          </w:tcPr>
          <w:p w14:paraId="5C02110E"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0.63</w:t>
            </w:r>
          </w:p>
        </w:tc>
        <w:tc>
          <w:tcPr>
            <w:tcW w:w="0" w:type="auto"/>
            <w:hideMark/>
          </w:tcPr>
          <w:p w14:paraId="56552758"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0.71</w:t>
            </w:r>
          </w:p>
        </w:tc>
        <w:tc>
          <w:tcPr>
            <w:tcW w:w="0" w:type="auto"/>
            <w:hideMark/>
          </w:tcPr>
          <w:p w14:paraId="1BD32BF8"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0.73</w:t>
            </w:r>
          </w:p>
        </w:tc>
        <w:tc>
          <w:tcPr>
            <w:tcW w:w="0" w:type="auto"/>
            <w:hideMark/>
          </w:tcPr>
          <w:p w14:paraId="0F4A8A23"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0.88</w:t>
            </w:r>
          </w:p>
        </w:tc>
        <w:tc>
          <w:tcPr>
            <w:tcW w:w="0" w:type="auto"/>
            <w:hideMark/>
          </w:tcPr>
          <w:p w14:paraId="39A2074E"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1.13</w:t>
            </w:r>
          </w:p>
        </w:tc>
      </w:tr>
    </w:tbl>
    <w:p w14:paraId="2D3E6F27" w14:textId="77777777" w:rsidR="00EE5347" w:rsidRPr="00A0292D" w:rsidRDefault="00EE5347" w:rsidP="00EE5347">
      <w:pPr>
        <w:rPr>
          <w:rFonts w:asciiTheme="minorBidi" w:hAnsiTheme="minorBidi" w:cstheme="minorBidi"/>
        </w:rPr>
      </w:pPr>
      <w:r w:rsidRPr="00A0292D">
        <w:rPr>
          <w:rFonts w:asciiTheme="minorBidi" w:hAnsiTheme="minorBidi" w:cstheme="minorBidi"/>
          <w:noProof/>
        </w:rPr>
        <w:drawing>
          <wp:inline distT="0" distB="0" distL="0" distR="0" wp14:anchorId="2D76E2BD" wp14:editId="75F7DDAA">
            <wp:extent cx="6248400" cy="2950845"/>
            <wp:effectExtent l="0" t="0" r="12700" b="8255"/>
            <wp:docPr id="1027668085" name="Chart 1">
              <a:extLst xmlns:a="http://schemas.openxmlformats.org/drawingml/2006/main">
                <a:ext uri="{FF2B5EF4-FFF2-40B4-BE49-F238E27FC236}">
                  <a16:creationId xmlns:a16="http://schemas.microsoft.com/office/drawing/2014/main" id="{00000000-0008-0000-05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F3B05AE" w14:textId="77777777" w:rsidR="004F56BC" w:rsidRPr="00A0292D" w:rsidRDefault="000F1E9B" w:rsidP="00566FB5">
      <w:pPr>
        <w:pStyle w:val="Heading2"/>
        <w:rPr>
          <w:rFonts w:asciiTheme="minorBidi" w:hAnsiTheme="minorBidi" w:cstheme="minorBidi"/>
        </w:rPr>
      </w:pPr>
      <w:bookmarkStart w:id="11" w:name="_Toc227788458"/>
      <w:r w:rsidRPr="00A0292D">
        <w:rPr>
          <w:rFonts w:asciiTheme="minorBidi" w:hAnsiTheme="minorBidi" w:cstheme="minorBidi"/>
        </w:rPr>
        <w:t>2.7 Cash Flow Analysis</w:t>
      </w:r>
      <w:bookmarkEnd w:id="11"/>
    </w:p>
    <w:p w14:paraId="2655CE3D" w14:textId="77777777" w:rsidR="004F56BC" w:rsidRPr="00A0292D" w:rsidRDefault="00A31045" w:rsidP="00A31045">
      <w:pPr>
        <w:spacing w:before="60" w:after="100" w:line="360" w:lineRule="auto"/>
        <w:jc w:val="both"/>
        <w:rPr>
          <w:rFonts w:asciiTheme="minorBidi" w:hAnsiTheme="minorBidi" w:cstheme="minorBidi"/>
          <w:sz w:val="24"/>
          <w:szCs w:val="24"/>
        </w:rPr>
      </w:pPr>
      <w:r w:rsidRPr="00A0292D">
        <w:rPr>
          <w:rFonts w:asciiTheme="minorBidi" w:hAnsiTheme="minorBidi" w:cstheme="minorBidi"/>
          <w:sz w:val="24"/>
          <w:szCs w:val="24"/>
        </w:rPr>
        <w:t>The most evident red flag in the financial health of Toyota is the cash flow analysis. The cash of operating activities was positive in all the years following and this proves that the core business of Toyota, still produced cash. Nevertheless, the working capital consumed more cash per year, and capital expenditure was still quite high. Consequently, cash flow remained in the red over the years and hit a negative mark of JPY 1.56 trillion in 2025. This trend is important since the quality of cash flows is the core of financial resilience. Good profits are good but they do not eliminate the pressure to fund when investment and working capital are constant consumers of operating cash. This mismatch is regarded in the literature of financial statement analysis as a major warning signal, particularly when it comes to capital-intensive industries (Harrison et al., 2019). The cash flow of Toyota thus justifies the opinion that the company is still a strong one, but financially constrained by the transition costs.</w:t>
      </w:r>
    </w:p>
    <w:p w14:paraId="44D5AE76" w14:textId="77777777" w:rsidR="00EE5347" w:rsidRPr="00A0292D" w:rsidRDefault="00335F39" w:rsidP="00335F39">
      <w:pPr>
        <w:spacing w:before="60" w:after="100" w:line="360" w:lineRule="auto"/>
        <w:jc w:val="both"/>
        <w:rPr>
          <w:rFonts w:asciiTheme="minorBidi" w:hAnsiTheme="minorBidi" w:cstheme="minorBidi"/>
          <w:sz w:val="24"/>
          <w:szCs w:val="24"/>
        </w:rPr>
      </w:pPr>
      <w:r w:rsidRPr="00A0292D">
        <w:rPr>
          <w:rFonts w:asciiTheme="minorBidi" w:hAnsiTheme="minorBidi" w:cstheme="minorBidi"/>
          <w:noProof/>
        </w:rPr>
        <w:drawing>
          <wp:inline distT="0" distB="0" distL="0" distR="0" wp14:anchorId="0B80FF8D" wp14:editId="6A8CE64C">
            <wp:extent cx="6248400" cy="2950845"/>
            <wp:effectExtent l="0" t="0" r="12700" b="8255"/>
            <wp:docPr id="1868807639" name="Chart 1">
              <a:extLst xmlns:a="http://schemas.openxmlformats.org/drawingml/2006/main">
                <a:ext uri="{FF2B5EF4-FFF2-40B4-BE49-F238E27FC236}">
                  <a16:creationId xmlns:a16="http://schemas.microsoft.com/office/drawing/2014/main" id="{00000000-0008-0000-06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492B677" w14:textId="77777777" w:rsidR="00566FB5" w:rsidRPr="00566FB5" w:rsidRDefault="00566FB5" w:rsidP="00EE5347">
      <w:pPr>
        <w:spacing w:before="60" w:after="100" w:line="360" w:lineRule="auto"/>
        <w:jc w:val="center"/>
        <w:rPr>
          <w:rFonts w:asciiTheme="minorBidi" w:hAnsiTheme="minorBidi" w:cstheme="minorBidi"/>
          <w:b/>
          <w:bCs/>
        </w:rPr>
      </w:pPr>
      <w:r w:rsidRPr="00566FB5">
        <w:rPr>
          <w:rFonts w:asciiTheme="minorBidi" w:hAnsiTheme="minorBidi" w:cstheme="minorBidi"/>
          <w:b/>
          <w:bCs/>
        </w:rPr>
        <w:t xml:space="preserve">Table </w:t>
      </w:r>
      <w:r w:rsidR="00EE5347" w:rsidRPr="00A0292D">
        <w:rPr>
          <w:rFonts w:asciiTheme="minorBidi" w:hAnsiTheme="minorBidi" w:cstheme="minorBidi"/>
          <w:b/>
          <w:bCs/>
        </w:rPr>
        <w:t>7</w:t>
      </w:r>
      <w:r w:rsidRPr="00566FB5">
        <w:rPr>
          <w:rFonts w:asciiTheme="minorBidi" w:hAnsiTheme="minorBidi" w:cstheme="minorBidi"/>
          <w:b/>
          <w:bCs/>
        </w:rPr>
        <w:t xml:space="preserve"> Cash flow ratios, 2021 to 2025</w:t>
      </w:r>
    </w:p>
    <w:tbl>
      <w:tblPr>
        <w:tblStyle w:val="GridTable4-Accent1"/>
        <w:tblW w:w="9744" w:type="dxa"/>
        <w:tblLook w:val="04A0" w:firstRow="1" w:lastRow="0" w:firstColumn="1" w:lastColumn="0" w:noHBand="0" w:noVBand="1"/>
      </w:tblPr>
      <w:tblGrid>
        <w:gridCol w:w="4244"/>
        <w:gridCol w:w="1100"/>
        <w:gridCol w:w="1100"/>
        <w:gridCol w:w="1100"/>
        <w:gridCol w:w="1100"/>
        <w:gridCol w:w="1100"/>
      </w:tblGrid>
      <w:tr w:rsidR="00EE5347" w:rsidRPr="00A0292D" w14:paraId="29975FB7" w14:textId="77777777" w:rsidTr="00EE5347">
        <w:trPr>
          <w:cnfStyle w:val="100000000000" w:firstRow="1" w:lastRow="0" w:firstColumn="0" w:lastColumn="0" w:oddVBand="0" w:evenVBand="0" w:oddHBand="0" w:evenHBand="0" w:firstRowFirstColumn="0" w:firstRowLastColumn="0" w:lastRowFirstColumn="0" w:lastRowLastColumn="0"/>
          <w:trHeight w:val="496"/>
        </w:trPr>
        <w:tc>
          <w:tcPr>
            <w:cnfStyle w:val="001000000000" w:firstRow="0" w:lastRow="0" w:firstColumn="1" w:lastColumn="0" w:oddVBand="0" w:evenVBand="0" w:oddHBand="0" w:evenHBand="0" w:firstRowFirstColumn="0" w:firstRowLastColumn="0" w:lastRowFirstColumn="0" w:lastRowLastColumn="0"/>
            <w:tcW w:w="0" w:type="auto"/>
            <w:hideMark/>
          </w:tcPr>
          <w:p w14:paraId="1B6EC5A7" w14:textId="77777777" w:rsidR="00EE5347" w:rsidRPr="00566FB5" w:rsidRDefault="00EE5347" w:rsidP="00566FB5">
            <w:pPr>
              <w:spacing w:before="60" w:after="100" w:line="360" w:lineRule="auto"/>
              <w:jc w:val="both"/>
              <w:rPr>
                <w:rFonts w:asciiTheme="minorBidi" w:hAnsiTheme="minorBidi" w:cstheme="minorBidi"/>
              </w:rPr>
            </w:pPr>
            <w:r w:rsidRPr="00566FB5">
              <w:rPr>
                <w:rFonts w:asciiTheme="minorBidi" w:hAnsiTheme="minorBidi" w:cstheme="minorBidi"/>
              </w:rPr>
              <w:t>Ratio</w:t>
            </w:r>
          </w:p>
        </w:tc>
        <w:tc>
          <w:tcPr>
            <w:tcW w:w="0" w:type="auto"/>
            <w:hideMark/>
          </w:tcPr>
          <w:p w14:paraId="03A16A05" w14:textId="77777777" w:rsidR="00EE5347" w:rsidRPr="00566FB5" w:rsidRDefault="00EE5347"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2021</w:t>
            </w:r>
          </w:p>
        </w:tc>
        <w:tc>
          <w:tcPr>
            <w:tcW w:w="0" w:type="auto"/>
            <w:hideMark/>
          </w:tcPr>
          <w:p w14:paraId="626CE6D4" w14:textId="77777777" w:rsidR="00EE5347" w:rsidRPr="00566FB5" w:rsidRDefault="00EE5347"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2022</w:t>
            </w:r>
          </w:p>
        </w:tc>
        <w:tc>
          <w:tcPr>
            <w:tcW w:w="0" w:type="auto"/>
            <w:hideMark/>
          </w:tcPr>
          <w:p w14:paraId="06E048E2" w14:textId="77777777" w:rsidR="00EE5347" w:rsidRPr="00566FB5" w:rsidRDefault="00EE5347"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2023</w:t>
            </w:r>
          </w:p>
        </w:tc>
        <w:tc>
          <w:tcPr>
            <w:tcW w:w="0" w:type="auto"/>
            <w:hideMark/>
          </w:tcPr>
          <w:p w14:paraId="6558AEDC" w14:textId="77777777" w:rsidR="00EE5347" w:rsidRPr="00566FB5" w:rsidRDefault="00EE5347"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2024</w:t>
            </w:r>
          </w:p>
        </w:tc>
        <w:tc>
          <w:tcPr>
            <w:tcW w:w="0" w:type="auto"/>
            <w:hideMark/>
          </w:tcPr>
          <w:p w14:paraId="163926EF" w14:textId="77777777" w:rsidR="00EE5347" w:rsidRPr="00566FB5" w:rsidRDefault="00EE5347" w:rsidP="00566FB5">
            <w:pPr>
              <w:spacing w:before="60" w:after="100" w:line="360" w:lineRule="auto"/>
              <w:jc w:val="both"/>
              <w:cnfStyle w:val="100000000000" w:firstRow="1"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2025</w:t>
            </w:r>
          </w:p>
        </w:tc>
      </w:tr>
      <w:tr w:rsidR="00EE5347" w:rsidRPr="00A0292D" w14:paraId="6D3599F5" w14:textId="77777777" w:rsidTr="00EE5347">
        <w:trPr>
          <w:cnfStyle w:val="000000100000" w:firstRow="0" w:lastRow="0" w:firstColumn="0" w:lastColumn="0" w:oddVBand="0" w:evenVBand="0" w:oddHBand="1" w:evenHBand="0" w:firstRowFirstColumn="0" w:firstRowLastColumn="0" w:lastRowFirstColumn="0" w:lastRowLastColumn="0"/>
          <w:trHeight w:val="479"/>
        </w:trPr>
        <w:tc>
          <w:tcPr>
            <w:cnfStyle w:val="001000000000" w:firstRow="0" w:lastRow="0" w:firstColumn="1" w:lastColumn="0" w:oddVBand="0" w:evenVBand="0" w:oddHBand="0" w:evenHBand="0" w:firstRowFirstColumn="0" w:firstRowLastColumn="0" w:lastRowFirstColumn="0" w:lastRowLastColumn="0"/>
            <w:tcW w:w="0" w:type="auto"/>
            <w:hideMark/>
          </w:tcPr>
          <w:p w14:paraId="2F3FAE7F" w14:textId="77777777" w:rsidR="00EE5347" w:rsidRPr="00566FB5" w:rsidRDefault="00EE5347" w:rsidP="00566FB5">
            <w:pPr>
              <w:spacing w:before="60" w:after="100" w:line="360" w:lineRule="auto"/>
              <w:jc w:val="both"/>
              <w:rPr>
                <w:rFonts w:asciiTheme="minorBidi" w:hAnsiTheme="minorBidi" w:cstheme="minorBidi"/>
              </w:rPr>
            </w:pPr>
            <w:r w:rsidRPr="00566FB5">
              <w:rPr>
                <w:rFonts w:asciiTheme="minorBidi" w:hAnsiTheme="minorBidi" w:cstheme="minorBidi"/>
              </w:rPr>
              <w:t>CFO to current liabilities</w:t>
            </w:r>
          </w:p>
        </w:tc>
        <w:tc>
          <w:tcPr>
            <w:tcW w:w="0" w:type="auto"/>
            <w:hideMark/>
          </w:tcPr>
          <w:p w14:paraId="39160EC3"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0.13</w:t>
            </w:r>
          </w:p>
        </w:tc>
        <w:tc>
          <w:tcPr>
            <w:tcW w:w="0" w:type="auto"/>
            <w:hideMark/>
          </w:tcPr>
          <w:p w14:paraId="1E411367"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0.17</w:t>
            </w:r>
          </w:p>
        </w:tc>
        <w:tc>
          <w:tcPr>
            <w:tcW w:w="0" w:type="auto"/>
            <w:hideMark/>
          </w:tcPr>
          <w:p w14:paraId="4192119D"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0.12</w:t>
            </w:r>
          </w:p>
        </w:tc>
        <w:tc>
          <w:tcPr>
            <w:tcW w:w="0" w:type="auto"/>
            <w:hideMark/>
          </w:tcPr>
          <w:p w14:paraId="1BBA7A8C"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0.14</w:t>
            </w:r>
          </w:p>
        </w:tc>
        <w:tc>
          <w:tcPr>
            <w:tcW w:w="0" w:type="auto"/>
            <w:hideMark/>
          </w:tcPr>
          <w:p w14:paraId="5BFBFD69"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0.13</w:t>
            </w:r>
          </w:p>
        </w:tc>
      </w:tr>
      <w:tr w:rsidR="00EE5347" w:rsidRPr="00A0292D" w14:paraId="398E8865" w14:textId="77777777" w:rsidTr="00EE5347">
        <w:trPr>
          <w:trHeight w:val="496"/>
        </w:trPr>
        <w:tc>
          <w:tcPr>
            <w:cnfStyle w:val="001000000000" w:firstRow="0" w:lastRow="0" w:firstColumn="1" w:lastColumn="0" w:oddVBand="0" w:evenVBand="0" w:oddHBand="0" w:evenHBand="0" w:firstRowFirstColumn="0" w:firstRowLastColumn="0" w:lastRowFirstColumn="0" w:lastRowLastColumn="0"/>
            <w:tcW w:w="0" w:type="auto"/>
            <w:hideMark/>
          </w:tcPr>
          <w:p w14:paraId="3C602CA9" w14:textId="77777777" w:rsidR="00EE5347" w:rsidRPr="00566FB5" w:rsidRDefault="00EE5347" w:rsidP="00566FB5">
            <w:pPr>
              <w:spacing w:before="60" w:after="100" w:line="360" w:lineRule="auto"/>
              <w:jc w:val="both"/>
              <w:rPr>
                <w:rFonts w:asciiTheme="minorBidi" w:hAnsiTheme="minorBidi" w:cstheme="minorBidi"/>
              </w:rPr>
            </w:pPr>
            <w:r w:rsidRPr="00566FB5">
              <w:rPr>
                <w:rFonts w:asciiTheme="minorBidi" w:hAnsiTheme="minorBidi" w:cstheme="minorBidi"/>
              </w:rPr>
              <w:t>CFO to debt</w:t>
            </w:r>
          </w:p>
        </w:tc>
        <w:tc>
          <w:tcPr>
            <w:tcW w:w="0" w:type="auto"/>
            <w:hideMark/>
          </w:tcPr>
          <w:p w14:paraId="509E355F"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0.11</w:t>
            </w:r>
          </w:p>
        </w:tc>
        <w:tc>
          <w:tcPr>
            <w:tcW w:w="0" w:type="auto"/>
            <w:hideMark/>
          </w:tcPr>
          <w:p w14:paraId="60725F84"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0.14</w:t>
            </w:r>
          </w:p>
        </w:tc>
        <w:tc>
          <w:tcPr>
            <w:tcW w:w="0" w:type="auto"/>
            <w:hideMark/>
          </w:tcPr>
          <w:p w14:paraId="1EC73B46"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0.10</w:t>
            </w:r>
          </w:p>
        </w:tc>
        <w:tc>
          <w:tcPr>
            <w:tcW w:w="0" w:type="auto"/>
            <w:hideMark/>
          </w:tcPr>
          <w:p w14:paraId="5C39AA9E"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0.12</w:t>
            </w:r>
          </w:p>
        </w:tc>
        <w:tc>
          <w:tcPr>
            <w:tcW w:w="0" w:type="auto"/>
            <w:hideMark/>
          </w:tcPr>
          <w:p w14:paraId="2B536676" w14:textId="77777777" w:rsidR="00EE5347" w:rsidRPr="00566FB5" w:rsidRDefault="00EE5347" w:rsidP="00566FB5">
            <w:pPr>
              <w:spacing w:before="60" w:after="100" w:line="360" w:lineRule="auto"/>
              <w:jc w:val="both"/>
              <w:cnfStyle w:val="000000000000" w:firstRow="0" w:lastRow="0" w:firstColumn="0" w:lastColumn="0" w:oddVBand="0" w:evenVBand="0" w:oddHBand="0"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0.10</w:t>
            </w:r>
          </w:p>
        </w:tc>
      </w:tr>
      <w:tr w:rsidR="00EE5347" w:rsidRPr="00A0292D" w14:paraId="6D3EB124" w14:textId="77777777" w:rsidTr="00EE5347">
        <w:trPr>
          <w:cnfStyle w:val="000000100000" w:firstRow="0" w:lastRow="0" w:firstColumn="0" w:lastColumn="0" w:oddVBand="0" w:evenVBand="0" w:oddHBand="1" w:evenHBand="0" w:firstRowFirstColumn="0" w:firstRowLastColumn="0" w:lastRowFirstColumn="0" w:lastRowLastColumn="0"/>
          <w:trHeight w:val="496"/>
        </w:trPr>
        <w:tc>
          <w:tcPr>
            <w:cnfStyle w:val="001000000000" w:firstRow="0" w:lastRow="0" w:firstColumn="1" w:lastColumn="0" w:oddVBand="0" w:evenVBand="0" w:oddHBand="0" w:evenHBand="0" w:firstRowFirstColumn="0" w:firstRowLastColumn="0" w:lastRowFirstColumn="0" w:lastRowLastColumn="0"/>
            <w:tcW w:w="0" w:type="auto"/>
            <w:hideMark/>
          </w:tcPr>
          <w:p w14:paraId="2C136821" w14:textId="77777777" w:rsidR="00EE5347" w:rsidRPr="00566FB5" w:rsidRDefault="00EE5347" w:rsidP="00566FB5">
            <w:pPr>
              <w:spacing w:before="60" w:after="100" w:line="360" w:lineRule="auto"/>
              <w:jc w:val="both"/>
              <w:rPr>
                <w:rFonts w:asciiTheme="minorBidi" w:hAnsiTheme="minorBidi" w:cstheme="minorBidi"/>
              </w:rPr>
            </w:pPr>
            <w:r w:rsidRPr="00566FB5">
              <w:rPr>
                <w:rFonts w:asciiTheme="minorBidi" w:hAnsiTheme="minorBidi" w:cstheme="minorBidi"/>
              </w:rPr>
              <w:t>Free cash flow (JPY tn)</w:t>
            </w:r>
          </w:p>
        </w:tc>
        <w:tc>
          <w:tcPr>
            <w:tcW w:w="0" w:type="auto"/>
            <w:hideMark/>
          </w:tcPr>
          <w:p w14:paraId="7F8E80DE"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-1.04</w:t>
            </w:r>
          </w:p>
        </w:tc>
        <w:tc>
          <w:tcPr>
            <w:tcW w:w="0" w:type="auto"/>
            <w:hideMark/>
          </w:tcPr>
          <w:p w14:paraId="18F2BE69"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-0.11</w:t>
            </w:r>
          </w:p>
        </w:tc>
        <w:tc>
          <w:tcPr>
            <w:tcW w:w="0" w:type="auto"/>
            <w:hideMark/>
          </w:tcPr>
          <w:p w14:paraId="337F7C11"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-0.75</w:t>
            </w:r>
          </w:p>
        </w:tc>
        <w:tc>
          <w:tcPr>
            <w:tcW w:w="0" w:type="auto"/>
            <w:hideMark/>
          </w:tcPr>
          <w:p w14:paraId="3CC75B50"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-0.84</w:t>
            </w:r>
          </w:p>
        </w:tc>
        <w:tc>
          <w:tcPr>
            <w:tcW w:w="0" w:type="auto"/>
            <w:hideMark/>
          </w:tcPr>
          <w:p w14:paraId="4706DC50" w14:textId="77777777" w:rsidR="00EE5347" w:rsidRPr="00566FB5" w:rsidRDefault="00EE5347" w:rsidP="00566FB5">
            <w:pPr>
              <w:spacing w:before="60" w:after="100" w:line="360" w:lineRule="auto"/>
              <w:jc w:val="both"/>
              <w:cnfStyle w:val="000000100000" w:firstRow="0" w:lastRow="0" w:firstColumn="0" w:lastColumn="0" w:oddVBand="0" w:evenVBand="0" w:oddHBand="1" w:evenHBand="0" w:firstRowFirstColumn="0" w:firstRowLastColumn="0" w:lastRowFirstColumn="0" w:lastRowLastColumn="0"/>
              <w:rPr>
                <w:rFonts w:asciiTheme="minorBidi" w:hAnsiTheme="minorBidi" w:cstheme="minorBidi"/>
              </w:rPr>
            </w:pPr>
            <w:r w:rsidRPr="00566FB5">
              <w:rPr>
                <w:rFonts w:asciiTheme="minorBidi" w:hAnsiTheme="minorBidi" w:cstheme="minorBidi"/>
              </w:rPr>
              <w:t>-1.56</w:t>
            </w:r>
          </w:p>
        </w:tc>
      </w:tr>
    </w:tbl>
    <w:p w14:paraId="191EA83E" w14:textId="77777777" w:rsidR="004F56BC" w:rsidRPr="00A0292D" w:rsidRDefault="000F1E9B" w:rsidP="00566FB5">
      <w:pPr>
        <w:pStyle w:val="Heading2"/>
        <w:rPr>
          <w:rFonts w:asciiTheme="minorBidi" w:hAnsiTheme="minorBidi" w:cstheme="minorBidi"/>
        </w:rPr>
      </w:pPr>
      <w:bookmarkStart w:id="12" w:name="_Toc227788459"/>
      <w:r w:rsidRPr="00A0292D">
        <w:rPr>
          <w:rFonts w:asciiTheme="minorBidi" w:hAnsiTheme="minorBidi" w:cstheme="minorBidi"/>
        </w:rPr>
        <w:t>2.8 Key Trends, Strengths and Weaknesses</w:t>
      </w:r>
      <w:bookmarkEnd w:id="12"/>
    </w:p>
    <w:p w14:paraId="4829173C" w14:textId="77777777" w:rsidR="004F56BC" w:rsidRPr="00A0292D" w:rsidRDefault="00A31045" w:rsidP="00A31045">
      <w:pPr>
        <w:spacing w:before="60" w:after="100" w:line="360" w:lineRule="auto"/>
        <w:jc w:val="both"/>
        <w:rPr>
          <w:rFonts w:asciiTheme="minorBidi" w:hAnsiTheme="minorBidi" w:cstheme="minorBidi"/>
          <w:sz w:val="24"/>
          <w:szCs w:val="24"/>
        </w:rPr>
      </w:pPr>
      <w:r w:rsidRPr="00A0292D">
        <w:rPr>
          <w:rFonts w:asciiTheme="minorBidi" w:hAnsiTheme="minorBidi" w:cstheme="minorBidi"/>
          <w:sz w:val="24"/>
          <w:szCs w:val="24"/>
        </w:rPr>
        <w:t>The financial health check of Toyota depicts a company that has high scale and good profitability, but an increasing pressure in cash flow and funding structure. There was an increase in profitability over the period, liquidity got moderately better, and operating efficiency was good. These findings affirm that Toyota is still operating at an industrial and financial strength (Toyota Motor Corporation, 2025). But the heart of threat is also identified in the same analysis. All the five years had negative free cash flows. Increasing cash was tied up in working capital, and debt was growing. These forces are significant in the context of a global EV market that requires continuous investment in product development, software, battery supply, and platform conversion (International Energy Agency, 2025). Survival is therefore not the primary issue facing Toyota. It is being flexible strategically as well as enhancing cash generation.</w:t>
      </w:r>
    </w:p>
    <w:p w14:paraId="6B6D21ED" w14:textId="77777777" w:rsidR="004F56BC" w:rsidRPr="00A0292D" w:rsidRDefault="000F1E9B" w:rsidP="00566FB5">
      <w:pPr>
        <w:pStyle w:val="Heading1"/>
        <w:rPr>
          <w:rFonts w:asciiTheme="minorBidi" w:hAnsiTheme="minorBidi" w:cstheme="minorBidi"/>
        </w:rPr>
      </w:pPr>
      <w:bookmarkStart w:id="13" w:name="_Toc227788460"/>
      <w:r w:rsidRPr="00A0292D">
        <w:rPr>
          <w:rFonts w:asciiTheme="minorBidi" w:hAnsiTheme="minorBidi" w:cstheme="minorBidi"/>
        </w:rPr>
        <w:t>3. Working Capital Management Analysis</w:t>
      </w:r>
      <w:bookmarkEnd w:id="13"/>
    </w:p>
    <w:p w14:paraId="54BB65BA" w14:textId="77777777" w:rsidR="004F56BC" w:rsidRPr="00A0292D" w:rsidRDefault="000F1E9B" w:rsidP="00566FB5">
      <w:pPr>
        <w:pStyle w:val="Heading2"/>
        <w:rPr>
          <w:rFonts w:asciiTheme="minorBidi" w:hAnsiTheme="minorBidi" w:cstheme="minorBidi"/>
        </w:rPr>
      </w:pPr>
      <w:bookmarkStart w:id="14" w:name="_Toc227788461"/>
      <w:r w:rsidRPr="00A0292D">
        <w:rPr>
          <w:rFonts w:asciiTheme="minorBidi" w:hAnsiTheme="minorBidi" w:cstheme="minorBidi"/>
        </w:rPr>
        <w:t>3.1 Cash Operating Cycle</w:t>
      </w:r>
      <w:bookmarkEnd w:id="14"/>
    </w:p>
    <w:p w14:paraId="343A6850" w14:textId="77777777" w:rsidR="004F56BC" w:rsidRPr="00A0292D" w:rsidRDefault="00183B0B" w:rsidP="00183B0B">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Cash conversion cycle (CCC) is used to calculate the number of days that it takes to pay suppliers and receive payment of cash to suppliers. It is a combination of inventory period and receivables period less payables period (Bhimani et al., 2019). The checked calculations are given in Table 8, each year.</w:t>
      </w:r>
    </w:p>
    <w:p w14:paraId="3FC09370" w14:textId="77777777" w:rsidR="004F56BC" w:rsidRPr="00A0292D" w:rsidRDefault="000F1E9B" w:rsidP="008F61B8">
      <w:pPr>
        <w:spacing w:before="60" w:after="40" w:line="360" w:lineRule="auto"/>
        <w:jc w:val="center"/>
        <w:rPr>
          <w:rFonts w:asciiTheme="minorBidi" w:hAnsiTheme="minorBidi" w:cstheme="minorBidi"/>
          <w:sz w:val="28"/>
          <w:szCs w:val="28"/>
        </w:rPr>
      </w:pPr>
      <w:r w:rsidRPr="00A0292D">
        <w:rPr>
          <w:rFonts w:asciiTheme="minorBidi" w:hAnsiTheme="minorBidi" w:cstheme="minorBidi"/>
          <w:b/>
          <w:bCs/>
        </w:rPr>
        <w:t xml:space="preserve">Table </w:t>
      </w:r>
      <w:r w:rsidR="00335F39" w:rsidRPr="00A0292D">
        <w:rPr>
          <w:rFonts w:asciiTheme="minorBidi" w:hAnsiTheme="minorBidi" w:cstheme="minorBidi"/>
          <w:b/>
          <w:bCs/>
        </w:rPr>
        <w:t>8</w:t>
      </w:r>
      <w:r w:rsidRPr="00A0292D">
        <w:rPr>
          <w:rFonts w:asciiTheme="minorBidi" w:hAnsiTheme="minorBidi" w:cstheme="minorBidi"/>
          <w:b/>
          <w:bCs/>
        </w:rPr>
        <w:t>: Cash Conversion Cycle Components (Days)</w:t>
      </w:r>
    </w:p>
    <w:tbl>
      <w:tblPr>
        <w:tblW w:w="98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604"/>
        <w:gridCol w:w="1242"/>
        <w:gridCol w:w="1242"/>
        <w:gridCol w:w="1242"/>
        <w:gridCol w:w="1242"/>
        <w:gridCol w:w="1242"/>
      </w:tblGrid>
      <w:tr w:rsidR="004F56BC" w:rsidRPr="00A0292D" w14:paraId="1BE8261F" w14:textId="77777777" w:rsidTr="00335F39">
        <w:trPr>
          <w:trHeight w:val="360"/>
        </w:trPr>
        <w:tc>
          <w:tcPr>
            <w:tcW w:w="3604"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59E50960" w14:textId="77777777" w:rsidR="004F56BC" w:rsidRPr="00A0292D" w:rsidRDefault="000F1E9B"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Metric</w:t>
            </w:r>
          </w:p>
        </w:tc>
        <w:tc>
          <w:tcPr>
            <w:tcW w:w="1242"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42A591F9"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2021</w:t>
            </w:r>
          </w:p>
        </w:tc>
        <w:tc>
          <w:tcPr>
            <w:tcW w:w="1242"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64DDDF16"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2022</w:t>
            </w:r>
          </w:p>
        </w:tc>
        <w:tc>
          <w:tcPr>
            <w:tcW w:w="1242"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2EC442D5"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2023</w:t>
            </w:r>
          </w:p>
        </w:tc>
        <w:tc>
          <w:tcPr>
            <w:tcW w:w="1242"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3A44B82D"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2024</w:t>
            </w:r>
          </w:p>
        </w:tc>
        <w:tc>
          <w:tcPr>
            <w:tcW w:w="1242"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795A652B"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2025</w:t>
            </w:r>
          </w:p>
        </w:tc>
      </w:tr>
      <w:tr w:rsidR="004F56BC" w:rsidRPr="00A0292D" w14:paraId="5D00B57D" w14:textId="77777777" w:rsidTr="00335F39">
        <w:trPr>
          <w:trHeight w:val="360"/>
        </w:trPr>
        <w:tc>
          <w:tcPr>
            <w:tcW w:w="360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40B44B6"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Inventory Period (days)</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2F57BE9A"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47.1</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437F488"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54.9</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1ACF667"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50.4</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3757D98"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47.1</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2D60288F"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43.7</w:t>
            </w:r>
          </w:p>
        </w:tc>
      </w:tr>
      <w:tr w:rsidR="004F56BC" w:rsidRPr="00A0292D" w14:paraId="0FA276F8" w14:textId="77777777" w:rsidTr="00335F39">
        <w:trPr>
          <w:trHeight w:val="360"/>
        </w:trPr>
        <w:tc>
          <w:tcPr>
            <w:tcW w:w="360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F3F5772"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Receivables Period (days)</w:t>
            </w:r>
          </w:p>
        </w:tc>
        <w:tc>
          <w:tcPr>
            <w:tcW w:w="124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C0AA4DA"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131.9</w:t>
            </w:r>
          </w:p>
        </w:tc>
        <w:tc>
          <w:tcPr>
            <w:tcW w:w="124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F63235F"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122.0</w:t>
            </w:r>
          </w:p>
        </w:tc>
        <w:tc>
          <w:tcPr>
            <w:tcW w:w="124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950EE19"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118.7</w:t>
            </w:r>
          </w:p>
        </w:tc>
        <w:tc>
          <w:tcPr>
            <w:tcW w:w="124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0CAEEDA"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121.1</w:t>
            </w:r>
          </w:p>
        </w:tc>
        <w:tc>
          <w:tcPr>
            <w:tcW w:w="124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439FCC3"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116.6</w:t>
            </w:r>
          </w:p>
        </w:tc>
      </w:tr>
      <w:tr w:rsidR="004F56BC" w:rsidRPr="00A0292D" w14:paraId="1FCAE270" w14:textId="77777777" w:rsidTr="00335F39">
        <w:trPr>
          <w:trHeight w:val="360"/>
        </w:trPr>
        <w:tc>
          <w:tcPr>
            <w:tcW w:w="360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6BACF6C"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Payables Period (days)</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27B45F71"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66.1</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4DBE3988"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61.6</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5B1FB30"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59.1</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7FE1FAD"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53.6</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B121561"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52.5</w:t>
            </w:r>
          </w:p>
        </w:tc>
      </w:tr>
      <w:tr w:rsidR="004F56BC" w:rsidRPr="00A0292D" w14:paraId="335B6493" w14:textId="77777777" w:rsidTr="00335F39">
        <w:trPr>
          <w:trHeight w:val="767"/>
        </w:trPr>
        <w:tc>
          <w:tcPr>
            <w:tcW w:w="360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55D9F01"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Cash Conversion Cycle (days)</w:t>
            </w:r>
          </w:p>
        </w:tc>
        <w:tc>
          <w:tcPr>
            <w:tcW w:w="124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3A9CBAC"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112.9</w:t>
            </w:r>
          </w:p>
        </w:tc>
        <w:tc>
          <w:tcPr>
            <w:tcW w:w="124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3F744F4"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115.3</w:t>
            </w:r>
          </w:p>
        </w:tc>
        <w:tc>
          <w:tcPr>
            <w:tcW w:w="124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01CF25A"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110.0</w:t>
            </w:r>
          </w:p>
        </w:tc>
        <w:tc>
          <w:tcPr>
            <w:tcW w:w="124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18A1287"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114.5</w:t>
            </w:r>
          </w:p>
        </w:tc>
        <w:tc>
          <w:tcPr>
            <w:tcW w:w="1242"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8F5A8D8"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107.8</w:t>
            </w:r>
          </w:p>
        </w:tc>
      </w:tr>
      <w:tr w:rsidR="004F56BC" w:rsidRPr="00A0292D" w14:paraId="7167C3AA" w14:textId="77777777" w:rsidTr="00335F39">
        <w:trPr>
          <w:trHeight w:val="744"/>
        </w:trPr>
        <w:tc>
          <w:tcPr>
            <w:tcW w:w="360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42E29C7"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Working Capital Change (JPY tn)</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A0590FC"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(1.26)</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297D749"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(1.18)</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62AC6C9"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(1.42)</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21900DD"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(3.37)</w:t>
            </w:r>
          </w:p>
        </w:tc>
        <w:tc>
          <w:tcPr>
            <w:tcW w:w="1242"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442CAB7" w14:textId="77777777" w:rsidR="004F56BC" w:rsidRPr="00A0292D" w:rsidRDefault="000F1E9B" w:rsidP="00335F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(3.63)</w:t>
            </w:r>
          </w:p>
        </w:tc>
      </w:tr>
    </w:tbl>
    <w:p w14:paraId="34CA5442" w14:textId="77777777" w:rsidR="004F56BC" w:rsidRPr="00A0292D" w:rsidRDefault="000F1E9B" w:rsidP="008F61B8">
      <w:pPr>
        <w:spacing w:before="50" w:after="130" w:line="360" w:lineRule="auto"/>
        <w:jc w:val="center"/>
        <w:rPr>
          <w:rFonts w:asciiTheme="minorBidi" w:hAnsiTheme="minorBidi" w:cstheme="minorBidi"/>
          <w:sz w:val="28"/>
          <w:szCs w:val="28"/>
        </w:rPr>
      </w:pPr>
      <w:r w:rsidRPr="00A0292D">
        <w:rPr>
          <w:rFonts w:asciiTheme="minorBidi" w:hAnsiTheme="minorBidi" w:cstheme="minorBidi"/>
          <w:i/>
          <w:iCs/>
          <w:color w:val="595959"/>
          <w:sz w:val="20"/>
          <w:szCs w:val="20"/>
        </w:rPr>
        <w:t>Source: Author's calculations from Toyota Motor Corporation Integrated Reports (2021-2025).</w:t>
      </w:r>
    </w:p>
    <w:p w14:paraId="510F396C" w14:textId="77777777" w:rsidR="004F56BC" w:rsidRPr="00A0292D" w:rsidRDefault="00FF0339" w:rsidP="00183B0B">
      <w:pPr>
        <w:spacing w:before="60" w:after="100" w:line="360" w:lineRule="auto"/>
        <w:jc w:val="both"/>
        <w:rPr>
          <w:rFonts w:asciiTheme="minorBidi" w:hAnsiTheme="minorBidi" w:cstheme="minorBidi"/>
          <w:sz w:val="28"/>
          <w:szCs w:val="28"/>
        </w:rPr>
      </w:pPr>
      <w:r w:rsidRPr="00A0292D">
        <w:rPr>
          <w:rFonts w:asciiTheme="minorBidi" w:hAnsiTheme="minorBidi" w:cstheme="minorBidi"/>
          <w:noProof/>
        </w:rPr>
        <w:drawing>
          <wp:inline distT="0" distB="0" distL="0" distR="0" wp14:anchorId="0FF35D9E" wp14:editId="4D4EC681">
            <wp:extent cx="6248400" cy="3165475"/>
            <wp:effectExtent l="0" t="0" r="12700" b="9525"/>
            <wp:docPr id="1655975787" name="Chart 1">
              <a:extLst xmlns:a="http://schemas.openxmlformats.org/drawingml/2006/main">
                <a:ext uri="{FF2B5EF4-FFF2-40B4-BE49-F238E27FC236}">
                  <a16:creationId xmlns:a16="http://schemas.microsoft.com/office/drawing/2014/main" id="{00000000-0008-0000-08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00183B0B" w:rsidRPr="00A0292D">
        <w:rPr>
          <w:rFonts w:asciiTheme="minorBidi" w:hAnsiTheme="minorBidi" w:cstheme="minorBidi"/>
          <w:sz w:val="24"/>
          <w:szCs w:val="24"/>
        </w:rPr>
        <w:t>The CCC improved from 112.9 days in 2021 to 107.8 days in 2025. The high receivables period of between 117 to 132 days indicates the consumer and dealer loan portfolios of Toyota Financial Services which are large and slow-turning in nature. The payables period has reduced to 52.5 days in 2025 after being 66.1 days in 2021 indicating that Toyota is paying the suppliers in a shorter period of time. This reduction is unfavourable because it diminishes the advantage of trade credit and speeds up cash outflows (Drury, 2017</w:t>
      </w:r>
      <w:r w:rsidRPr="00A0292D">
        <w:rPr>
          <w:rFonts w:asciiTheme="minorBidi" w:hAnsiTheme="minorBidi" w:cstheme="minorBidi"/>
          <w:sz w:val="24"/>
          <w:szCs w:val="24"/>
        </w:rPr>
        <w:t>).</w:t>
      </w:r>
    </w:p>
    <w:p w14:paraId="501ACF15" w14:textId="77777777" w:rsidR="004F56BC" w:rsidRPr="00A0292D" w:rsidRDefault="000F1E9B" w:rsidP="00566FB5">
      <w:pPr>
        <w:pStyle w:val="Heading2"/>
        <w:rPr>
          <w:rFonts w:asciiTheme="minorBidi" w:hAnsiTheme="minorBidi" w:cstheme="minorBidi"/>
        </w:rPr>
      </w:pPr>
      <w:bookmarkStart w:id="15" w:name="_Toc227788462"/>
      <w:r w:rsidRPr="00A0292D">
        <w:rPr>
          <w:rFonts w:asciiTheme="minorBidi" w:hAnsiTheme="minorBidi" w:cstheme="minorBidi"/>
        </w:rPr>
        <w:t>3.2 Working Capital Trends</w:t>
      </w:r>
      <w:bookmarkEnd w:id="15"/>
    </w:p>
    <w:p w14:paraId="2F873338" w14:textId="77777777" w:rsidR="004F56BC" w:rsidRPr="00A0292D" w:rsidRDefault="00183B0B" w:rsidP="00183B0B">
      <w:pPr>
        <w:spacing w:before="60" w:after="100" w:line="360" w:lineRule="auto"/>
        <w:jc w:val="both"/>
        <w:rPr>
          <w:rFonts w:asciiTheme="minorBidi" w:hAnsiTheme="minorBidi" w:cstheme="minorBidi"/>
          <w:sz w:val="24"/>
          <w:szCs w:val="24"/>
        </w:rPr>
      </w:pPr>
      <w:r w:rsidRPr="00A0292D">
        <w:rPr>
          <w:rFonts w:asciiTheme="minorBidi" w:hAnsiTheme="minorBidi" w:cstheme="minorBidi"/>
          <w:sz w:val="24"/>
          <w:szCs w:val="24"/>
        </w:rPr>
        <w:t>Working capital changes were negative in all years and were significantly worsened in 2024 and 2025. Receivables rose to JPY 15.35 trillion and inventory rose to JPY 4.60 trillion, as compared to JPY 9.83 trillion and JPY 2.89 trillion respectively. The accounts payable also grew, albeit not to the extent to counter the general increase in operating assets. The importance of this trend is that now working capital growth eats up a significant portion of operating cash of Toyota. This can be endured by a growing manufacturer but when coupled with negative free cash flow and high capital expenditure, it becomes more serious. It is explained in accounting literature that the pressure of liquidity can be initiated in this fashion, with gradual rises in receivables and stock instead of abrupt losses (Winfield, Graham and Miller, 2021).</w:t>
      </w:r>
    </w:p>
    <w:p w14:paraId="70C4B5F8" w14:textId="77777777" w:rsidR="004F56BC" w:rsidRPr="00A0292D" w:rsidRDefault="000F1E9B" w:rsidP="00183B0B">
      <w:pPr>
        <w:pStyle w:val="Heading2"/>
        <w:rPr>
          <w:rFonts w:asciiTheme="minorBidi" w:hAnsiTheme="minorBidi" w:cstheme="minorBidi"/>
        </w:rPr>
      </w:pPr>
      <w:bookmarkStart w:id="16" w:name="_Toc227788463"/>
      <w:r w:rsidRPr="00A0292D">
        <w:rPr>
          <w:rFonts w:asciiTheme="minorBidi" w:hAnsiTheme="minorBidi" w:cstheme="minorBidi"/>
        </w:rPr>
        <w:t>3.3 Liquidity Challenges</w:t>
      </w:r>
      <w:bookmarkEnd w:id="16"/>
    </w:p>
    <w:p w14:paraId="4585E800" w14:textId="77777777" w:rsidR="004F56BC" w:rsidRPr="00A0292D" w:rsidRDefault="00183B0B" w:rsidP="00183B0B">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The current ratio has increased, but the current portion of long-term debt was JPY 10.37 trillion in 2025, which puts a great pressure on the annual refinancing. Short-term liabilities owed amounted to JPY 5.46 trillion. The cash reserves of JPY 15.92 trillion cushion this although they also fund financial service obligations. The negative free cash flow implies that Toyota will not be able to finance its working capital growth, but will have to tap into external credit markets on a continuous basis. This poses a weakness in the event of a tightening of credit conditions or downgrading of the credit rating of Toyota (Thomas and Ward, 2019)..</w:t>
      </w:r>
    </w:p>
    <w:p w14:paraId="3D221A0C" w14:textId="77777777" w:rsidR="004F56BC" w:rsidRPr="00A0292D" w:rsidRDefault="000F1E9B" w:rsidP="00566FB5">
      <w:pPr>
        <w:pStyle w:val="Heading2"/>
        <w:rPr>
          <w:rFonts w:asciiTheme="minorBidi" w:hAnsiTheme="minorBidi" w:cstheme="minorBidi"/>
        </w:rPr>
      </w:pPr>
      <w:bookmarkStart w:id="17" w:name="_Toc227788464"/>
      <w:r w:rsidRPr="00A0292D">
        <w:rPr>
          <w:rFonts w:asciiTheme="minorBidi" w:hAnsiTheme="minorBidi" w:cstheme="minorBidi"/>
        </w:rPr>
        <w:t>3.4 Recommendations for Improvement</w:t>
      </w:r>
      <w:bookmarkEnd w:id="17"/>
    </w:p>
    <w:p w14:paraId="604E143A" w14:textId="77777777" w:rsidR="00183B0B" w:rsidRPr="00A0292D" w:rsidRDefault="00183B0B" w:rsidP="00183B0B">
      <w:pPr>
        <w:spacing w:before="80" w:after="80" w:line="360" w:lineRule="auto"/>
        <w:jc w:val="both"/>
        <w:rPr>
          <w:rFonts w:asciiTheme="minorBidi" w:hAnsiTheme="minorBidi" w:cstheme="minorBidi"/>
          <w:sz w:val="24"/>
          <w:szCs w:val="24"/>
        </w:rPr>
      </w:pPr>
      <w:r w:rsidRPr="00A0292D">
        <w:rPr>
          <w:rFonts w:asciiTheme="minorBidi" w:hAnsiTheme="minorBidi" w:cstheme="minorBidi"/>
          <w:sz w:val="24"/>
          <w:szCs w:val="24"/>
        </w:rPr>
        <w:t xml:space="preserve">The COC of Toyota can be materially compressed by three reforms. The former is receivables acceleration. The Toyota Financial Services needs to adopt a dynamic discounting programme on dealer networks, where payment can be made within 60 days, to have settlement incentives between 1.0 to 1.5 percentage points. A similar programme was implemented by Volkswagen Financial Services and resulted in a decrease of 18 days in the receivables cycle in three years (Watson and Head, 2010, p.203). The 20-day (reduction) of the receivables days at 2025 revenue levels would free around JPY 2.63 trillion of working capital, which would directly enhance the free cash flow. </w:t>
      </w:r>
    </w:p>
    <w:p w14:paraId="2E6AD50E" w14:textId="77777777" w:rsidR="00183B0B" w:rsidRPr="00A0292D" w:rsidRDefault="00183B0B" w:rsidP="00183B0B">
      <w:pPr>
        <w:spacing w:before="80" w:after="80" w:line="360" w:lineRule="auto"/>
        <w:jc w:val="both"/>
        <w:rPr>
          <w:rFonts w:asciiTheme="minorBidi" w:hAnsiTheme="minorBidi" w:cstheme="minorBidi"/>
          <w:sz w:val="24"/>
          <w:szCs w:val="24"/>
        </w:rPr>
      </w:pPr>
      <w:r w:rsidRPr="00A0292D">
        <w:rPr>
          <w:rFonts w:asciiTheme="minorBidi" w:hAnsiTheme="minorBidi" w:cstheme="minorBidi"/>
          <w:sz w:val="24"/>
          <w:szCs w:val="24"/>
        </w:rPr>
        <w:t xml:space="preserve">The second is the payables extension with a supplier finance programme. Toyota needs to renegotiate the standard payment conditions of the existing implied 52days to 75 to 90days. To safeguard the relationship with suppliers, especially the small and medium-sized enterprises, Toyota needs to create a supply-chain finance center where suppliers can obtain early payment at a lower rate than their own borrowing rate by a bank based on the Toyota investment-grade credit rating. According to the OECD Guidelines on Multinational Enterprises on Responsible Business Conduct (OECD, 2023), the long-term payment terms must not jeopardize the survival of suppliers, and this structure conditions satisfy this requirement. A 25 days extension of payables would lower the COC by an additional 25 days, and the COC would be below 90 days. </w:t>
      </w:r>
    </w:p>
    <w:p w14:paraId="537C47B6" w14:textId="77777777" w:rsidR="00A31045" w:rsidRPr="00A31045" w:rsidRDefault="00183B0B" w:rsidP="00C51075">
      <w:pPr>
        <w:spacing w:before="80" w:after="80" w:line="360" w:lineRule="auto"/>
        <w:jc w:val="both"/>
        <w:rPr>
          <w:rFonts w:asciiTheme="minorBidi" w:hAnsiTheme="minorBidi" w:cstheme="minorBidi"/>
          <w:sz w:val="24"/>
          <w:szCs w:val="24"/>
        </w:rPr>
      </w:pPr>
      <w:r w:rsidRPr="00A0292D">
        <w:rPr>
          <w:rFonts w:asciiTheme="minorBidi" w:hAnsiTheme="minorBidi" w:cstheme="minorBidi"/>
          <w:sz w:val="24"/>
          <w:szCs w:val="24"/>
        </w:rPr>
        <w:t>The third reform is strategic inventory optimisation. Drury (2017, p.245) identifies strategic buffer stock and operational working inventory of critical components and standard parts respectively. The 2022 semiconductor crisis proved the risk of single-sourced critical inventories. Electronic components should be sourced in dual-source, with a acceptable five-day buffer stock increase</w:t>
      </w:r>
      <w:r w:rsidR="00C51075" w:rsidRPr="00A0292D">
        <w:rPr>
          <w:rFonts w:asciiTheme="minorBidi" w:hAnsiTheme="minorBidi" w:cstheme="minorBidi"/>
          <w:sz w:val="24"/>
          <w:szCs w:val="24"/>
        </w:rPr>
        <w:t xml:space="preserve"> </w:t>
      </w:r>
      <w:r w:rsidR="00C51075" w:rsidRPr="00A0292D">
        <w:rPr>
          <w:rFonts w:asciiTheme="minorBidi" w:hAnsiTheme="minorBidi" w:cstheme="minorBidi"/>
          <w:sz w:val="24"/>
          <w:szCs w:val="24"/>
        </w:rPr>
        <w:t>  (Fridson and Alvarez, 2022)</w:t>
      </w:r>
      <w:r w:rsidRPr="00A0292D">
        <w:rPr>
          <w:rFonts w:asciiTheme="minorBidi" w:hAnsiTheme="minorBidi" w:cstheme="minorBidi"/>
          <w:sz w:val="24"/>
          <w:szCs w:val="24"/>
        </w:rPr>
        <w:t>. In the non critical components, the efficiency is already realized in the JIT discipline that needs to be held as it is currently, and the efficiency gains that are apparent in the 8.36 times inventory turnover of 2025 need to be retained</w:t>
      </w:r>
      <w:r w:rsidR="00A31045" w:rsidRPr="00A31045">
        <w:rPr>
          <w:rFonts w:asciiTheme="minorBidi" w:hAnsiTheme="minorBidi" w:cstheme="minorBidi"/>
          <w:sz w:val="24"/>
          <w:szCs w:val="24"/>
        </w:rPr>
        <w:t>.</w:t>
      </w:r>
    </w:p>
    <w:p w14:paraId="61D7F1D9" w14:textId="77777777" w:rsidR="00A31045" w:rsidRPr="00A0292D" w:rsidRDefault="00A31045" w:rsidP="00183B0B">
      <w:pPr>
        <w:pStyle w:val="Heading2"/>
        <w:rPr>
          <w:rFonts w:asciiTheme="minorBidi" w:hAnsiTheme="minorBidi" w:cstheme="minorBidi"/>
        </w:rPr>
      </w:pPr>
      <w:bookmarkStart w:id="18" w:name="_Toc227788465"/>
      <w:r w:rsidRPr="00A0292D">
        <w:rPr>
          <w:rFonts w:asciiTheme="minorBidi" w:hAnsiTheme="minorBidi" w:cstheme="minorBidi"/>
        </w:rPr>
        <w:t>3.</w:t>
      </w:r>
      <w:r w:rsidR="00183B0B" w:rsidRPr="00A0292D">
        <w:rPr>
          <w:rFonts w:asciiTheme="minorBidi" w:hAnsiTheme="minorBidi" w:cstheme="minorBidi"/>
        </w:rPr>
        <w:t>5</w:t>
      </w:r>
      <w:r w:rsidRPr="00A0292D">
        <w:rPr>
          <w:rFonts w:asciiTheme="minorBidi" w:hAnsiTheme="minorBidi" w:cstheme="minorBidi"/>
        </w:rPr>
        <w:t xml:space="preserve"> Short-Term and Long-Term Financing Options</w:t>
      </w:r>
      <w:bookmarkEnd w:id="18"/>
    </w:p>
    <w:p w14:paraId="3465FEC7" w14:textId="77777777" w:rsidR="00B058DE" w:rsidRPr="00A0292D" w:rsidRDefault="00B058DE" w:rsidP="00C51075">
      <w:pPr>
        <w:spacing w:before="60" w:after="100" w:line="360" w:lineRule="auto"/>
        <w:jc w:val="both"/>
        <w:rPr>
          <w:rFonts w:asciiTheme="minorBidi" w:hAnsiTheme="minorBidi" w:cstheme="minorBidi"/>
          <w:sz w:val="24"/>
          <w:szCs w:val="24"/>
        </w:rPr>
      </w:pPr>
      <w:r w:rsidRPr="00A0292D">
        <w:rPr>
          <w:rFonts w:asciiTheme="minorBidi" w:hAnsiTheme="minorBidi" w:cstheme="minorBidi"/>
          <w:sz w:val="24"/>
          <w:szCs w:val="24"/>
        </w:rPr>
        <w:t>Short-term funding involves trade credit, overdrafts and short term borrowing. These instruments are flexible and can be applicable to seasonal or temporary liquidity requirements. They also raise refinancing risk, though. Toyota already has high current liabilities and has high short term debt commitments and an increase in reliance on short term funding would put rollover pressure</w:t>
      </w:r>
      <w:r w:rsidR="00C51075" w:rsidRPr="00A0292D">
        <w:rPr>
          <w:rFonts w:asciiTheme="minorBidi" w:hAnsiTheme="minorBidi" w:cstheme="minorBidi"/>
          <w:sz w:val="24"/>
          <w:szCs w:val="24"/>
        </w:rPr>
        <w:t xml:space="preserve"> (Ittelson, 2022)</w:t>
      </w:r>
      <w:r w:rsidRPr="00A0292D">
        <w:rPr>
          <w:rFonts w:asciiTheme="minorBidi" w:hAnsiTheme="minorBidi" w:cstheme="minorBidi"/>
          <w:sz w:val="24"/>
          <w:szCs w:val="24"/>
        </w:rPr>
        <w:t>. The EV transition is more suitable to be funded on a long-term basis. The long-run benefits that are generated by battery plants, software platforms, and factory reconfiguration imply that the investment should be equivalent to the asset life. This matching principle of maturity is supported by the theory of corporate finance since it minimizes the risk of refinancing and insures liquidity during investment cycles (Watson and Head, 2010; Damodaran, 2012). Toyota should then apply short-term facilities to smooth operations primarily whereas long-term debt or internally generated funds should be applied to the structural transition investment</w:t>
      </w:r>
      <w:r w:rsidR="00A31045" w:rsidRPr="00A31045">
        <w:rPr>
          <w:rFonts w:asciiTheme="minorBidi" w:hAnsiTheme="minorBidi" w:cstheme="minorBidi"/>
          <w:sz w:val="24"/>
          <w:szCs w:val="24"/>
        </w:rPr>
        <w:t>.</w:t>
      </w:r>
    </w:p>
    <w:p w14:paraId="47EBF62E" w14:textId="77777777" w:rsidR="00B058DE" w:rsidRPr="00A0292D" w:rsidRDefault="00B058DE" w:rsidP="00B058DE">
      <w:pPr>
        <w:pStyle w:val="Heading1"/>
        <w:rPr>
          <w:rFonts w:asciiTheme="minorBidi" w:hAnsiTheme="minorBidi" w:cstheme="minorBidi"/>
        </w:rPr>
      </w:pPr>
      <w:bookmarkStart w:id="19" w:name="_Toc227788466"/>
      <w:r w:rsidRPr="00A0292D">
        <w:rPr>
          <w:rFonts w:asciiTheme="minorBidi" w:hAnsiTheme="minorBidi" w:cstheme="minorBidi"/>
        </w:rPr>
        <w:t>4. Strategic Financial Restructuring Plan</w:t>
      </w:r>
      <w:bookmarkEnd w:id="19"/>
    </w:p>
    <w:p w14:paraId="42500D0A" w14:textId="77777777" w:rsidR="00B058DE" w:rsidRPr="00A0292D" w:rsidRDefault="00B058DE" w:rsidP="00B058DE">
      <w:pPr>
        <w:pStyle w:val="Heading2"/>
        <w:jc w:val="both"/>
        <w:rPr>
          <w:rFonts w:asciiTheme="minorBidi" w:hAnsiTheme="minorBidi" w:cstheme="minorBidi"/>
        </w:rPr>
      </w:pPr>
      <w:bookmarkStart w:id="20" w:name="_Toc227788467"/>
      <w:r w:rsidRPr="00A0292D">
        <w:rPr>
          <w:rFonts w:asciiTheme="minorBidi" w:hAnsiTheme="minorBidi" w:cstheme="minorBidi"/>
        </w:rPr>
        <w:t>4.1 Restructuring objective</w:t>
      </w:r>
      <w:bookmarkEnd w:id="20"/>
    </w:p>
    <w:p w14:paraId="141119AB" w14:textId="77777777" w:rsidR="00B058DE" w:rsidRPr="00A0292D" w:rsidRDefault="00B058DE" w:rsidP="00C51075">
      <w:pPr>
        <w:spacing w:line="360" w:lineRule="auto"/>
        <w:jc w:val="both"/>
        <w:rPr>
          <w:rFonts w:asciiTheme="minorBidi" w:hAnsiTheme="minorBidi" w:cstheme="minorBidi"/>
          <w:sz w:val="24"/>
          <w:szCs w:val="24"/>
        </w:rPr>
      </w:pPr>
      <w:r w:rsidRPr="00A0292D">
        <w:rPr>
          <w:rFonts w:asciiTheme="minorBidi" w:hAnsiTheme="minorBidi" w:cstheme="minorBidi"/>
          <w:sz w:val="24"/>
          <w:szCs w:val="24"/>
        </w:rPr>
        <w:t>A viable restructuring strategy of Toyota must not presuppose distress, forced sales of assets or a defensive merger. This is not the case with Toyota. The company will have to shift capital usage of low-yield balances sheets to high-yield transition assets without compromising the quality of credit, global operating capacity and stakeholder confidence</w:t>
      </w:r>
      <w:r w:rsidR="00C51075" w:rsidRPr="00A0292D">
        <w:rPr>
          <w:rFonts w:asciiTheme="minorBidi" w:hAnsiTheme="minorBidi" w:cstheme="minorBidi"/>
          <w:sz w:val="24"/>
          <w:szCs w:val="24"/>
        </w:rPr>
        <w:t xml:space="preserve"> (Harrison et al., 2019)</w:t>
      </w:r>
      <w:r w:rsidRPr="00A0292D">
        <w:rPr>
          <w:rFonts w:asciiTheme="minorBidi" w:hAnsiTheme="minorBidi" w:cstheme="minorBidi"/>
          <w:sz w:val="24"/>
          <w:szCs w:val="24"/>
        </w:rPr>
        <w:t>. According to DePamphilis (2019), restructuring is a strategy of enhancing strategic fit, financial efficiency and shareholder value. That definition applies to Toyota.</w:t>
      </w:r>
    </w:p>
    <w:p w14:paraId="6F127136" w14:textId="77777777" w:rsidR="00B058DE" w:rsidRPr="00A0292D" w:rsidRDefault="00B058DE" w:rsidP="00B058DE">
      <w:pPr>
        <w:pStyle w:val="Heading2"/>
        <w:rPr>
          <w:rFonts w:asciiTheme="minorBidi" w:hAnsiTheme="minorBidi" w:cstheme="minorBidi"/>
        </w:rPr>
      </w:pPr>
      <w:bookmarkStart w:id="21" w:name="_Toc227788468"/>
      <w:r w:rsidRPr="00A0292D">
        <w:rPr>
          <w:rFonts w:asciiTheme="minorBidi" w:hAnsiTheme="minorBidi" w:cstheme="minorBidi"/>
        </w:rPr>
        <w:t>4.2 Recommended restructuring actions</w:t>
      </w:r>
      <w:bookmarkEnd w:id="21"/>
    </w:p>
    <w:p w14:paraId="318E1862" w14:textId="77777777" w:rsidR="00B058DE" w:rsidRPr="00A0292D" w:rsidRDefault="00B058DE" w:rsidP="00C51075">
      <w:pPr>
        <w:spacing w:line="360" w:lineRule="auto"/>
        <w:jc w:val="both"/>
        <w:rPr>
          <w:rFonts w:asciiTheme="minorBidi" w:hAnsiTheme="minorBidi" w:cstheme="minorBidi"/>
          <w:sz w:val="24"/>
          <w:szCs w:val="24"/>
        </w:rPr>
      </w:pPr>
      <w:r w:rsidRPr="00A0292D">
        <w:rPr>
          <w:rFonts w:asciiTheme="minorBidi" w:hAnsiTheme="minorBidi" w:cstheme="minorBidi"/>
          <w:sz w:val="24"/>
          <w:szCs w:val="24"/>
        </w:rPr>
        <w:t>Selective divestiture and asset recycling is the first recommendation. Toyota must consider non-core shareholdings, mature real estate, low-yield affiliate and non-performing regional assets. It is not a goal to reduce the industrial base without a vision</w:t>
      </w:r>
      <w:r w:rsidR="00C51075" w:rsidRPr="00A0292D">
        <w:rPr>
          <w:rFonts w:asciiTheme="minorBidi" w:hAnsiTheme="minorBidi" w:cstheme="minorBidi"/>
          <w:sz w:val="24"/>
          <w:szCs w:val="24"/>
        </w:rPr>
        <w:t xml:space="preserve"> (Weygandt, Kimmel and Kieso, 2020)</w:t>
      </w:r>
      <w:r w:rsidRPr="00A0292D">
        <w:rPr>
          <w:rFonts w:asciiTheme="minorBidi" w:hAnsiTheme="minorBidi" w:cstheme="minorBidi"/>
          <w:sz w:val="24"/>
          <w:szCs w:val="24"/>
        </w:rPr>
        <w:t>. It is to re-use confined capital into software ability, batteries, energy management and next-generation manufacturing. This step is appealing because of the increasing asset base of Toyota and its continuously negative free cash flow. Recycling of assets would boost the return on the assets, sustain free cash flow and eliminate debt-financed expansion.</w:t>
      </w:r>
    </w:p>
    <w:p w14:paraId="334A3381" w14:textId="77777777" w:rsidR="00B058DE" w:rsidRPr="00A0292D" w:rsidRDefault="00B058DE" w:rsidP="00B058DE">
      <w:pPr>
        <w:spacing w:line="360" w:lineRule="auto"/>
        <w:jc w:val="both"/>
        <w:rPr>
          <w:rFonts w:asciiTheme="minorBidi" w:hAnsiTheme="minorBidi" w:cstheme="minorBidi"/>
          <w:sz w:val="24"/>
          <w:szCs w:val="24"/>
        </w:rPr>
      </w:pPr>
      <w:r w:rsidRPr="00A0292D">
        <w:rPr>
          <w:rFonts w:asciiTheme="minorBidi" w:hAnsiTheme="minorBidi" w:cstheme="minorBidi"/>
          <w:sz w:val="24"/>
          <w:szCs w:val="24"/>
        </w:rPr>
        <w:t>The second suggestion is that partners should lead the investment as opposed to complete balance sheet ownership in all transition areas. The integrated reports by Toyota already emphasize partnership and region-oriented management. The same should apply to battery ecosystems, charging infrastructure, mobility services and chosen software platforms (Toyota Motor Corporation, 2024; Toyota Motor Corporation, 2025). Minority platforms investments and joint ventures can alleviate start-up cash expenditure and execution risk. This is particularly so in regions where the uncertainty about technology is still high.</w:t>
      </w:r>
    </w:p>
    <w:p w14:paraId="40A6B5C7" w14:textId="77777777" w:rsidR="00B058DE" w:rsidRPr="00A0292D" w:rsidRDefault="00B058DE" w:rsidP="00C51075">
      <w:pPr>
        <w:spacing w:line="360" w:lineRule="auto"/>
        <w:jc w:val="both"/>
        <w:rPr>
          <w:rFonts w:asciiTheme="minorBidi" w:hAnsiTheme="minorBidi" w:cstheme="minorBidi"/>
          <w:sz w:val="24"/>
          <w:szCs w:val="24"/>
        </w:rPr>
      </w:pPr>
      <w:r w:rsidRPr="00A0292D">
        <w:rPr>
          <w:rFonts w:asciiTheme="minorBidi" w:hAnsiTheme="minorBidi" w:cstheme="minorBidi"/>
          <w:sz w:val="24"/>
          <w:szCs w:val="24"/>
        </w:rPr>
        <w:t>The third suggestion is moderate equity based capital layer of transition projects with long gestation periods or regulatory reliance</w:t>
      </w:r>
      <w:r w:rsidR="00C51075" w:rsidRPr="00A0292D">
        <w:rPr>
          <w:rFonts w:asciiTheme="minorBidi" w:hAnsiTheme="minorBidi" w:cstheme="minorBidi"/>
          <w:sz w:val="24"/>
          <w:szCs w:val="24"/>
        </w:rPr>
        <w:t xml:space="preserve"> (Bhimani et al., 2019)</w:t>
      </w:r>
      <w:r w:rsidRPr="00A0292D">
        <w:rPr>
          <w:rFonts w:asciiTheme="minorBidi" w:hAnsiTheme="minorBidi" w:cstheme="minorBidi"/>
          <w:sz w:val="24"/>
          <w:szCs w:val="24"/>
        </w:rPr>
        <w:t>. Toyota does not require a huge issue of common equity. It has a good base of retained earnings and unwarranted dilution would kill value. Nonetheless, sustainability-linked instruments or hybrid securities may expand financing resources and maintain the ability to fund.</w:t>
      </w:r>
    </w:p>
    <w:p w14:paraId="56986BEF" w14:textId="77777777" w:rsidR="00B058DE" w:rsidRPr="00A0292D" w:rsidRDefault="00B058DE" w:rsidP="00B058DE">
      <w:pPr>
        <w:pStyle w:val="Heading2"/>
        <w:rPr>
          <w:rFonts w:asciiTheme="minorBidi" w:hAnsiTheme="minorBidi" w:cstheme="minorBidi"/>
        </w:rPr>
      </w:pPr>
      <w:bookmarkStart w:id="22" w:name="_Toc227788469"/>
      <w:r w:rsidRPr="00A0292D">
        <w:rPr>
          <w:rFonts w:asciiTheme="minorBidi" w:hAnsiTheme="minorBidi" w:cstheme="minorBidi"/>
        </w:rPr>
        <w:t>4.3 Impact on shareholder value, debt structure and flexibility</w:t>
      </w:r>
      <w:bookmarkEnd w:id="22"/>
    </w:p>
    <w:p w14:paraId="30718518" w14:textId="77777777" w:rsidR="00B058DE" w:rsidRPr="00A0292D" w:rsidRDefault="00B058DE" w:rsidP="00C51075">
      <w:pPr>
        <w:spacing w:line="360" w:lineRule="auto"/>
        <w:jc w:val="both"/>
        <w:rPr>
          <w:rFonts w:asciiTheme="minorBidi" w:hAnsiTheme="minorBidi" w:cstheme="minorBidi"/>
          <w:sz w:val="24"/>
          <w:szCs w:val="24"/>
        </w:rPr>
      </w:pPr>
      <w:r w:rsidRPr="00A0292D">
        <w:rPr>
          <w:rFonts w:asciiTheme="minorBidi" w:hAnsiTheme="minorBidi" w:cstheme="minorBidi"/>
          <w:sz w:val="24"/>
          <w:szCs w:val="24"/>
        </w:rPr>
        <w:t>These actions would help in the support of shareholder value in three ways. First, there would be asset recycling and stricter portfolio discipline enhancing the return on capital and free cash flow. Second, the partnership structures would be less susceptible to earnings volatility due to big stand-alone projects</w:t>
      </w:r>
      <w:r w:rsidR="00C51075" w:rsidRPr="00A0292D">
        <w:rPr>
          <w:rFonts w:asciiTheme="minorBidi" w:hAnsiTheme="minorBidi" w:cstheme="minorBidi"/>
          <w:sz w:val="24"/>
          <w:szCs w:val="24"/>
        </w:rPr>
        <w:t xml:space="preserve"> (Fridson and Alvarez, 2022)</w:t>
      </w:r>
      <w:r w:rsidRPr="00A0292D">
        <w:rPr>
          <w:rFonts w:asciiTheme="minorBidi" w:hAnsiTheme="minorBidi" w:cstheme="minorBidi"/>
          <w:sz w:val="24"/>
          <w:szCs w:val="24"/>
        </w:rPr>
        <w:t xml:space="preserve">. Third, maintaining debt capacity would ensure Toyota is resilient amidst a cyclical downturn. The shareholder value is not solely based on the near-term EPS. It relies on the quality and sustainability of future cash flows, which Easton et al. (2018) and Fridson and Alvarez (2022) emphasize. </w:t>
      </w:r>
    </w:p>
    <w:p w14:paraId="0E0BB852" w14:textId="77777777" w:rsidR="00B058DE" w:rsidRPr="00A0292D" w:rsidRDefault="00B058DE" w:rsidP="00C51075">
      <w:pPr>
        <w:spacing w:line="360" w:lineRule="auto"/>
        <w:jc w:val="both"/>
        <w:rPr>
          <w:rFonts w:asciiTheme="minorBidi" w:hAnsiTheme="minorBidi" w:cstheme="minorBidi"/>
          <w:sz w:val="24"/>
          <w:szCs w:val="24"/>
        </w:rPr>
      </w:pPr>
      <w:r w:rsidRPr="00A0292D">
        <w:rPr>
          <w:rFonts w:asciiTheme="minorBidi" w:hAnsiTheme="minorBidi" w:cstheme="minorBidi"/>
          <w:sz w:val="24"/>
          <w:szCs w:val="24"/>
        </w:rPr>
        <w:t>The debt structure should be positively affected. The liabilities of Toyota are huge yet manageable and net debt to equity has already decreased since the equity has been increasing at a higher rate than the net debt. Aggressive deleveraging is thus not necessary with the proposed plan</w:t>
      </w:r>
      <w:r w:rsidR="00C51075" w:rsidRPr="00A0292D">
        <w:rPr>
          <w:rFonts w:asciiTheme="minorBidi" w:hAnsiTheme="minorBidi" w:cstheme="minorBidi"/>
          <w:sz w:val="24"/>
          <w:szCs w:val="24"/>
        </w:rPr>
        <w:t xml:space="preserve"> (Marshall, McManus and Viele, 2023)</w:t>
      </w:r>
      <w:r w:rsidRPr="00A0292D">
        <w:rPr>
          <w:rFonts w:asciiTheme="minorBidi" w:hAnsiTheme="minorBidi" w:cstheme="minorBidi"/>
          <w:sz w:val="24"/>
          <w:szCs w:val="24"/>
        </w:rPr>
        <w:t xml:space="preserve">. Rather, it ought to enhance the financing composition. Project-based and currency-based funding would decrease pressure on a refinance, which is more long-term. There would be an increase in the working capital discipline which reduces dependence on short-term funding. Recycling of assets would contribute to optionality without balance sheet pressure. </w:t>
      </w:r>
    </w:p>
    <w:p w14:paraId="72AAEA04" w14:textId="77777777" w:rsidR="00B058DE" w:rsidRPr="00A0292D" w:rsidRDefault="00B058DE" w:rsidP="00C51075">
      <w:pPr>
        <w:spacing w:line="360" w:lineRule="auto"/>
        <w:jc w:val="both"/>
        <w:rPr>
          <w:rFonts w:asciiTheme="minorBidi" w:hAnsiTheme="minorBidi" w:cstheme="minorBidi"/>
          <w:sz w:val="24"/>
          <w:szCs w:val="24"/>
        </w:rPr>
      </w:pPr>
      <w:r w:rsidRPr="00A0292D">
        <w:rPr>
          <w:rFonts w:asciiTheme="minorBidi" w:hAnsiTheme="minorBidi" w:cstheme="minorBidi"/>
          <w:sz w:val="24"/>
          <w:szCs w:val="24"/>
        </w:rPr>
        <w:t>There should also be increased flexibility in the operations. Complexity can be minimized by selling off assets that have low returns.. Working capital reforms can release capital to fund the model launches, battery localisation and software deployment without external funding</w:t>
      </w:r>
      <w:r w:rsidR="00C51075" w:rsidRPr="00A0292D">
        <w:rPr>
          <w:rFonts w:asciiTheme="minorBidi" w:hAnsiTheme="minorBidi" w:cstheme="minorBidi"/>
          <w:sz w:val="24"/>
          <w:szCs w:val="24"/>
        </w:rPr>
        <w:t xml:space="preserve"> (Watson and Head, 2010)</w:t>
      </w:r>
      <w:r w:rsidRPr="00A0292D">
        <w:rPr>
          <w:rFonts w:asciiTheme="minorBidi" w:hAnsiTheme="minorBidi" w:cstheme="minorBidi"/>
          <w:sz w:val="24"/>
          <w:szCs w:val="24"/>
        </w:rPr>
        <w:t>. The good production system that Toyota has provides the company with a platform on which many of its competitors do not have. The restructuring must strengthen that advantage, rather than undermine it.</w:t>
      </w:r>
    </w:p>
    <w:p w14:paraId="21E09F8E" w14:textId="77777777" w:rsidR="00B058DE" w:rsidRPr="00A0292D" w:rsidRDefault="00B058DE" w:rsidP="00B058DE">
      <w:pPr>
        <w:pStyle w:val="Heading2"/>
        <w:rPr>
          <w:rFonts w:asciiTheme="minorBidi" w:hAnsiTheme="minorBidi" w:cstheme="minorBidi"/>
        </w:rPr>
      </w:pPr>
      <w:bookmarkStart w:id="23" w:name="_Toc227788470"/>
      <w:r w:rsidRPr="00A0292D">
        <w:rPr>
          <w:rFonts w:asciiTheme="minorBidi" w:hAnsiTheme="minorBidi" w:cstheme="minorBidi"/>
        </w:rPr>
        <w:t>4.4 International risks and ethical considerations</w:t>
      </w:r>
      <w:bookmarkEnd w:id="23"/>
    </w:p>
    <w:p w14:paraId="4155C70E" w14:textId="77777777" w:rsidR="00B058DE" w:rsidRPr="00A0292D" w:rsidRDefault="00B058DE" w:rsidP="00C51075">
      <w:pPr>
        <w:spacing w:line="360" w:lineRule="auto"/>
        <w:jc w:val="both"/>
        <w:rPr>
          <w:rFonts w:asciiTheme="minorBidi" w:hAnsiTheme="minorBidi" w:cstheme="minorBidi"/>
          <w:sz w:val="24"/>
          <w:szCs w:val="24"/>
        </w:rPr>
      </w:pPr>
      <w:r w:rsidRPr="00A0292D">
        <w:rPr>
          <w:rFonts w:asciiTheme="minorBidi" w:hAnsiTheme="minorBidi" w:cstheme="minorBidi"/>
          <w:sz w:val="24"/>
          <w:szCs w:val="24"/>
        </w:rPr>
        <w:t>The restructuring plan should be globally scalable and ethical. The initial global concern is taxation. Legal tax planning can enhance after-tax returns by a global manufacturer but aggressive structures that do not link tax results to economic substance pose governance and reputational risk. The governance reporting of Toyota and the general trend of transparent sustainability and risk disclosure implies that the more appropriate way is the conservative tax governance (Toyota Motor Corporation, 2025; IFRS Foundation, 2023). The second one is currency risk. Toyota receives revenues in various currencies and invests in key regions. They should be funded in part in dollars and euros by a restructuring program to increase long-term assets in North America and Europe to minimize the mismatch</w:t>
      </w:r>
      <w:r w:rsidR="00C51075" w:rsidRPr="00A0292D">
        <w:rPr>
          <w:rFonts w:asciiTheme="minorBidi" w:hAnsiTheme="minorBidi" w:cstheme="minorBidi"/>
          <w:sz w:val="24"/>
          <w:szCs w:val="24"/>
        </w:rPr>
        <w:t xml:space="preserve"> (DePamphilis, 2019)</w:t>
      </w:r>
      <w:r w:rsidRPr="00A0292D">
        <w:rPr>
          <w:rFonts w:asciiTheme="minorBidi" w:hAnsiTheme="minorBidi" w:cstheme="minorBidi"/>
          <w:sz w:val="24"/>
          <w:szCs w:val="24"/>
        </w:rPr>
        <w:t xml:space="preserve">. </w:t>
      </w:r>
    </w:p>
    <w:p w14:paraId="12C22DF8" w14:textId="77777777" w:rsidR="00B058DE" w:rsidRPr="00A0292D" w:rsidRDefault="00B058DE" w:rsidP="00C51075">
      <w:pPr>
        <w:spacing w:line="360" w:lineRule="auto"/>
        <w:jc w:val="both"/>
        <w:rPr>
          <w:rFonts w:asciiTheme="minorBidi" w:hAnsiTheme="minorBidi" w:cstheme="minorBidi"/>
          <w:sz w:val="24"/>
          <w:szCs w:val="24"/>
        </w:rPr>
      </w:pPr>
      <w:r w:rsidRPr="00A0292D">
        <w:rPr>
          <w:rFonts w:asciiTheme="minorBidi" w:hAnsiTheme="minorBidi" w:cstheme="minorBidi"/>
          <w:sz w:val="24"/>
          <w:szCs w:val="24"/>
        </w:rPr>
        <w:t>The third one is inflation and input volatility. The chains of battery supply chains are reliant on the value chains of minerals which are still concentrated. UNCTAD observes that the value chains of electric cars battery trading experiences critical mineral trade that is both concentrated and highly value-added, increasing the vulnerability of manufacturers to strategic risks when they lack an upstream security (United Nations Conference on Trade and Development, 2023). Toyota must then integrate procurement diversification and longer-term offtake agreements and selective upstream partnerships</w:t>
      </w:r>
      <w:r w:rsidR="00C51075" w:rsidRPr="00A0292D">
        <w:rPr>
          <w:rFonts w:asciiTheme="minorBidi" w:hAnsiTheme="minorBidi" w:cstheme="minorBidi"/>
          <w:sz w:val="24"/>
          <w:szCs w:val="24"/>
        </w:rPr>
        <w:t xml:space="preserve"> (Damodaran, 2012)</w:t>
      </w:r>
      <w:r w:rsidRPr="00A0292D">
        <w:rPr>
          <w:rFonts w:asciiTheme="minorBidi" w:hAnsiTheme="minorBidi" w:cstheme="minorBidi"/>
          <w:sz w:val="24"/>
          <w:szCs w:val="24"/>
        </w:rPr>
        <w:t xml:space="preserve">. </w:t>
      </w:r>
    </w:p>
    <w:p w14:paraId="3E6A3A51" w14:textId="77777777" w:rsidR="00B058DE" w:rsidRPr="00A0292D" w:rsidRDefault="00B058DE" w:rsidP="00B058DE">
      <w:pPr>
        <w:pStyle w:val="Heading2"/>
        <w:rPr>
          <w:rFonts w:asciiTheme="minorBidi" w:hAnsiTheme="minorBidi" w:cstheme="minorBidi"/>
        </w:rPr>
      </w:pPr>
      <w:bookmarkStart w:id="24" w:name="_Toc227788471"/>
      <w:r w:rsidRPr="00A0292D">
        <w:rPr>
          <w:rFonts w:asciiTheme="minorBidi" w:hAnsiTheme="minorBidi" w:cstheme="minorBidi"/>
        </w:rPr>
        <w:t>4.5 Competitor lessons</w:t>
      </w:r>
      <w:bookmarkEnd w:id="24"/>
    </w:p>
    <w:p w14:paraId="0C4C0A40" w14:textId="77777777" w:rsidR="00B058DE" w:rsidRPr="00A0292D" w:rsidRDefault="00FF0339" w:rsidP="00FF0339">
      <w:pPr>
        <w:spacing w:line="360" w:lineRule="auto"/>
        <w:jc w:val="both"/>
        <w:rPr>
          <w:rFonts w:asciiTheme="minorBidi" w:hAnsiTheme="minorBidi" w:cstheme="minorBidi"/>
          <w:sz w:val="24"/>
          <w:szCs w:val="24"/>
        </w:rPr>
      </w:pPr>
      <w:r w:rsidRPr="00A0292D">
        <w:rPr>
          <w:rFonts w:asciiTheme="minorBidi" w:hAnsiTheme="minorBidi" w:cstheme="minorBidi"/>
          <w:sz w:val="24"/>
          <w:szCs w:val="24"/>
        </w:rPr>
        <w:t>The restructuring case is reinforced by peer examples. Tesla indicates the danger of highly relying on pure volume expansion at the cost of pricing and mix, when the latter are weak. Its 2025 shipments decreased, and its margins remained significantly lower than previously (Tesla Investor Relations, 2026a; Tesla Investor Relations, 2026b). Volkswagen displays the price of software implementation and restructuring burdened with impairment that compelled operating return on sales to 2.8% in 2025 (Volkswagen Group, 2026). Hyundai demonstrates the importance of striking a balance between electrification and hybrids and premium segments, which enabled it to maintain a 6.2% operating margin despite the impact of tariffs (Hyundai Motor Company, 2026). BYD demonstrates the scale strategic power, localisation and vertical integration, margin and policy risks associated with intense local competition and global barriers to trade (Reuters, 2025; The Wall Street Journal, 2026). Toyota had better avoid a dogmatism to one course of action then</w:t>
      </w:r>
      <w:r w:rsidR="00B058DE" w:rsidRPr="00A0292D">
        <w:rPr>
          <w:rFonts w:asciiTheme="minorBidi" w:hAnsiTheme="minorBidi" w:cstheme="minorBidi"/>
          <w:sz w:val="24"/>
          <w:szCs w:val="24"/>
        </w:rPr>
        <w:t>.</w:t>
      </w:r>
    </w:p>
    <w:p w14:paraId="5C31DE0A" w14:textId="77777777" w:rsidR="00B058DE" w:rsidRPr="00A0292D" w:rsidRDefault="00B058DE" w:rsidP="00FF0339">
      <w:pPr>
        <w:pStyle w:val="Heading2"/>
        <w:rPr>
          <w:rFonts w:asciiTheme="minorBidi" w:hAnsiTheme="minorBidi" w:cstheme="minorBidi"/>
        </w:rPr>
      </w:pPr>
      <w:bookmarkStart w:id="25" w:name="_Toc227788472"/>
      <w:r w:rsidRPr="00A0292D">
        <w:rPr>
          <w:rFonts w:asciiTheme="minorBidi" w:hAnsiTheme="minorBidi" w:cstheme="minorBidi"/>
        </w:rPr>
        <w:t>4.6 Restructuring conclusion</w:t>
      </w:r>
      <w:bookmarkEnd w:id="25"/>
    </w:p>
    <w:p w14:paraId="00200698" w14:textId="77777777" w:rsidR="00B058DE" w:rsidRPr="00A0292D" w:rsidRDefault="00FF0339" w:rsidP="00FF0339">
      <w:pPr>
        <w:spacing w:line="360" w:lineRule="auto"/>
        <w:jc w:val="both"/>
        <w:rPr>
          <w:rFonts w:asciiTheme="minorBidi" w:hAnsiTheme="minorBidi" w:cstheme="minorBidi"/>
          <w:sz w:val="24"/>
          <w:szCs w:val="24"/>
        </w:rPr>
      </w:pPr>
      <w:r w:rsidRPr="00A0292D">
        <w:rPr>
          <w:rFonts w:asciiTheme="minorBidi" w:hAnsiTheme="minorBidi" w:cstheme="minorBidi"/>
          <w:sz w:val="24"/>
          <w:szCs w:val="24"/>
        </w:rPr>
        <w:t>The restructuring plan proposed is economical, since it will be based primarily on the reallocation, partnership and discipline, as opposed to emergency repair of balance sheets. It is implemented on a global scale due to its ability to apply it by region and asset class. It is morally upright since it incorporates supply-chain behavior, disclosure norms and protection of the stakeholders in the funding model. Stated succinctly, Toyota ought to reorganize to be flexible rather than to survive</w:t>
      </w:r>
      <w:r w:rsidR="00B058DE" w:rsidRPr="00A0292D">
        <w:rPr>
          <w:rFonts w:asciiTheme="minorBidi" w:hAnsiTheme="minorBidi" w:cstheme="minorBidi"/>
          <w:sz w:val="24"/>
          <w:szCs w:val="24"/>
        </w:rPr>
        <w:t>.</w:t>
      </w:r>
    </w:p>
    <w:p w14:paraId="67A9AA57" w14:textId="77777777" w:rsidR="004F56BC" w:rsidRPr="00A0292D" w:rsidRDefault="000F1E9B" w:rsidP="00FF0339">
      <w:pPr>
        <w:pStyle w:val="Heading1"/>
        <w:rPr>
          <w:rFonts w:asciiTheme="minorBidi" w:hAnsiTheme="minorBidi" w:cstheme="minorBidi"/>
        </w:rPr>
      </w:pPr>
      <w:bookmarkStart w:id="26" w:name="_Toc227788473"/>
      <w:r w:rsidRPr="00A0292D">
        <w:rPr>
          <w:rFonts w:asciiTheme="minorBidi" w:hAnsiTheme="minorBidi" w:cstheme="minorBidi"/>
        </w:rPr>
        <w:t>5. Investment Appraisal and Capital Budgeting</w:t>
      </w:r>
      <w:bookmarkEnd w:id="26"/>
    </w:p>
    <w:p w14:paraId="72F8C37D" w14:textId="77777777" w:rsidR="004F56BC" w:rsidRPr="00A0292D" w:rsidRDefault="000F1E9B" w:rsidP="00FF0339">
      <w:pPr>
        <w:pStyle w:val="Heading2"/>
        <w:jc w:val="both"/>
        <w:rPr>
          <w:rFonts w:asciiTheme="minorBidi" w:hAnsiTheme="minorBidi" w:cstheme="minorBidi"/>
        </w:rPr>
      </w:pPr>
      <w:bookmarkStart w:id="27" w:name="_Toc227788474"/>
      <w:r w:rsidRPr="00A0292D">
        <w:rPr>
          <w:rFonts w:asciiTheme="minorBidi" w:hAnsiTheme="minorBidi" w:cstheme="minorBidi"/>
        </w:rPr>
        <w:t>5.1 Introduction</w:t>
      </w:r>
      <w:bookmarkEnd w:id="27"/>
    </w:p>
    <w:p w14:paraId="4C70929D" w14:textId="77777777" w:rsidR="004F56BC" w:rsidRPr="00A0292D" w:rsidRDefault="00FF0339" w:rsidP="00FF0339">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Capital budgeting is used to decide how organizations will use the limited financial resources across competing investment opportunities (Damodaran, 2012). In the case of Toyota, where the negative free cash flow is present and the capital expenditure per year is more than JPY 5 trillion, strict project appraisal is necessary. Three projects are appraised with five techniques, Payback Period (PBP), Accounting rate of return (ARR), Net present value (NPV), internal rate of return (IRR) and profitability index (PI). Each project will involve an investment of 50 million upfront and cash flows in the next five years. It is discounted at a rate of 10 percent and straight-line depreciation (to zero) over a period of five years.</w:t>
      </w:r>
    </w:p>
    <w:p w14:paraId="15B562C9" w14:textId="77777777" w:rsidR="004F56BC" w:rsidRPr="00A0292D" w:rsidRDefault="000F1E9B" w:rsidP="00FF0339">
      <w:pPr>
        <w:pStyle w:val="Heading2"/>
        <w:rPr>
          <w:rFonts w:asciiTheme="minorBidi" w:hAnsiTheme="minorBidi" w:cstheme="minorBidi"/>
        </w:rPr>
      </w:pPr>
      <w:bookmarkStart w:id="28" w:name="_Toc227788475"/>
      <w:r w:rsidRPr="00A0292D">
        <w:rPr>
          <w:rFonts w:asciiTheme="minorBidi" w:hAnsiTheme="minorBidi" w:cstheme="minorBidi"/>
        </w:rPr>
        <w:t>5.2 Payback Period</w:t>
      </w:r>
      <w:bookmarkEnd w:id="28"/>
    </w:p>
    <w:p w14:paraId="6A9B7303" w14:textId="77777777" w:rsidR="004F56BC" w:rsidRPr="00A0292D" w:rsidRDefault="00FF0339" w:rsidP="00FF0339">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The payback period is the duration of time that it requires to cover the initial investment in terms of cumulative cash inflows (Atrill and McLaney, 2021). It fails to consider the time value of money and disregards the cash flows after the payback period. The detailed calculations are given in table 4.</w:t>
      </w:r>
    </w:p>
    <w:p w14:paraId="68982A8E" w14:textId="77777777" w:rsidR="004F56BC" w:rsidRPr="00A0292D" w:rsidRDefault="000F1E9B" w:rsidP="00FF0339">
      <w:pPr>
        <w:spacing w:before="60" w:after="40" w:line="360" w:lineRule="auto"/>
        <w:jc w:val="center"/>
        <w:rPr>
          <w:rFonts w:asciiTheme="minorBidi" w:hAnsiTheme="minorBidi" w:cstheme="minorBidi"/>
          <w:sz w:val="28"/>
          <w:szCs w:val="28"/>
        </w:rPr>
      </w:pPr>
      <w:r w:rsidRPr="00A0292D">
        <w:rPr>
          <w:rFonts w:asciiTheme="minorBidi" w:hAnsiTheme="minorBidi" w:cstheme="minorBidi"/>
          <w:b/>
          <w:bCs/>
        </w:rPr>
        <w:t xml:space="preserve">Table </w:t>
      </w:r>
      <w:r w:rsidR="00FF0339" w:rsidRPr="00A0292D">
        <w:rPr>
          <w:rFonts w:asciiTheme="minorBidi" w:hAnsiTheme="minorBidi" w:cstheme="minorBidi"/>
          <w:b/>
          <w:bCs/>
        </w:rPr>
        <w:t>9</w:t>
      </w:r>
      <w:r w:rsidRPr="00A0292D">
        <w:rPr>
          <w:rFonts w:asciiTheme="minorBidi" w:hAnsiTheme="minorBidi" w:cstheme="minorBidi"/>
          <w:b/>
          <w:bCs/>
        </w:rPr>
        <w:t>: Payback Period Calculations (£ million)</w:t>
      </w:r>
    </w:p>
    <w:tbl>
      <w:tblPr>
        <w:tblW w:w="97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90"/>
        <w:gridCol w:w="2409"/>
        <w:gridCol w:w="2409"/>
        <w:gridCol w:w="2737"/>
      </w:tblGrid>
      <w:tr w:rsidR="004F56BC" w:rsidRPr="00A0292D" w14:paraId="43301E16" w14:textId="77777777" w:rsidTr="00B058DE">
        <w:trPr>
          <w:trHeight w:val="459"/>
        </w:trPr>
        <w:tc>
          <w:tcPr>
            <w:tcW w:w="2190"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30A57C14" w14:textId="77777777" w:rsidR="004F56BC" w:rsidRPr="00A0292D" w:rsidRDefault="004F56BC" w:rsidP="00FF0339">
            <w:pPr>
              <w:spacing w:line="360" w:lineRule="auto"/>
              <w:jc w:val="center"/>
              <w:rPr>
                <w:rFonts w:asciiTheme="minorBidi" w:hAnsiTheme="minorBidi" w:cstheme="minorBidi"/>
                <w:sz w:val="28"/>
                <w:szCs w:val="28"/>
              </w:rPr>
            </w:pPr>
          </w:p>
        </w:tc>
        <w:tc>
          <w:tcPr>
            <w:tcW w:w="2409"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5795D3B8"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Project A</w:t>
            </w:r>
          </w:p>
        </w:tc>
        <w:tc>
          <w:tcPr>
            <w:tcW w:w="2409"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29E82C7C"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Project B</w:t>
            </w:r>
          </w:p>
        </w:tc>
        <w:tc>
          <w:tcPr>
            <w:tcW w:w="2737"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4AFF6770"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Project C</w:t>
            </w:r>
          </w:p>
        </w:tc>
      </w:tr>
      <w:tr w:rsidR="004F56BC" w:rsidRPr="00A0292D" w14:paraId="53D4412E" w14:textId="77777777" w:rsidTr="00B058DE">
        <w:trPr>
          <w:trHeight w:val="345"/>
        </w:trPr>
        <w:tc>
          <w:tcPr>
            <w:tcW w:w="219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27FF0923"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b/>
                <w:bCs/>
                <w:sz w:val="21"/>
                <w:szCs w:val="21"/>
              </w:rPr>
              <w:t>Year 1 CF (£m)</w:t>
            </w:r>
          </w:p>
        </w:tc>
        <w:tc>
          <w:tcPr>
            <w:tcW w:w="240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E0E40B4"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10</w:t>
            </w:r>
          </w:p>
        </w:tc>
        <w:tc>
          <w:tcPr>
            <w:tcW w:w="240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3D5340D"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11</w:t>
            </w:r>
          </w:p>
        </w:tc>
        <w:tc>
          <w:tcPr>
            <w:tcW w:w="273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253A978A"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5</w:t>
            </w:r>
          </w:p>
        </w:tc>
      </w:tr>
      <w:tr w:rsidR="004F56BC" w:rsidRPr="00A0292D" w14:paraId="63C092B8" w14:textId="77777777" w:rsidTr="00B058DE">
        <w:trPr>
          <w:trHeight w:val="368"/>
        </w:trPr>
        <w:tc>
          <w:tcPr>
            <w:tcW w:w="219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0D55675"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b/>
                <w:bCs/>
                <w:sz w:val="21"/>
                <w:szCs w:val="21"/>
              </w:rPr>
              <w:t>Year 2 CF (£m)</w:t>
            </w:r>
          </w:p>
        </w:tc>
        <w:tc>
          <w:tcPr>
            <w:tcW w:w="240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3628AB0"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12</w:t>
            </w:r>
          </w:p>
        </w:tc>
        <w:tc>
          <w:tcPr>
            <w:tcW w:w="240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66F6704"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11</w:t>
            </w:r>
          </w:p>
        </w:tc>
        <w:tc>
          <w:tcPr>
            <w:tcW w:w="273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ACFDF92"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10</w:t>
            </w:r>
          </w:p>
        </w:tc>
      </w:tr>
      <w:tr w:rsidR="004F56BC" w:rsidRPr="00A0292D" w14:paraId="7A5ADA15" w14:textId="77777777" w:rsidTr="00B058DE">
        <w:trPr>
          <w:trHeight w:val="345"/>
        </w:trPr>
        <w:tc>
          <w:tcPr>
            <w:tcW w:w="219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DC97CE6"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b/>
                <w:bCs/>
                <w:sz w:val="21"/>
                <w:szCs w:val="21"/>
              </w:rPr>
              <w:t>Year 3 CF (£m)</w:t>
            </w:r>
          </w:p>
        </w:tc>
        <w:tc>
          <w:tcPr>
            <w:tcW w:w="240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5C97E83"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14</w:t>
            </w:r>
          </w:p>
        </w:tc>
        <w:tc>
          <w:tcPr>
            <w:tcW w:w="240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E074446"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11</w:t>
            </w:r>
          </w:p>
        </w:tc>
        <w:tc>
          <w:tcPr>
            <w:tcW w:w="273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7D325B7"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20</w:t>
            </w:r>
          </w:p>
        </w:tc>
      </w:tr>
      <w:tr w:rsidR="004F56BC" w:rsidRPr="00A0292D" w14:paraId="70FA5027" w14:textId="77777777" w:rsidTr="00B058DE">
        <w:trPr>
          <w:trHeight w:val="345"/>
        </w:trPr>
        <w:tc>
          <w:tcPr>
            <w:tcW w:w="219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A6D5A88"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b/>
                <w:bCs/>
                <w:sz w:val="21"/>
                <w:szCs w:val="21"/>
              </w:rPr>
              <w:t>Year 4 CF (£m)</w:t>
            </w:r>
          </w:p>
        </w:tc>
        <w:tc>
          <w:tcPr>
            <w:tcW w:w="240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036D379"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10</w:t>
            </w:r>
          </w:p>
        </w:tc>
        <w:tc>
          <w:tcPr>
            <w:tcW w:w="240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25B880B"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11</w:t>
            </w:r>
          </w:p>
        </w:tc>
        <w:tc>
          <w:tcPr>
            <w:tcW w:w="273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C7F0BF3"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25</w:t>
            </w:r>
          </w:p>
        </w:tc>
      </w:tr>
      <w:tr w:rsidR="004F56BC" w:rsidRPr="00A0292D" w14:paraId="303B9980" w14:textId="77777777" w:rsidTr="00B058DE">
        <w:trPr>
          <w:trHeight w:val="345"/>
        </w:trPr>
        <w:tc>
          <w:tcPr>
            <w:tcW w:w="219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4DE1D111"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b/>
                <w:bCs/>
                <w:sz w:val="21"/>
                <w:szCs w:val="21"/>
              </w:rPr>
              <w:t>Year 5 CF (£m)</w:t>
            </w:r>
          </w:p>
        </w:tc>
        <w:tc>
          <w:tcPr>
            <w:tcW w:w="240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B1E5E67"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8</w:t>
            </w:r>
          </w:p>
        </w:tc>
        <w:tc>
          <w:tcPr>
            <w:tcW w:w="240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7187E79"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11</w:t>
            </w:r>
          </w:p>
        </w:tc>
        <w:tc>
          <w:tcPr>
            <w:tcW w:w="273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1B88E65"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5</w:t>
            </w:r>
          </w:p>
        </w:tc>
      </w:tr>
      <w:tr w:rsidR="004F56BC" w:rsidRPr="00A0292D" w14:paraId="31B4CB36" w14:textId="77777777" w:rsidTr="00B058DE">
        <w:trPr>
          <w:trHeight w:val="713"/>
        </w:trPr>
        <w:tc>
          <w:tcPr>
            <w:tcW w:w="219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97C910C"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b/>
                <w:bCs/>
                <w:sz w:val="21"/>
                <w:szCs w:val="21"/>
              </w:rPr>
              <w:t>Cumulative end Yr 1</w:t>
            </w:r>
          </w:p>
        </w:tc>
        <w:tc>
          <w:tcPr>
            <w:tcW w:w="240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AD5797D"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(40)</w:t>
            </w:r>
          </w:p>
        </w:tc>
        <w:tc>
          <w:tcPr>
            <w:tcW w:w="240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AA27B1E"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(39)</w:t>
            </w:r>
          </w:p>
        </w:tc>
        <w:tc>
          <w:tcPr>
            <w:tcW w:w="273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659E50C"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(45)</w:t>
            </w:r>
          </w:p>
        </w:tc>
      </w:tr>
      <w:tr w:rsidR="004F56BC" w:rsidRPr="00A0292D" w14:paraId="15D75316" w14:textId="77777777" w:rsidTr="00B058DE">
        <w:trPr>
          <w:trHeight w:val="713"/>
        </w:trPr>
        <w:tc>
          <w:tcPr>
            <w:tcW w:w="219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FE4A5E3"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b/>
                <w:bCs/>
                <w:sz w:val="21"/>
                <w:szCs w:val="21"/>
              </w:rPr>
              <w:t>Cumulative end Yr 2</w:t>
            </w:r>
          </w:p>
        </w:tc>
        <w:tc>
          <w:tcPr>
            <w:tcW w:w="240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1BCFC6A"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(28)</w:t>
            </w:r>
          </w:p>
        </w:tc>
        <w:tc>
          <w:tcPr>
            <w:tcW w:w="240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4A2C273A"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(28)</w:t>
            </w:r>
          </w:p>
        </w:tc>
        <w:tc>
          <w:tcPr>
            <w:tcW w:w="273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AE9C92C"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(35)</w:t>
            </w:r>
          </w:p>
        </w:tc>
      </w:tr>
      <w:tr w:rsidR="004F56BC" w:rsidRPr="00A0292D" w14:paraId="42AF0C30" w14:textId="77777777" w:rsidTr="00B058DE">
        <w:trPr>
          <w:trHeight w:val="713"/>
        </w:trPr>
        <w:tc>
          <w:tcPr>
            <w:tcW w:w="219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09B2C04"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b/>
                <w:bCs/>
                <w:sz w:val="21"/>
                <w:szCs w:val="21"/>
              </w:rPr>
              <w:t>Cumulative end Yr 3</w:t>
            </w:r>
          </w:p>
        </w:tc>
        <w:tc>
          <w:tcPr>
            <w:tcW w:w="240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BF451B2"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(14)</w:t>
            </w:r>
          </w:p>
        </w:tc>
        <w:tc>
          <w:tcPr>
            <w:tcW w:w="240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6EEF501"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(17)</w:t>
            </w:r>
          </w:p>
        </w:tc>
        <w:tc>
          <w:tcPr>
            <w:tcW w:w="273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839F669"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(15)</w:t>
            </w:r>
          </w:p>
        </w:tc>
      </w:tr>
      <w:tr w:rsidR="004F56BC" w:rsidRPr="00A0292D" w14:paraId="3ED22FF4" w14:textId="77777777" w:rsidTr="00B058DE">
        <w:trPr>
          <w:trHeight w:val="713"/>
        </w:trPr>
        <w:tc>
          <w:tcPr>
            <w:tcW w:w="219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0735272"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b/>
                <w:bCs/>
                <w:sz w:val="21"/>
                <w:szCs w:val="21"/>
              </w:rPr>
              <w:t>Cumulative end Yr 4</w:t>
            </w:r>
          </w:p>
        </w:tc>
        <w:tc>
          <w:tcPr>
            <w:tcW w:w="240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32EC46A"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(4)</w:t>
            </w:r>
          </w:p>
        </w:tc>
        <w:tc>
          <w:tcPr>
            <w:tcW w:w="240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4321104"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(6)</w:t>
            </w:r>
          </w:p>
        </w:tc>
        <w:tc>
          <w:tcPr>
            <w:tcW w:w="273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FC39FB1"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10</w:t>
            </w:r>
          </w:p>
        </w:tc>
      </w:tr>
      <w:tr w:rsidR="004F56BC" w:rsidRPr="00A0292D" w14:paraId="3A7B9E56" w14:textId="77777777" w:rsidTr="00B058DE">
        <w:trPr>
          <w:trHeight w:val="713"/>
        </w:trPr>
        <w:tc>
          <w:tcPr>
            <w:tcW w:w="219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08677A3"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b/>
                <w:bCs/>
                <w:sz w:val="21"/>
                <w:szCs w:val="21"/>
              </w:rPr>
              <w:t>Cumulative end Yr 5</w:t>
            </w:r>
          </w:p>
        </w:tc>
        <w:tc>
          <w:tcPr>
            <w:tcW w:w="240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1A87371"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4</w:t>
            </w:r>
          </w:p>
        </w:tc>
        <w:tc>
          <w:tcPr>
            <w:tcW w:w="240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6619DFB"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5</w:t>
            </w:r>
          </w:p>
        </w:tc>
        <w:tc>
          <w:tcPr>
            <w:tcW w:w="273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9F65730"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15</w:t>
            </w:r>
          </w:p>
        </w:tc>
      </w:tr>
      <w:tr w:rsidR="004F56BC" w:rsidRPr="00A0292D" w14:paraId="60DB54A7" w14:textId="77777777" w:rsidTr="00B058DE">
        <w:trPr>
          <w:trHeight w:val="368"/>
        </w:trPr>
        <w:tc>
          <w:tcPr>
            <w:tcW w:w="219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376112D"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b/>
                <w:bCs/>
                <w:sz w:val="21"/>
                <w:szCs w:val="21"/>
              </w:rPr>
              <w:t>Payback Period</w:t>
            </w:r>
          </w:p>
        </w:tc>
        <w:tc>
          <w:tcPr>
            <w:tcW w:w="240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37DAD35"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4 + 4/8 = 4.50 yrs</w:t>
            </w:r>
          </w:p>
        </w:tc>
        <w:tc>
          <w:tcPr>
            <w:tcW w:w="240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76ABD7F"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4 + 6/11 = 4.55 yrs</w:t>
            </w:r>
          </w:p>
        </w:tc>
        <w:tc>
          <w:tcPr>
            <w:tcW w:w="273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4F4728C" w14:textId="77777777" w:rsidR="004F56BC" w:rsidRPr="00A0292D" w:rsidRDefault="000F1E9B" w:rsidP="00FF0339">
            <w:pPr>
              <w:spacing w:line="360" w:lineRule="auto"/>
              <w:jc w:val="center"/>
              <w:rPr>
                <w:rFonts w:asciiTheme="minorBidi" w:hAnsiTheme="minorBidi" w:cstheme="minorBidi"/>
                <w:sz w:val="28"/>
                <w:szCs w:val="28"/>
              </w:rPr>
            </w:pPr>
            <w:r w:rsidRPr="00A0292D">
              <w:rPr>
                <w:rFonts w:asciiTheme="minorBidi" w:hAnsiTheme="minorBidi" w:cstheme="minorBidi"/>
                <w:sz w:val="21"/>
                <w:szCs w:val="21"/>
              </w:rPr>
              <w:t>3 + 15/25 = 3.60 yrs</w:t>
            </w:r>
          </w:p>
        </w:tc>
      </w:tr>
    </w:tbl>
    <w:p w14:paraId="594B64CE" w14:textId="77777777" w:rsidR="004F56BC" w:rsidRPr="00A0292D" w:rsidRDefault="000F1E9B" w:rsidP="00FF0339">
      <w:pPr>
        <w:spacing w:before="50" w:after="130" w:line="360" w:lineRule="auto"/>
        <w:jc w:val="both"/>
        <w:rPr>
          <w:rFonts w:asciiTheme="minorBidi" w:hAnsiTheme="minorBidi" w:cstheme="minorBidi"/>
          <w:sz w:val="28"/>
          <w:szCs w:val="28"/>
        </w:rPr>
      </w:pPr>
      <w:r w:rsidRPr="00A0292D">
        <w:rPr>
          <w:rFonts w:asciiTheme="minorBidi" w:hAnsiTheme="minorBidi" w:cstheme="minorBidi"/>
          <w:i/>
          <w:iCs/>
          <w:color w:val="595959"/>
          <w:sz w:val="20"/>
          <w:szCs w:val="20"/>
        </w:rPr>
        <w:t>Source: Author's calculations based on project data provided in the brief.</w:t>
      </w:r>
    </w:p>
    <w:p w14:paraId="3C672062" w14:textId="77777777" w:rsidR="004F56BC" w:rsidRPr="00A0292D" w:rsidRDefault="00FF0339" w:rsidP="00FF0339">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Project C breaks even in a shortest time of 3.60 years compared to the other two projects. Both projects A and B take around 4.50 years. Project C is more favored under the payback criterion alone. The shorter payback period minimizes the exposure to uncertainty and an early cash recovery is also in line with the liquidity requirement of Toyota as it has a negative position on free cash flows (Wild, 2021).</w:t>
      </w:r>
    </w:p>
    <w:p w14:paraId="5B521881" w14:textId="77777777" w:rsidR="004F56BC" w:rsidRPr="00A0292D" w:rsidRDefault="000F1E9B" w:rsidP="00FF0339">
      <w:pPr>
        <w:pStyle w:val="Heading2"/>
        <w:rPr>
          <w:rFonts w:asciiTheme="minorBidi" w:hAnsiTheme="minorBidi" w:cstheme="minorBidi"/>
        </w:rPr>
      </w:pPr>
      <w:bookmarkStart w:id="29" w:name="_Toc227788476"/>
      <w:r w:rsidRPr="00A0292D">
        <w:rPr>
          <w:rFonts w:asciiTheme="minorBidi" w:hAnsiTheme="minorBidi" w:cstheme="minorBidi"/>
        </w:rPr>
        <w:t>5.3 Accounting Rate of Return</w:t>
      </w:r>
      <w:bookmarkEnd w:id="29"/>
    </w:p>
    <w:p w14:paraId="778302F2" w14:textId="77777777" w:rsidR="004F56BC" w:rsidRPr="00A0292D" w:rsidRDefault="00FF0339" w:rsidP="00FF0339">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 xml:space="preserve">ARR is given as average accounting profit per year/average investment. Under straight-line depreciation, the initial investment of 50 million would be depreciated over five years, with a total of 50 million depreciated (Drury, 2017). </w:t>
      </w:r>
    </w:p>
    <w:p w14:paraId="7815084E" w14:textId="77777777" w:rsidR="004F56BC" w:rsidRPr="00A0292D" w:rsidRDefault="000F1E9B" w:rsidP="00FF0339">
      <w:pPr>
        <w:spacing w:before="60" w:after="40" w:line="360" w:lineRule="auto"/>
        <w:jc w:val="center"/>
        <w:rPr>
          <w:rFonts w:asciiTheme="minorBidi" w:hAnsiTheme="minorBidi" w:cstheme="minorBidi"/>
          <w:sz w:val="28"/>
          <w:szCs w:val="28"/>
        </w:rPr>
      </w:pPr>
      <w:r w:rsidRPr="00A0292D">
        <w:rPr>
          <w:rFonts w:asciiTheme="minorBidi" w:hAnsiTheme="minorBidi" w:cstheme="minorBidi"/>
          <w:b/>
          <w:bCs/>
        </w:rPr>
        <w:t xml:space="preserve">Table </w:t>
      </w:r>
      <w:r w:rsidR="00FF0339" w:rsidRPr="00A0292D">
        <w:rPr>
          <w:rFonts w:asciiTheme="minorBidi" w:hAnsiTheme="minorBidi" w:cstheme="minorBidi"/>
          <w:b/>
          <w:bCs/>
        </w:rPr>
        <w:t>10</w:t>
      </w:r>
      <w:r w:rsidRPr="00A0292D">
        <w:rPr>
          <w:rFonts w:asciiTheme="minorBidi" w:hAnsiTheme="minorBidi" w:cstheme="minorBidi"/>
          <w:b/>
          <w:bCs/>
        </w:rPr>
        <w:t>: ARR Calculations (£ million)</w:t>
      </w:r>
    </w:p>
    <w:tbl>
      <w:tblPr>
        <w:tblW w:w="97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190"/>
        <w:gridCol w:w="2200"/>
        <w:gridCol w:w="2200"/>
        <w:gridCol w:w="2200"/>
      </w:tblGrid>
      <w:tr w:rsidR="004F56BC" w:rsidRPr="00A0292D" w14:paraId="4A0DF1A0" w14:textId="77777777" w:rsidTr="00B058DE">
        <w:trPr>
          <w:trHeight w:val="346"/>
        </w:trPr>
        <w:tc>
          <w:tcPr>
            <w:tcW w:w="3190"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59EC850E"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Metric</w:t>
            </w:r>
          </w:p>
        </w:tc>
        <w:tc>
          <w:tcPr>
            <w:tcW w:w="2200"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61B95981"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Project A</w:t>
            </w:r>
          </w:p>
        </w:tc>
        <w:tc>
          <w:tcPr>
            <w:tcW w:w="2200"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1EAB8787"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Project B</w:t>
            </w:r>
          </w:p>
        </w:tc>
        <w:tc>
          <w:tcPr>
            <w:tcW w:w="2200"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357AFB78"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Project C</w:t>
            </w:r>
          </w:p>
        </w:tc>
      </w:tr>
      <w:tr w:rsidR="004F56BC" w:rsidRPr="00A0292D" w14:paraId="6DC5FA3F" w14:textId="77777777" w:rsidTr="00B058DE">
        <w:trPr>
          <w:trHeight w:val="346"/>
        </w:trPr>
        <w:tc>
          <w:tcPr>
            <w:tcW w:w="319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3FB6876"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sz w:val="21"/>
                <w:szCs w:val="21"/>
              </w:rPr>
              <w:t>Total Cash Inflows (£m)</w:t>
            </w:r>
          </w:p>
        </w:tc>
        <w:tc>
          <w:tcPr>
            <w:tcW w:w="220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2EE32879"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54.00</w:t>
            </w:r>
          </w:p>
        </w:tc>
        <w:tc>
          <w:tcPr>
            <w:tcW w:w="220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B9466DF"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55.00</w:t>
            </w:r>
          </w:p>
        </w:tc>
        <w:tc>
          <w:tcPr>
            <w:tcW w:w="220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73B6CB3"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65.00</w:t>
            </w:r>
          </w:p>
        </w:tc>
      </w:tr>
      <w:tr w:rsidR="004F56BC" w:rsidRPr="00A0292D" w14:paraId="162834E6" w14:textId="77777777" w:rsidTr="00B058DE">
        <w:trPr>
          <w:trHeight w:val="716"/>
        </w:trPr>
        <w:tc>
          <w:tcPr>
            <w:tcW w:w="319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F1E4051"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sz w:val="21"/>
                <w:szCs w:val="21"/>
              </w:rPr>
              <w:t>Less: Total Depreciation (£m)</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6963FD0"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50.00</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D1AE6FA"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50.00</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C1BEB8C"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50.00</w:t>
            </w:r>
          </w:p>
        </w:tc>
      </w:tr>
      <w:tr w:rsidR="004F56BC" w:rsidRPr="00A0292D" w14:paraId="0399743A" w14:textId="77777777" w:rsidTr="00B058DE">
        <w:trPr>
          <w:trHeight w:val="716"/>
        </w:trPr>
        <w:tc>
          <w:tcPr>
            <w:tcW w:w="319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F8229A2"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sz w:val="21"/>
                <w:szCs w:val="21"/>
              </w:rPr>
              <w:t>Total Accounting Profit (£m)</w:t>
            </w:r>
          </w:p>
        </w:tc>
        <w:tc>
          <w:tcPr>
            <w:tcW w:w="220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F83E9AA"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4.00</w:t>
            </w:r>
          </w:p>
        </w:tc>
        <w:tc>
          <w:tcPr>
            <w:tcW w:w="220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2A81957"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5.00</w:t>
            </w:r>
          </w:p>
        </w:tc>
        <w:tc>
          <w:tcPr>
            <w:tcW w:w="220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5E0FEBD"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15.00</w:t>
            </w:r>
          </w:p>
        </w:tc>
      </w:tr>
      <w:tr w:rsidR="004F56BC" w:rsidRPr="00A0292D" w14:paraId="36B0F85B" w14:textId="77777777" w:rsidTr="00B058DE">
        <w:trPr>
          <w:trHeight w:val="716"/>
        </w:trPr>
        <w:tc>
          <w:tcPr>
            <w:tcW w:w="319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10C8733"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sz w:val="21"/>
                <w:szCs w:val="21"/>
              </w:rPr>
              <w:t>Average Annual Profit (£m)</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8AB76DC"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0.80</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4FBACC3"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1.00</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61FA2AF"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3.00</w:t>
            </w:r>
          </w:p>
        </w:tc>
      </w:tr>
      <w:tr w:rsidR="004F56BC" w:rsidRPr="00A0292D" w14:paraId="068377B9" w14:textId="77777777" w:rsidTr="00B058DE">
        <w:trPr>
          <w:trHeight w:val="346"/>
        </w:trPr>
        <w:tc>
          <w:tcPr>
            <w:tcW w:w="319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E347A60"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sz w:val="21"/>
                <w:szCs w:val="21"/>
              </w:rPr>
              <w:t>Average Investment (£m)*</w:t>
            </w:r>
          </w:p>
        </w:tc>
        <w:tc>
          <w:tcPr>
            <w:tcW w:w="220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E477B01"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25.00</w:t>
            </w:r>
          </w:p>
        </w:tc>
        <w:tc>
          <w:tcPr>
            <w:tcW w:w="220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746D62B"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25.00</w:t>
            </w:r>
          </w:p>
        </w:tc>
        <w:tc>
          <w:tcPr>
            <w:tcW w:w="220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392EC64"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25.00</w:t>
            </w:r>
          </w:p>
        </w:tc>
      </w:tr>
      <w:tr w:rsidR="004F56BC" w:rsidRPr="00A0292D" w14:paraId="73BC78B5" w14:textId="77777777" w:rsidTr="00B058DE">
        <w:trPr>
          <w:trHeight w:val="369"/>
        </w:trPr>
        <w:tc>
          <w:tcPr>
            <w:tcW w:w="319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C949AF1"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sz w:val="21"/>
                <w:szCs w:val="21"/>
              </w:rPr>
              <w:t>ARR (%)</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C090C3B"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3.2%</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22716DD"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4.0%</w:t>
            </w:r>
          </w:p>
        </w:tc>
        <w:tc>
          <w:tcPr>
            <w:tcW w:w="220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0A4F7A0"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12.0%</w:t>
            </w:r>
          </w:p>
        </w:tc>
      </w:tr>
    </w:tbl>
    <w:p w14:paraId="206FB1D0" w14:textId="77777777" w:rsidR="004F56BC" w:rsidRPr="00A0292D" w:rsidRDefault="000F1E9B" w:rsidP="00FF0339">
      <w:pPr>
        <w:spacing w:before="50" w:after="130" w:line="360" w:lineRule="auto"/>
        <w:jc w:val="both"/>
        <w:rPr>
          <w:rFonts w:asciiTheme="minorBidi" w:hAnsiTheme="minorBidi" w:cstheme="minorBidi"/>
          <w:sz w:val="28"/>
          <w:szCs w:val="28"/>
        </w:rPr>
      </w:pPr>
      <w:r w:rsidRPr="00A0292D">
        <w:rPr>
          <w:rFonts w:asciiTheme="minorBidi" w:hAnsiTheme="minorBidi" w:cstheme="minorBidi"/>
          <w:i/>
          <w:iCs/>
          <w:color w:val="595959"/>
          <w:sz w:val="20"/>
          <w:szCs w:val="20"/>
        </w:rPr>
        <w:t>*Average investment = (Initial investment + Residual value) / 2 = (50 + 0) / 2 = £25m. Source: Author's calculations.</w:t>
      </w:r>
    </w:p>
    <w:p w14:paraId="78054E5A" w14:textId="77777777" w:rsidR="004F56BC" w:rsidRPr="00A0292D" w:rsidRDefault="00FF0339" w:rsidP="00FF0339">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Project C generates an ARR of 12.0, which is much higher than Project A of 3.2 and Project B of 4.0. Although ARR does not take into consideration the time value of money and it, when applied alone, is misleading (Bhimani et al., 2019), it proves that Project C has high accounting profitability compared to initial capital invested.</w:t>
      </w:r>
    </w:p>
    <w:p w14:paraId="7E9BD212" w14:textId="77777777" w:rsidR="004F56BC" w:rsidRPr="00A0292D" w:rsidRDefault="000F1E9B" w:rsidP="00FF0339">
      <w:pPr>
        <w:pStyle w:val="Heading2"/>
        <w:rPr>
          <w:rFonts w:asciiTheme="minorBidi" w:hAnsiTheme="minorBidi" w:cstheme="minorBidi"/>
        </w:rPr>
      </w:pPr>
      <w:bookmarkStart w:id="30" w:name="_Toc227788477"/>
      <w:r w:rsidRPr="00A0292D">
        <w:rPr>
          <w:rFonts w:asciiTheme="minorBidi" w:hAnsiTheme="minorBidi" w:cstheme="minorBidi"/>
        </w:rPr>
        <w:t>5.4 Net Present Value</w:t>
      </w:r>
      <w:bookmarkEnd w:id="30"/>
    </w:p>
    <w:p w14:paraId="3AD6F4A6" w14:textId="77777777" w:rsidR="00FF0339" w:rsidRPr="00A0292D" w:rsidRDefault="00FF0339" w:rsidP="00FF0339">
      <w:pPr>
        <w:spacing w:before="60" w:after="40" w:line="360" w:lineRule="auto"/>
        <w:jc w:val="both"/>
        <w:rPr>
          <w:rFonts w:asciiTheme="minorBidi" w:hAnsiTheme="minorBidi" w:cstheme="minorBidi"/>
          <w:sz w:val="24"/>
          <w:szCs w:val="24"/>
        </w:rPr>
      </w:pPr>
      <w:r w:rsidRPr="00A0292D">
        <w:rPr>
          <w:rFonts w:asciiTheme="minorBidi" w:hAnsiTheme="minorBidi" w:cstheme="minorBidi"/>
          <w:sz w:val="24"/>
          <w:szCs w:val="24"/>
        </w:rPr>
        <w:t>NPV discounts all the future cash flows at the cost of capital and deducts the initial investment. A positive NPV represents value creation exceeding the necessary return; a negative NPV represents value destruction (Damodaran, 2012).</w:t>
      </w:r>
    </w:p>
    <w:p w14:paraId="637464BC" w14:textId="77777777" w:rsidR="004F56BC" w:rsidRPr="00A0292D" w:rsidRDefault="000F1E9B" w:rsidP="00FF0339">
      <w:pPr>
        <w:spacing w:before="60" w:after="40" w:line="360" w:lineRule="auto"/>
        <w:jc w:val="center"/>
        <w:rPr>
          <w:rFonts w:asciiTheme="minorBidi" w:hAnsiTheme="minorBidi" w:cstheme="minorBidi"/>
          <w:sz w:val="28"/>
          <w:szCs w:val="28"/>
        </w:rPr>
      </w:pPr>
      <w:r w:rsidRPr="00A0292D">
        <w:rPr>
          <w:rFonts w:asciiTheme="minorBidi" w:hAnsiTheme="minorBidi" w:cstheme="minorBidi"/>
          <w:b/>
          <w:bCs/>
        </w:rPr>
        <w:t>Table</w:t>
      </w:r>
      <w:r w:rsidR="00FF0339" w:rsidRPr="00A0292D">
        <w:rPr>
          <w:rFonts w:asciiTheme="minorBidi" w:hAnsiTheme="minorBidi" w:cstheme="minorBidi"/>
          <w:b/>
          <w:bCs/>
        </w:rPr>
        <w:t xml:space="preserve"> 11</w:t>
      </w:r>
      <w:r w:rsidRPr="00A0292D">
        <w:rPr>
          <w:rFonts w:asciiTheme="minorBidi" w:hAnsiTheme="minorBidi" w:cstheme="minorBidi"/>
          <w:b/>
          <w:bCs/>
        </w:rPr>
        <w:t>: NPV Calculations at 10% Discount Rate (£ million)</w:t>
      </w:r>
    </w:p>
    <w:tbl>
      <w:tblPr>
        <w:tblW w:w="98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97"/>
        <w:gridCol w:w="1204"/>
        <w:gridCol w:w="1269"/>
        <w:gridCol w:w="1271"/>
        <w:gridCol w:w="1271"/>
        <w:gridCol w:w="1271"/>
        <w:gridCol w:w="1271"/>
        <w:gridCol w:w="1271"/>
      </w:tblGrid>
      <w:tr w:rsidR="004F56BC" w:rsidRPr="00A0292D" w14:paraId="605DCADB" w14:textId="77777777" w:rsidTr="00B058DE">
        <w:trPr>
          <w:trHeight w:val="713"/>
        </w:trPr>
        <w:tc>
          <w:tcPr>
            <w:tcW w:w="997"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034977BD"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Year</w:t>
            </w:r>
          </w:p>
        </w:tc>
        <w:tc>
          <w:tcPr>
            <w:tcW w:w="1204"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34832F4E"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DF</w:t>
            </w:r>
          </w:p>
        </w:tc>
        <w:tc>
          <w:tcPr>
            <w:tcW w:w="1269"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27BA8C2C"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A CF (£m)</w:t>
            </w:r>
          </w:p>
        </w:tc>
        <w:tc>
          <w:tcPr>
            <w:tcW w:w="1271"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3AA02D61"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A PV (£m)</w:t>
            </w:r>
          </w:p>
        </w:tc>
        <w:tc>
          <w:tcPr>
            <w:tcW w:w="1271"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2DF9C153"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B CF (£m)</w:t>
            </w:r>
          </w:p>
        </w:tc>
        <w:tc>
          <w:tcPr>
            <w:tcW w:w="1271"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617A53E2"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B PV (£m)</w:t>
            </w:r>
          </w:p>
        </w:tc>
        <w:tc>
          <w:tcPr>
            <w:tcW w:w="1271"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2CF0F0ED"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C CF (£m)</w:t>
            </w:r>
          </w:p>
        </w:tc>
        <w:tc>
          <w:tcPr>
            <w:tcW w:w="1271"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32577630"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C PV (£m)</w:t>
            </w:r>
          </w:p>
        </w:tc>
      </w:tr>
      <w:tr w:rsidR="004F56BC" w:rsidRPr="00A0292D" w14:paraId="70D5D290" w14:textId="77777777" w:rsidTr="00B058DE">
        <w:trPr>
          <w:trHeight w:val="344"/>
        </w:trPr>
        <w:tc>
          <w:tcPr>
            <w:tcW w:w="99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93C0EFA"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0</w:t>
            </w:r>
          </w:p>
        </w:tc>
        <w:tc>
          <w:tcPr>
            <w:tcW w:w="120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0173102"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1.0000</w:t>
            </w:r>
          </w:p>
        </w:tc>
        <w:tc>
          <w:tcPr>
            <w:tcW w:w="126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4C00FA9"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(50.00)</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725C2DB"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(50.00)</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4EB0F3CB"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(50.00)</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585A156"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(50.00)</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228B6458"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(50.00)</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895406F"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(50.00)</w:t>
            </w:r>
          </w:p>
        </w:tc>
      </w:tr>
      <w:tr w:rsidR="004F56BC" w:rsidRPr="00A0292D" w14:paraId="7436CBD3" w14:textId="77777777" w:rsidTr="00B058DE">
        <w:trPr>
          <w:trHeight w:val="344"/>
        </w:trPr>
        <w:tc>
          <w:tcPr>
            <w:tcW w:w="99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5FBE243"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w:t>
            </w:r>
          </w:p>
        </w:tc>
        <w:tc>
          <w:tcPr>
            <w:tcW w:w="120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B23F93C"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0.9091</w:t>
            </w:r>
          </w:p>
        </w:tc>
        <w:tc>
          <w:tcPr>
            <w:tcW w:w="126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E1D44EA"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10.00</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3E9C834"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9.09</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AB27530"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11.00</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B46ADD8"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10.00</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1881787"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5.00</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CFB6AA4"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4.55</w:t>
            </w:r>
          </w:p>
        </w:tc>
      </w:tr>
      <w:tr w:rsidR="004F56BC" w:rsidRPr="00A0292D" w14:paraId="7544AB0C" w14:textId="77777777" w:rsidTr="00B058DE">
        <w:trPr>
          <w:trHeight w:val="368"/>
        </w:trPr>
        <w:tc>
          <w:tcPr>
            <w:tcW w:w="99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5364AF8"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2</w:t>
            </w:r>
          </w:p>
        </w:tc>
        <w:tc>
          <w:tcPr>
            <w:tcW w:w="120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EE70CE5"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0.8264</w:t>
            </w:r>
          </w:p>
        </w:tc>
        <w:tc>
          <w:tcPr>
            <w:tcW w:w="126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40E69052"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12.00</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83B7F8A"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9.92</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4D98C499"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11.00</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8BAF7E5"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9.09</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7C515FC"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10.00</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EE93FE3"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8.26</w:t>
            </w:r>
          </w:p>
        </w:tc>
      </w:tr>
      <w:tr w:rsidR="004F56BC" w:rsidRPr="00A0292D" w14:paraId="220152DC" w14:textId="77777777" w:rsidTr="00B058DE">
        <w:trPr>
          <w:trHeight w:val="344"/>
        </w:trPr>
        <w:tc>
          <w:tcPr>
            <w:tcW w:w="99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662E56A"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3</w:t>
            </w:r>
          </w:p>
        </w:tc>
        <w:tc>
          <w:tcPr>
            <w:tcW w:w="120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B080FA9"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0.7513</w:t>
            </w:r>
          </w:p>
        </w:tc>
        <w:tc>
          <w:tcPr>
            <w:tcW w:w="126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F4DC5C5"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14.00</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5A90EAD"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10.52</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1A4E348"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11.00</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DB0123A"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8.26</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6B82970"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20.00</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21A9CE2"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15.03</w:t>
            </w:r>
          </w:p>
        </w:tc>
      </w:tr>
      <w:tr w:rsidR="004F56BC" w:rsidRPr="00A0292D" w14:paraId="18EBB563" w14:textId="77777777" w:rsidTr="00B058DE">
        <w:trPr>
          <w:trHeight w:val="344"/>
        </w:trPr>
        <w:tc>
          <w:tcPr>
            <w:tcW w:w="99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27D483B6"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4</w:t>
            </w:r>
          </w:p>
        </w:tc>
        <w:tc>
          <w:tcPr>
            <w:tcW w:w="120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ECDA307"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0.6830</w:t>
            </w:r>
          </w:p>
        </w:tc>
        <w:tc>
          <w:tcPr>
            <w:tcW w:w="126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1F40913"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10.00</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A0D0D53"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6.83</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1C4E074"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11.00</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8E37790"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7.51</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496EBCB6"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25.00</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84A6404"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17.08</w:t>
            </w:r>
          </w:p>
        </w:tc>
      </w:tr>
      <w:tr w:rsidR="004F56BC" w:rsidRPr="00A0292D" w14:paraId="18D846AD" w14:textId="77777777" w:rsidTr="00B058DE">
        <w:trPr>
          <w:trHeight w:val="344"/>
        </w:trPr>
        <w:tc>
          <w:tcPr>
            <w:tcW w:w="99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59A58D4"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w:t>
            </w:r>
          </w:p>
        </w:tc>
        <w:tc>
          <w:tcPr>
            <w:tcW w:w="120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D4E89E5"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0.6209</w:t>
            </w:r>
          </w:p>
        </w:tc>
        <w:tc>
          <w:tcPr>
            <w:tcW w:w="1269"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90CD79B"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8.00</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CB81EBD"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4.97</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E8012CC"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11.00</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25E09A8"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6.83</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CA53AF0"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5.00</w:t>
            </w:r>
          </w:p>
        </w:tc>
        <w:tc>
          <w:tcPr>
            <w:tcW w:w="1271"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9D2D8EA"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3.10</w:t>
            </w:r>
          </w:p>
        </w:tc>
      </w:tr>
      <w:tr w:rsidR="004F56BC" w:rsidRPr="00A0292D" w14:paraId="52B61DE1" w14:textId="77777777" w:rsidTr="00B058DE">
        <w:trPr>
          <w:trHeight w:val="482"/>
        </w:trPr>
        <w:tc>
          <w:tcPr>
            <w:tcW w:w="99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C1C2122"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NPV</w:t>
            </w:r>
          </w:p>
        </w:tc>
        <w:tc>
          <w:tcPr>
            <w:tcW w:w="120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E2FD75E" w14:textId="77777777" w:rsidR="004F56BC" w:rsidRPr="00A0292D" w:rsidRDefault="004F56BC" w:rsidP="00FF0339">
            <w:pPr>
              <w:spacing w:line="360" w:lineRule="auto"/>
              <w:jc w:val="both"/>
              <w:rPr>
                <w:rFonts w:asciiTheme="minorBidi" w:hAnsiTheme="minorBidi" w:cstheme="minorBidi"/>
                <w:sz w:val="28"/>
                <w:szCs w:val="28"/>
              </w:rPr>
            </w:pPr>
          </w:p>
        </w:tc>
        <w:tc>
          <w:tcPr>
            <w:tcW w:w="1269"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2C65E59A" w14:textId="77777777" w:rsidR="004F56BC" w:rsidRPr="00A0292D" w:rsidRDefault="004F56BC" w:rsidP="00FF0339">
            <w:pPr>
              <w:spacing w:line="360" w:lineRule="auto"/>
              <w:jc w:val="both"/>
              <w:rPr>
                <w:rFonts w:asciiTheme="minorBidi" w:hAnsiTheme="minorBidi" w:cstheme="minorBidi"/>
                <w:sz w:val="28"/>
                <w:szCs w:val="28"/>
              </w:rPr>
            </w:pP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C25FE1D"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(8.68)</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8928F14" w14:textId="77777777" w:rsidR="004F56BC" w:rsidRPr="00A0292D" w:rsidRDefault="004F56BC" w:rsidP="00FF0339">
            <w:pPr>
              <w:spacing w:line="360" w:lineRule="auto"/>
              <w:jc w:val="both"/>
              <w:rPr>
                <w:rFonts w:asciiTheme="minorBidi" w:hAnsiTheme="minorBidi" w:cstheme="minorBidi"/>
                <w:sz w:val="28"/>
                <w:szCs w:val="28"/>
              </w:rPr>
            </w:pP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987C55C"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(8.30)</w:t>
            </w: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8AB451F" w14:textId="77777777" w:rsidR="004F56BC" w:rsidRPr="00A0292D" w:rsidRDefault="004F56BC" w:rsidP="00FF0339">
            <w:pPr>
              <w:spacing w:line="360" w:lineRule="auto"/>
              <w:jc w:val="both"/>
              <w:rPr>
                <w:rFonts w:asciiTheme="minorBidi" w:hAnsiTheme="minorBidi" w:cstheme="minorBidi"/>
                <w:sz w:val="28"/>
                <w:szCs w:val="28"/>
              </w:rPr>
            </w:pPr>
          </w:p>
        </w:tc>
        <w:tc>
          <w:tcPr>
            <w:tcW w:w="1271"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D8782E9"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(1.98)</w:t>
            </w:r>
          </w:p>
        </w:tc>
      </w:tr>
    </w:tbl>
    <w:p w14:paraId="2FA51688" w14:textId="77777777" w:rsidR="004F56BC" w:rsidRPr="00A0292D" w:rsidRDefault="000F1E9B" w:rsidP="00FF0339">
      <w:pPr>
        <w:spacing w:before="50" w:after="130" w:line="360" w:lineRule="auto"/>
        <w:jc w:val="both"/>
        <w:rPr>
          <w:rFonts w:asciiTheme="minorBidi" w:hAnsiTheme="minorBidi" w:cstheme="minorBidi"/>
          <w:sz w:val="28"/>
          <w:szCs w:val="28"/>
        </w:rPr>
      </w:pPr>
      <w:r w:rsidRPr="00A0292D">
        <w:rPr>
          <w:rFonts w:asciiTheme="minorBidi" w:hAnsiTheme="minorBidi" w:cstheme="minorBidi"/>
          <w:i/>
          <w:iCs/>
          <w:color w:val="595959"/>
          <w:sz w:val="20"/>
          <w:szCs w:val="20"/>
        </w:rPr>
        <w:t>Discount factors: Year 1 = 1/1.10 = 0.9091; Year 2 = 1/1.10^2 = 0.8264; Year 3 = 0.7513; Year 4 = 0.6830; Year 5 = 0.6209. Source: Author's calculations.</w:t>
      </w:r>
    </w:p>
    <w:p w14:paraId="6B5E386B" w14:textId="77777777" w:rsidR="004F56BC" w:rsidRPr="00A0292D" w:rsidRDefault="00FF0339" w:rsidP="00FF0339">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The three projects generate negative NPVs at 10% hurdle rate. Project A: -£8.68 million. Project B: -£8.30 million. Project C: -£1.98 million. All the three projects are rejected under the NPV decision rule since none of the projects can produce sufficient cash flows to justify the cost of capital (Watson and Head, 2010). Project C annihilates the least value and is the least undesirable project in case of mandatory investment.</w:t>
      </w:r>
    </w:p>
    <w:p w14:paraId="18A758FC" w14:textId="77777777" w:rsidR="004F56BC" w:rsidRPr="00A0292D" w:rsidRDefault="000F1E9B" w:rsidP="00FF0339">
      <w:pPr>
        <w:pStyle w:val="Heading2"/>
        <w:rPr>
          <w:rFonts w:asciiTheme="minorBidi" w:hAnsiTheme="minorBidi" w:cstheme="minorBidi"/>
        </w:rPr>
      </w:pPr>
      <w:bookmarkStart w:id="31" w:name="_Toc227788478"/>
      <w:r w:rsidRPr="00A0292D">
        <w:rPr>
          <w:rFonts w:asciiTheme="minorBidi" w:hAnsiTheme="minorBidi" w:cstheme="minorBidi"/>
        </w:rPr>
        <w:t>5.5 Internal Rate of Return</w:t>
      </w:r>
      <w:bookmarkEnd w:id="31"/>
    </w:p>
    <w:p w14:paraId="670D759D" w14:textId="77777777" w:rsidR="004F56BC" w:rsidRPr="00A0292D" w:rsidRDefault="00FF0339" w:rsidP="00FF0339">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The discount rate at which the NPV is zero is referred to as the IRR. The projects are accepted in the case of IRR being greater than the cost of capital (Winfield et al., 2021). The IRR for Project A is 2.72%, for Project B is 3.26%, and for Project C is 8.59%. The three IRRs are all less than the 10% cost of capital, which validates the NPV conclusion. All the projects fall short of the IRR acceptance requirement. The closest project to the 10% level is project C, which supports its comparative advantage over other two alternatives.</w:t>
      </w:r>
    </w:p>
    <w:p w14:paraId="0A65FF79" w14:textId="77777777" w:rsidR="004F56BC" w:rsidRPr="00A0292D" w:rsidRDefault="000F1E9B" w:rsidP="00FF0339">
      <w:pPr>
        <w:pStyle w:val="Heading2"/>
        <w:rPr>
          <w:rFonts w:asciiTheme="minorBidi" w:hAnsiTheme="minorBidi" w:cstheme="minorBidi"/>
        </w:rPr>
      </w:pPr>
      <w:bookmarkStart w:id="32" w:name="_Toc227788479"/>
      <w:r w:rsidRPr="00A0292D">
        <w:rPr>
          <w:rFonts w:asciiTheme="minorBidi" w:hAnsiTheme="minorBidi" w:cstheme="minorBidi"/>
        </w:rPr>
        <w:t>5.6 Profitability Index</w:t>
      </w:r>
      <w:bookmarkEnd w:id="32"/>
    </w:p>
    <w:p w14:paraId="06068CF8" w14:textId="77777777" w:rsidR="004F56BC" w:rsidRPr="00A0292D" w:rsidRDefault="00FF0339" w:rsidP="00FF0339">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The PI = (NPV/Initial Investment) + Initial Investment. PI of above 1.0 implies value creation (Damodaran, 2012). Project A: PI = (50 - 8.68) / 50 = 0.83. Project B: PI = (50 - 8.30) / 50 = 0.83. Project C: PI = (50 - 1.98) / 50 = 0.96. All PIs are less than 1.0, which is in line with negative NPVs. Project C with a value of 0.96 is nearest to the acceptance threshold of 1.0.</w:t>
      </w:r>
    </w:p>
    <w:p w14:paraId="445AA890" w14:textId="77777777" w:rsidR="004F56BC" w:rsidRPr="00A0292D" w:rsidRDefault="000F1E9B" w:rsidP="00FF0339">
      <w:pPr>
        <w:pStyle w:val="Heading2"/>
        <w:jc w:val="both"/>
        <w:rPr>
          <w:rFonts w:asciiTheme="minorBidi" w:hAnsiTheme="minorBidi" w:cstheme="minorBidi"/>
        </w:rPr>
      </w:pPr>
      <w:bookmarkStart w:id="33" w:name="_Toc227788480"/>
      <w:r w:rsidRPr="00A0292D">
        <w:rPr>
          <w:rFonts w:asciiTheme="minorBidi" w:hAnsiTheme="minorBidi" w:cstheme="minorBidi"/>
        </w:rPr>
        <w:t>5.7 Project Comparison and Recommendation</w:t>
      </w:r>
      <w:bookmarkEnd w:id="33"/>
    </w:p>
    <w:p w14:paraId="65016511" w14:textId="77777777" w:rsidR="004F56BC" w:rsidRPr="00A0292D" w:rsidRDefault="000F1E9B" w:rsidP="00FF0339">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 xml:space="preserve">Table </w:t>
      </w:r>
      <w:r w:rsidR="00FF0339" w:rsidRPr="00A0292D">
        <w:rPr>
          <w:rFonts w:asciiTheme="minorBidi" w:hAnsiTheme="minorBidi" w:cstheme="minorBidi"/>
          <w:sz w:val="24"/>
          <w:szCs w:val="24"/>
        </w:rPr>
        <w:t>12</w:t>
      </w:r>
      <w:r w:rsidRPr="00A0292D">
        <w:rPr>
          <w:rFonts w:asciiTheme="minorBidi" w:hAnsiTheme="minorBidi" w:cstheme="minorBidi"/>
          <w:sz w:val="24"/>
          <w:szCs w:val="24"/>
        </w:rPr>
        <w:t xml:space="preserve"> summarises all appraisal results for the three projects.</w:t>
      </w:r>
    </w:p>
    <w:p w14:paraId="018F2555" w14:textId="77777777" w:rsidR="004F56BC" w:rsidRPr="00A0292D" w:rsidRDefault="000F1E9B" w:rsidP="00FF0339">
      <w:pPr>
        <w:spacing w:before="60" w:after="40" w:line="360" w:lineRule="auto"/>
        <w:jc w:val="center"/>
        <w:rPr>
          <w:rFonts w:asciiTheme="minorBidi" w:hAnsiTheme="minorBidi" w:cstheme="minorBidi"/>
          <w:sz w:val="28"/>
          <w:szCs w:val="28"/>
        </w:rPr>
      </w:pPr>
      <w:r w:rsidRPr="00A0292D">
        <w:rPr>
          <w:rFonts w:asciiTheme="minorBidi" w:hAnsiTheme="minorBidi" w:cstheme="minorBidi"/>
          <w:b/>
          <w:bCs/>
        </w:rPr>
        <w:t xml:space="preserve">Table </w:t>
      </w:r>
      <w:r w:rsidR="00FF0339" w:rsidRPr="00A0292D">
        <w:rPr>
          <w:rFonts w:asciiTheme="minorBidi" w:hAnsiTheme="minorBidi" w:cstheme="minorBidi"/>
          <w:b/>
          <w:bCs/>
        </w:rPr>
        <w:t>12</w:t>
      </w:r>
      <w:r w:rsidRPr="00A0292D">
        <w:rPr>
          <w:rFonts w:asciiTheme="minorBidi" w:hAnsiTheme="minorBidi" w:cstheme="minorBidi"/>
          <w:b/>
          <w:bCs/>
        </w:rPr>
        <w:t>: Investment Appraisal Summary</w:t>
      </w:r>
    </w:p>
    <w:tbl>
      <w:tblPr>
        <w:tblW w:w="98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80"/>
        <w:gridCol w:w="2326"/>
        <w:gridCol w:w="2326"/>
        <w:gridCol w:w="2326"/>
      </w:tblGrid>
      <w:tr w:rsidR="004F56BC" w:rsidRPr="00A0292D" w14:paraId="671AD1FF" w14:textId="77777777" w:rsidTr="00FF0339">
        <w:trPr>
          <w:trHeight w:val="608"/>
        </w:trPr>
        <w:tc>
          <w:tcPr>
            <w:tcW w:w="2880"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6B97CD6C"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Metric</w:t>
            </w:r>
          </w:p>
        </w:tc>
        <w:tc>
          <w:tcPr>
            <w:tcW w:w="2326"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39B09422"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Project A</w:t>
            </w:r>
          </w:p>
        </w:tc>
        <w:tc>
          <w:tcPr>
            <w:tcW w:w="2326"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462FB0F2"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Project B</w:t>
            </w:r>
          </w:p>
        </w:tc>
        <w:tc>
          <w:tcPr>
            <w:tcW w:w="2326"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2EA41087"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color w:val="FFFFFF"/>
                <w:sz w:val="21"/>
                <w:szCs w:val="21"/>
              </w:rPr>
              <w:t>Project C</w:t>
            </w:r>
          </w:p>
        </w:tc>
      </w:tr>
      <w:tr w:rsidR="004F56BC" w:rsidRPr="00A0292D" w14:paraId="4049F5CF" w14:textId="77777777" w:rsidTr="00FF0339">
        <w:trPr>
          <w:trHeight w:val="608"/>
        </w:trPr>
        <w:tc>
          <w:tcPr>
            <w:tcW w:w="288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AF7245E"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sz w:val="21"/>
                <w:szCs w:val="21"/>
              </w:rPr>
              <w:t>Initial Investment (£m)</w:t>
            </w:r>
          </w:p>
        </w:tc>
        <w:tc>
          <w:tcPr>
            <w:tcW w:w="2326"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463ADFDF"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w:t>
            </w:r>
          </w:p>
        </w:tc>
        <w:tc>
          <w:tcPr>
            <w:tcW w:w="2326"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BAB50EA"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w:t>
            </w:r>
          </w:p>
        </w:tc>
        <w:tc>
          <w:tcPr>
            <w:tcW w:w="2326"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64C1838"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50</w:t>
            </w:r>
          </w:p>
        </w:tc>
      </w:tr>
      <w:tr w:rsidR="004F56BC" w:rsidRPr="00A0292D" w14:paraId="0B9213FD" w14:textId="77777777" w:rsidTr="00FF0339">
        <w:trPr>
          <w:trHeight w:val="608"/>
        </w:trPr>
        <w:tc>
          <w:tcPr>
            <w:tcW w:w="28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067DB64"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sz w:val="21"/>
                <w:szCs w:val="21"/>
              </w:rPr>
              <w:t>Total Cash Inflows (£m)</w:t>
            </w:r>
          </w:p>
        </w:tc>
        <w:tc>
          <w:tcPr>
            <w:tcW w:w="23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B587952"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54</w:t>
            </w:r>
          </w:p>
        </w:tc>
        <w:tc>
          <w:tcPr>
            <w:tcW w:w="23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C333180"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55</w:t>
            </w:r>
          </w:p>
        </w:tc>
        <w:tc>
          <w:tcPr>
            <w:tcW w:w="23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2FEFF3A"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65</w:t>
            </w:r>
          </w:p>
        </w:tc>
      </w:tr>
      <w:tr w:rsidR="004F56BC" w:rsidRPr="00A0292D" w14:paraId="6B4F6099" w14:textId="77777777" w:rsidTr="00FF0339">
        <w:trPr>
          <w:trHeight w:val="608"/>
        </w:trPr>
        <w:tc>
          <w:tcPr>
            <w:tcW w:w="288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E158210"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sz w:val="21"/>
                <w:szCs w:val="21"/>
              </w:rPr>
              <w:t>Payback Period</w:t>
            </w:r>
          </w:p>
        </w:tc>
        <w:tc>
          <w:tcPr>
            <w:tcW w:w="2326"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A2B96A4"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4.50 years</w:t>
            </w:r>
          </w:p>
        </w:tc>
        <w:tc>
          <w:tcPr>
            <w:tcW w:w="2326"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53EDF48"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4.55 years</w:t>
            </w:r>
          </w:p>
        </w:tc>
        <w:tc>
          <w:tcPr>
            <w:tcW w:w="2326"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28088E7F"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3.60 years</w:t>
            </w:r>
          </w:p>
        </w:tc>
      </w:tr>
      <w:tr w:rsidR="004F56BC" w:rsidRPr="00A0292D" w14:paraId="5B5414A4" w14:textId="77777777" w:rsidTr="00FF0339">
        <w:trPr>
          <w:trHeight w:val="649"/>
        </w:trPr>
        <w:tc>
          <w:tcPr>
            <w:tcW w:w="28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F39ABD7"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sz w:val="21"/>
                <w:szCs w:val="21"/>
              </w:rPr>
              <w:t>ARR (%)</w:t>
            </w:r>
          </w:p>
        </w:tc>
        <w:tc>
          <w:tcPr>
            <w:tcW w:w="23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2824447"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3.2%</w:t>
            </w:r>
          </w:p>
        </w:tc>
        <w:tc>
          <w:tcPr>
            <w:tcW w:w="23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A822439"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4.0%</w:t>
            </w:r>
          </w:p>
        </w:tc>
        <w:tc>
          <w:tcPr>
            <w:tcW w:w="23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DB45CAD"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12.0%</w:t>
            </w:r>
          </w:p>
        </w:tc>
      </w:tr>
      <w:tr w:rsidR="004F56BC" w:rsidRPr="00A0292D" w14:paraId="7AF95475" w14:textId="77777777" w:rsidTr="00FF0339">
        <w:trPr>
          <w:trHeight w:val="608"/>
        </w:trPr>
        <w:tc>
          <w:tcPr>
            <w:tcW w:w="288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43A8AF78"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sz w:val="21"/>
                <w:szCs w:val="21"/>
              </w:rPr>
              <w:t>NPV at 10% (£m)</w:t>
            </w:r>
          </w:p>
        </w:tc>
        <w:tc>
          <w:tcPr>
            <w:tcW w:w="2326"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9606AE8"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(8.68)</w:t>
            </w:r>
          </w:p>
        </w:tc>
        <w:tc>
          <w:tcPr>
            <w:tcW w:w="2326"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42F217BA"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(8.30)</w:t>
            </w:r>
          </w:p>
        </w:tc>
        <w:tc>
          <w:tcPr>
            <w:tcW w:w="2326"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C85256B"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(1.98)</w:t>
            </w:r>
          </w:p>
        </w:tc>
      </w:tr>
      <w:tr w:rsidR="004F56BC" w:rsidRPr="00A0292D" w14:paraId="3F5AB990" w14:textId="77777777" w:rsidTr="00FF0339">
        <w:trPr>
          <w:trHeight w:val="608"/>
        </w:trPr>
        <w:tc>
          <w:tcPr>
            <w:tcW w:w="28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A29FD7F"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sz w:val="21"/>
                <w:szCs w:val="21"/>
              </w:rPr>
              <w:t>IRR (%)</w:t>
            </w:r>
          </w:p>
        </w:tc>
        <w:tc>
          <w:tcPr>
            <w:tcW w:w="23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7EEC7AE"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2.72%</w:t>
            </w:r>
          </w:p>
        </w:tc>
        <w:tc>
          <w:tcPr>
            <w:tcW w:w="23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E6F302F"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3.26%</w:t>
            </w:r>
          </w:p>
        </w:tc>
        <w:tc>
          <w:tcPr>
            <w:tcW w:w="23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A9849F8"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8.59%</w:t>
            </w:r>
          </w:p>
        </w:tc>
      </w:tr>
      <w:tr w:rsidR="004F56BC" w:rsidRPr="00A0292D" w14:paraId="4D6DDC8C" w14:textId="77777777" w:rsidTr="00FF0339">
        <w:trPr>
          <w:trHeight w:val="608"/>
        </w:trPr>
        <w:tc>
          <w:tcPr>
            <w:tcW w:w="288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68D9691"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sz w:val="21"/>
                <w:szCs w:val="21"/>
              </w:rPr>
              <w:t>Profitability Index</w:t>
            </w:r>
          </w:p>
        </w:tc>
        <w:tc>
          <w:tcPr>
            <w:tcW w:w="2326"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0D5F691"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0.83</w:t>
            </w:r>
          </w:p>
        </w:tc>
        <w:tc>
          <w:tcPr>
            <w:tcW w:w="2326"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B60F3DD"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0.83</w:t>
            </w:r>
          </w:p>
        </w:tc>
        <w:tc>
          <w:tcPr>
            <w:tcW w:w="2326"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178414D"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0.96</w:t>
            </w:r>
          </w:p>
        </w:tc>
      </w:tr>
      <w:tr w:rsidR="004F56BC" w:rsidRPr="00A0292D" w14:paraId="50D4F6ED" w14:textId="77777777" w:rsidTr="00FF0339">
        <w:trPr>
          <w:trHeight w:val="608"/>
        </w:trPr>
        <w:tc>
          <w:tcPr>
            <w:tcW w:w="28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AB2BBD5"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b/>
                <w:bCs/>
                <w:sz w:val="21"/>
                <w:szCs w:val="21"/>
              </w:rPr>
              <w:t>Decision</w:t>
            </w:r>
          </w:p>
        </w:tc>
        <w:tc>
          <w:tcPr>
            <w:tcW w:w="23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05DC8D1C"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Reject</w:t>
            </w:r>
          </w:p>
        </w:tc>
        <w:tc>
          <w:tcPr>
            <w:tcW w:w="23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91E1D85"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Reject</w:t>
            </w:r>
          </w:p>
        </w:tc>
        <w:tc>
          <w:tcPr>
            <w:tcW w:w="2326"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35F79EB" w14:textId="77777777" w:rsidR="004F56BC" w:rsidRPr="00A0292D" w:rsidRDefault="000F1E9B" w:rsidP="00FF0339">
            <w:pPr>
              <w:spacing w:line="360" w:lineRule="auto"/>
              <w:jc w:val="both"/>
              <w:rPr>
                <w:rFonts w:asciiTheme="minorBidi" w:hAnsiTheme="minorBidi" w:cstheme="minorBidi"/>
                <w:sz w:val="28"/>
                <w:szCs w:val="28"/>
              </w:rPr>
            </w:pPr>
            <w:r w:rsidRPr="00A0292D">
              <w:rPr>
                <w:rFonts w:asciiTheme="minorBidi" w:hAnsiTheme="minorBidi" w:cstheme="minorBidi"/>
                <w:sz w:val="21"/>
                <w:szCs w:val="21"/>
              </w:rPr>
              <w:t>Least unfavourable</w:t>
            </w:r>
          </w:p>
        </w:tc>
      </w:tr>
    </w:tbl>
    <w:p w14:paraId="1511B1AD" w14:textId="77777777" w:rsidR="004F56BC" w:rsidRPr="00A0292D" w:rsidRDefault="000F1E9B" w:rsidP="00FF0339">
      <w:pPr>
        <w:spacing w:before="50" w:after="130" w:line="360" w:lineRule="auto"/>
        <w:jc w:val="center"/>
        <w:rPr>
          <w:rFonts w:asciiTheme="minorBidi" w:hAnsiTheme="minorBidi" w:cstheme="minorBidi"/>
          <w:sz w:val="28"/>
          <w:szCs w:val="28"/>
        </w:rPr>
      </w:pPr>
      <w:r w:rsidRPr="00A0292D">
        <w:rPr>
          <w:rFonts w:asciiTheme="minorBidi" w:hAnsiTheme="minorBidi" w:cstheme="minorBidi"/>
          <w:i/>
          <w:iCs/>
          <w:color w:val="595959"/>
          <w:sz w:val="20"/>
          <w:szCs w:val="20"/>
        </w:rPr>
        <w:t>Source: Author's calculations. NPV calculated at 10% discount rate. ARR based on average investment of £25 million.</w:t>
      </w:r>
    </w:p>
    <w:p w14:paraId="62D9E993" w14:textId="77777777" w:rsidR="004F56BC" w:rsidRPr="00A0292D" w:rsidRDefault="00A521E7" w:rsidP="00A521E7">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The theoretically best investment appraisal method is the NPV method due to its ability to consider the time value of money, all cash flows, and directly quantifies the value creation (Damodaran, 2012). All projects should be rejected on NPV grounds. Project C is a conditional project given that the Board needs one of the projects to be undertaken strategically. It has the lowest payback period, greatest ARR, smallest negative NPV and greatest IRR. Its back-loaded cash flow, where the top inflow is £25 million in Year 4 is appropriate to Toyota expected cash flow recovery as the hybrid and BEV volumes increase.</w:t>
      </w:r>
    </w:p>
    <w:p w14:paraId="5CE2A14A" w14:textId="77777777" w:rsidR="004F56BC" w:rsidRPr="00A0292D" w:rsidRDefault="00A521E7" w:rsidP="00A521E7">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Project C. also has fewer disadvantages in terms of non-financial risk, as the customer loyalty risk is less with Toyota compared to the newer entrants, which are EVs with shorter histories and unsatisfactory quality. The cash flows of Year 4 could be lower due to political risk, such as the possibility of changes to EV government incentive programmes in major markets. To some extent, this risk is diversified by the global manufacturing foot print of Toyota. The uniform cash flows of Project B provide predictability but provide less total returns and eliminate more value at the 10% hurdle rate (Easton et al., 2018).</w:t>
      </w:r>
    </w:p>
    <w:p w14:paraId="7D527B81" w14:textId="77777777" w:rsidR="004F56BC" w:rsidRPr="00A0292D" w:rsidRDefault="000F1E9B" w:rsidP="00FF0339">
      <w:pPr>
        <w:pStyle w:val="Heading2"/>
        <w:jc w:val="both"/>
        <w:rPr>
          <w:rFonts w:asciiTheme="minorBidi" w:hAnsiTheme="minorBidi" w:cstheme="minorBidi"/>
        </w:rPr>
      </w:pPr>
      <w:bookmarkStart w:id="34" w:name="_Toc227788481"/>
      <w:r w:rsidRPr="00A0292D">
        <w:rPr>
          <w:rFonts w:asciiTheme="minorBidi" w:hAnsiTheme="minorBidi" w:cstheme="minorBidi"/>
        </w:rPr>
        <w:t>5.8 Capital Rationing Decision</w:t>
      </w:r>
      <w:bookmarkEnd w:id="34"/>
    </w:p>
    <w:p w14:paraId="60590C15" w14:textId="77777777" w:rsidR="004F56BC" w:rsidRPr="00A0292D" w:rsidRDefault="00A521E7" w:rsidP="00A521E7">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Toyota has a maximum investment budget of 100 million pounds, and projects of 50 million pounds each so the maximum number of projects it can invest in is two. Table 13 appraises every combination.</w:t>
      </w:r>
    </w:p>
    <w:p w14:paraId="53316402" w14:textId="77777777" w:rsidR="004F56BC" w:rsidRPr="00A0292D" w:rsidRDefault="000F1E9B" w:rsidP="008F61B8">
      <w:pPr>
        <w:spacing w:before="60" w:after="40" w:line="360" w:lineRule="auto"/>
        <w:jc w:val="center"/>
        <w:rPr>
          <w:rFonts w:asciiTheme="minorBidi" w:hAnsiTheme="minorBidi" w:cstheme="minorBidi"/>
          <w:sz w:val="28"/>
          <w:szCs w:val="28"/>
        </w:rPr>
      </w:pPr>
      <w:r w:rsidRPr="00A0292D">
        <w:rPr>
          <w:rFonts w:asciiTheme="minorBidi" w:hAnsiTheme="minorBidi" w:cstheme="minorBidi"/>
          <w:b/>
          <w:bCs/>
        </w:rPr>
        <w:t xml:space="preserve">Table </w:t>
      </w:r>
      <w:r w:rsidR="00A521E7" w:rsidRPr="00A0292D">
        <w:rPr>
          <w:rFonts w:asciiTheme="minorBidi" w:hAnsiTheme="minorBidi" w:cstheme="minorBidi"/>
          <w:b/>
          <w:bCs/>
        </w:rPr>
        <w:t>13</w:t>
      </w:r>
      <w:r w:rsidRPr="00A0292D">
        <w:rPr>
          <w:rFonts w:asciiTheme="minorBidi" w:hAnsiTheme="minorBidi" w:cstheme="minorBidi"/>
          <w:b/>
          <w:bCs/>
        </w:rPr>
        <w:t>: Capital Rationing Analysis (Budget: £100 million)</w:t>
      </w:r>
    </w:p>
    <w:tbl>
      <w:tblPr>
        <w:tblW w:w="96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88"/>
        <w:gridCol w:w="980"/>
        <w:gridCol w:w="2724"/>
        <w:gridCol w:w="3705"/>
      </w:tblGrid>
      <w:tr w:rsidR="004F56BC" w:rsidRPr="00A0292D" w14:paraId="02538E70" w14:textId="77777777" w:rsidTr="00A521E7">
        <w:trPr>
          <w:trHeight w:val="718"/>
        </w:trPr>
        <w:tc>
          <w:tcPr>
            <w:tcW w:w="2288"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28D68D86" w14:textId="77777777" w:rsidR="004F56BC" w:rsidRPr="00A0292D" w:rsidRDefault="000F1E9B"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Combination</w:t>
            </w:r>
          </w:p>
        </w:tc>
        <w:tc>
          <w:tcPr>
            <w:tcW w:w="980"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4A001DA1" w14:textId="77777777" w:rsidR="004F56BC" w:rsidRPr="00A0292D" w:rsidRDefault="000F1E9B"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Cost (£m)</w:t>
            </w:r>
          </w:p>
        </w:tc>
        <w:tc>
          <w:tcPr>
            <w:tcW w:w="2724"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017D7C10" w14:textId="77777777" w:rsidR="004F56BC" w:rsidRPr="00A0292D" w:rsidRDefault="000F1E9B"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Combined NPV (£m)</w:t>
            </w:r>
          </w:p>
        </w:tc>
        <w:tc>
          <w:tcPr>
            <w:tcW w:w="3705"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tcPr>
          <w:p w14:paraId="460D2BBB" w14:textId="77777777" w:rsidR="004F56BC" w:rsidRPr="00A0292D" w:rsidRDefault="000F1E9B" w:rsidP="008F61B8">
            <w:pPr>
              <w:spacing w:line="360" w:lineRule="auto"/>
              <w:jc w:val="center"/>
              <w:rPr>
                <w:rFonts w:asciiTheme="minorBidi" w:hAnsiTheme="minorBidi" w:cstheme="minorBidi"/>
                <w:sz w:val="28"/>
                <w:szCs w:val="28"/>
              </w:rPr>
            </w:pPr>
            <w:r w:rsidRPr="00A0292D">
              <w:rPr>
                <w:rFonts w:asciiTheme="minorBidi" w:hAnsiTheme="minorBidi" w:cstheme="minorBidi"/>
                <w:b/>
                <w:bCs/>
                <w:color w:val="FFFFFF"/>
                <w:sz w:val="21"/>
                <w:szCs w:val="21"/>
              </w:rPr>
              <w:t>Recommendation</w:t>
            </w:r>
          </w:p>
        </w:tc>
      </w:tr>
      <w:tr w:rsidR="004F56BC" w:rsidRPr="00A0292D" w14:paraId="16640DA6" w14:textId="77777777" w:rsidTr="00A521E7">
        <w:trPr>
          <w:trHeight w:val="347"/>
        </w:trPr>
        <w:tc>
          <w:tcPr>
            <w:tcW w:w="2288"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5A8C1409"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A + B</w:t>
            </w:r>
          </w:p>
        </w:tc>
        <w:tc>
          <w:tcPr>
            <w:tcW w:w="98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4AE983B3"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100</w:t>
            </w:r>
          </w:p>
        </w:tc>
        <w:tc>
          <w:tcPr>
            <w:tcW w:w="272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B6E401E"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(8.68) + (8.30) = (16.98)</w:t>
            </w:r>
          </w:p>
        </w:tc>
        <w:tc>
          <w:tcPr>
            <w:tcW w:w="3705"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4F9EB3C9"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Reject: worst combination</w:t>
            </w:r>
          </w:p>
        </w:tc>
      </w:tr>
      <w:tr w:rsidR="004F56BC" w:rsidRPr="00A0292D" w14:paraId="54DD7A89" w14:textId="77777777" w:rsidTr="00A521E7">
        <w:trPr>
          <w:trHeight w:val="347"/>
        </w:trPr>
        <w:tc>
          <w:tcPr>
            <w:tcW w:w="2288"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76C54CD"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A + C</w:t>
            </w:r>
          </w:p>
        </w:tc>
        <w:tc>
          <w:tcPr>
            <w:tcW w:w="9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31FDF87E"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100</w:t>
            </w:r>
          </w:p>
        </w:tc>
        <w:tc>
          <w:tcPr>
            <w:tcW w:w="272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732C034"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(8.68) + (1.98) = (10.66)</w:t>
            </w:r>
          </w:p>
        </w:tc>
        <w:tc>
          <w:tcPr>
            <w:tcW w:w="370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1048133"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Reject: combined negative NPV</w:t>
            </w:r>
          </w:p>
        </w:tc>
      </w:tr>
      <w:tr w:rsidR="004F56BC" w:rsidRPr="00A0292D" w14:paraId="2214237B" w14:textId="77777777" w:rsidTr="00A521E7">
        <w:trPr>
          <w:trHeight w:val="347"/>
        </w:trPr>
        <w:tc>
          <w:tcPr>
            <w:tcW w:w="2288"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4FB2C118"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B + C</w:t>
            </w:r>
          </w:p>
        </w:tc>
        <w:tc>
          <w:tcPr>
            <w:tcW w:w="98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17A6A211"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100</w:t>
            </w:r>
          </w:p>
        </w:tc>
        <w:tc>
          <w:tcPr>
            <w:tcW w:w="272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EA432AD"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(8.30) + (1.98) = (10.28)</w:t>
            </w:r>
          </w:p>
        </w:tc>
        <w:tc>
          <w:tcPr>
            <w:tcW w:w="3705"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2C390226"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Reject: combined negative NPV</w:t>
            </w:r>
          </w:p>
        </w:tc>
      </w:tr>
      <w:tr w:rsidR="004F56BC" w:rsidRPr="00A0292D" w14:paraId="008AD751" w14:textId="77777777" w:rsidTr="00A521E7">
        <w:trPr>
          <w:trHeight w:val="718"/>
        </w:trPr>
        <w:tc>
          <w:tcPr>
            <w:tcW w:w="2288"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79A1D795"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C only</w:t>
            </w:r>
          </w:p>
        </w:tc>
        <w:tc>
          <w:tcPr>
            <w:tcW w:w="9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0D86E48"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50</w:t>
            </w:r>
          </w:p>
        </w:tc>
        <w:tc>
          <w:tcPr>
            <w:tcW w:w="272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1A0BA370"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(1.98)</w:t>
            </w:r>
          </w:p>
        </w:tc>
        <w:tc>
          <w:tcPr>
            <w:tcW w:w="370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B89CD03"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Best option: least value destruction</w:t>
            </w:r>
          </w:p>
        </w:tc>
      </w:tr>
      <w:tr w:rsidR="004F56BC" w:rsidRPr="00A0292D" w14:paraId="41B8C5C7" w14:textId="77777777" w:rsidTr="00A521E7">
        <w:trPr>
          <w:trHeight w:val="370"/>
        </w:trPr>
        <w:tc>
          <w:tcPr>
            <w:tcW w:w="2288"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972EF21"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B only</w:t>
            </w:r>
          </w:p>
        </w:tc>
        <w:tc>
          <w:tcPr>
            <w:tcW w:w="98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794CA15F"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50</w:t>
            </w:r>
          </w:p>
        </w:tc>
        <w:tc>
          <w:tcPr>
            <w:tcW w:w="272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BD7C3C2"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(8.30)</w:t>
            </w:r>
          </w:p>
        </w:tc>
        <w:tc>
          <w:tcPr>
            <w:tcW w:w="3705"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F7DA1E5"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Reject</w:t>
            </w:r>
          </w:p>
        </w:tc>
      </w:tr>
      <w:tr w:rsidR="004F56BC" w:rsidRPr="00A0292D" w14:paraId="54BB2644" w14:textId="77777777" w:rsidTr="00A521E7">
        <w:trPr>
          <w:trHeight w:val="347"/>
        </w:trPr>
        <w:tc>
          <w:tcPr>
            <w:tcW w:w="2288"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6888393C"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A only</w:t>
            </w:r>
          </w:p>
        </w:tc>
        <w:tc>
          <w:tcPr>
            <w:tcW w:w="98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4D0899BF"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50</w:t>
            </w:r>
          </w:p>
        </w:tc>
        <w:tc>
          <w:tcPr>
            <w:tcW w:w="272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5DFF2441"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(8.68)</w:t>
            </w:r>
          </w:p>
        </w:tc>
        <w:tc>
          <w:tcPr>
            <w:tcW w:w="370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tcPr>
          <w:p w14:paraId="201EB2B9"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Reject: most negative NPV</w:t>
            </w:r>
          </w:p>
        </w:tc>
      </w:tr>
      <w:tr w:rsidR="004F56BC" w:rsidRPr="00A0292D" w14:paraId="6040D58E" w14:textId="77777777" w:rsidTr="00A521E7">
        <w:trPr>
          <w:trHeight w:val="718"/>
        </w:trPr>
        <w:tc>
          <w:tcPr>
            <w:tcW w:w="2288"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2AB7EE59"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None</w:t>
            </w:r>
          </w:p>
        </w:tc>
        <w:tc>
          <w:tcPr>
            <w:tcW w:w="98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6D3F9888"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0</w:t>
            </w:r>
          </w:p>
        </w:tc>
        <w:tc>
          <w:tcPr>
            <w:tcW w:w="272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3BCB8F32" w14:textId="77777777" w:rsidR="004F56BC" w:rsidRPr="00A0292D" w:rsidRDefault="000F1E9B" w:rsidP="008F61B8">
            <w:pPr>
              <w:spacing w:line="360" w:lineRule="auto"/>
              <w:jc w:val="right"/>
              <w:rPr>
                <w:rFonts w:asciiTheme="minorBidi" w:hAnsiTheme="minorBidi" w:cstheme="minorBidi"/>
                <w:sz w:val="28"/>
                <w:szCs w:val="28"/>
              </w:rPr>
            </w:pPr>
            <w:r w:rsidRPr="00A0292D">
              <w:rPr>
                <w:rFonts w:asciiTheme="minorBidi" w:hAnsiTheme="minorBidi" w:cstheme="minorBidi"/>
                <w:sz w:val="21"/>
                <w:szCs w:val="21"/>
              </w:rPr>
              <w:t>0.00</w:t>
            </w:r>
          </w:p>
        </w:tc>
        <w:tc>
          <w:tcPr>
            <w:tcW w:w="3705"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tcPr>
          <w:p w14:paraId="0B413953" w14:textId="77777777" w:rsidR="004F56BC" w:rsidRPr="00A0292D" w:rsidRDefault="000F1E9B" w:rsidP="008F61B8">
            <w:pPr>
              <w:spacing w:line="360" w:lineRule="auto"/>
              <w:rPr>
                <w:rFonts w:asciiTheme="minorBidi" w:hAnsiTheme="minorBidi" w:cstheme="minorBidi"/>
                <w:sz w:val="28"/>
                <w:szCs w:val="28"/>
              </w:rPr>
            </w:pPr>
            <w:r w:rsidRPr="00A0292D">
              <w:rPr>
                <w:rFonts w:asciiTheme="minorBidi" w:hAnsiTheme="minorBidi" w:cstheme="minorBidi"/>
                <w:b/>
                <w:bCs/>
                <w:sz w:val="21"/>
                <w:szCs w:val="21"/>
              </w:rPr>
              <w:t>Optimal if investment is discretionary</w:t>
            </w:r>
          </w:p>
        </w:tc>
      </w:tr>
    </w:tbl>
    <w:p w14:paraId="324D8F77" w14:textId="77777777" w:rsidR="004F56BC" w:rsidRPr="00A0292D" w:rsidRDefault="000F1E9B" w:rsidP="00A521E7">
      <w:pPr>
        <w:spacing w:before="50" w:after="130" w:line="360" w:lineRule="auto"/>
        <w:jc w:val="center"/>
        <w:rPr>
          <w:rFonts w:asciiTheme="minorBidi" w:hAnsiTheme="minorBidi" w:cstheme="minorBidi"/>
          <w:sz w:val="28"/>
          <w:szCs w:val="28"/>
        </w:rPr>
      </w:pPr>
      <w:r w:rsidRPr="00A0292D">
        <w:rPr>
          <w:rFonts w:asciiTheme="minorBidi" w:hAnsiTheme="minorBidi" w:cstheme="minorBidi"/>
          <w:i/>
          <w:iCs/>
          <w:color w:val="595959"/>
          <w:sz w:val="20"/>
          <w:szCs w:val="20"/>
        </w:rPr>
        <w:t>Source: Author's calculations. Individual NPVs: A = -8.68, B = -8.30, C = -1.98.</w:t>
      </w:r>
    </w:p>
    <w:p w14:paraId="64858AC4" w14:textId="77777777" w:rsidR="004F56BC" w:rsidRPr="00A0292D" w:rsidRDefault="00A521E7" w:rsidP="00A521E7">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There are no two projects that can give a positive combined NPV. Project C plus any of the three projects A,B,C have significantly negative value addition. The single investment that is the least value-destructive is Project C with a negative NPV of -1.98 million. When capital rationing is applied to a 100 million budget, the best choice is to invest 50 million in Project C and leave the remaining 50 million as the current EV platform capital expenditure programme at Toyota with returns inherent in the overall operating strategy. When investment is actually discretionary, the right thing to do is not to invest in anything and to repay the capital to shareholders (Bhimani et al., 2019).</w:t>
      </w:r>
    </w:p>
    <w:p w14:paraId="7229666E" w14:textId="77777777" w:rsidR="004F56BC" w:rsidRPr="00A0292D" w:rsidRDefault="000F1E9B" w:rsidP="00566FB5">
      <w:pPr>
        <w:pStyle w:val="Heading1"/>
        <w:rPr>
          <w:rFonts w:asciiTheme="minorBidi" w:hAnsiTheme="minorBidi" w:cstheme="minorBidi"/>
        </w:rPr>
      </w:pPr>
      <w:bookmarkStart w:id="35" w:name="_Toc227788482"/>
      <w:r w:rsidRPr="00A0292D">
        <w:rPr>
          <w:rFonts w:asciiTheme="minorBidi" w:hAnsiTheme="minorBidi" w:cstheme="minorBidi"/>
        </w:rPr>
        <w:t>6. Conclusion</w:t>
      </w:r>
      <w:bookmarkEnd w:id="35"/>
    </w:p>
    <w:p w14:paraId="394B7303" w14:textId="77777777" w:rsidR="004F56BC" w:rsidRPr="00A0292D" w:rsidRDefault="00A521E7" w:rsidP="00A521E7">
      <w:pPr>
        <w:spacing w:before="60" w:after="100" w:line="360" w:lineRule="auto"/>
        <w:jc w:val="both"/>
        <w:rPr>
          <w:rFonts w:asciiTheme="minorBidi" w:hAnsiTheme="minorBidi" w:cstheme="minorBidi"/>
          <w:sz w:val="28"/>
          <w:szCs w:val="28"/>
        </w:rPr>
      </w:pPr>
      <w:r w:rsidRPr="00A0292D">
        <w:rPr>
          <w:rFonts w:asciiTheme="minorBidi" w:hAnsiTheme="minorBidi" w:cstheme="minorBidi"/>
          <w:sz w:val="24"/>
          <w:szCs w:val="24"/>
        </w:rPr>
        <w:t>The financial performance of Toyota between 2021 and 2025 proves the existence of a company of a great magnitude and rising profitability. Revenue grew by 76.5% to JPY 48.04 trillion. In 2025 net profit was JPY 4.77 trillion. The ROE had increased to 13.3 and liquidity ratios became stronger throughout all five years. They are real accomplishments in a time when the sector is undergoing considerable disruptive change and increasing competitive intensity by BEV-oriented competitors. Persistent negative free cash flow is the most severe structural weakness that stood at -JPY 1.56 trillion in 2025. The capital expenditure is always greater than the operating cash inflows. The restructuring strategy suggests the sale of non-core assets, capital infusion, and extension of debt maturity to mitigate financial risk and enhance capital flexibility. The foreign risks such as JPY volatility and EV mineral inflation need to be managed by the treasury and procurement. At the 10% cost of capital, all the three projects give negative NPV. All three are to be rejected according to the NPV rule. Provided that the Board requires investment due to strategic reasons, conditionally, Project C is suggested as the least value-destructive one. With capital rationing, the allocation to Project C should be made at 50 million pounds alone. The disciplined capital allocation, enhanced free cash flow generation, and faster EV product development in all key markets will make Toyota successful in the EV era.</w:t>
      </w:r>
    </w:p>
    <w:p w14:paraId="1E8806E5" w14:textId="77777777" w:rsidR="00C51075" w:rsidRPr="00A0292D" w:rsidRDefault="00C51075">
      <w:pPr>
        <w:rPr>
          <w:rFonts w:asciiTheme="minorBidi" w:hAnsiTheme="minorBidi" w:cstheme="minorBidi"/>
          <w:b/>
          <w:bCs/>
          <w:color w:val="1F4E79"/>
          <w:sz w:val="32"/>
          <w:szCs w:val="32"/>
        </w:rPr>
      </w:pPr>
      <w:r w:rsidRPr="00A0292D">
        <w:rPr>
          <w:rFonts w:asciiTheme="minorBidi" w:hAnsiTheme="minorBidi" w:cstheme="minorBidi"/>
        </w:rPr>
        <w:br w:type="page"/>
      </w:r>
    </w:p>
    <w:p w14:paraId="637D39A2" w14:textId="77777777" w:rsidR="00BC5815" w:rsidRPr="00A0292D" w:rsidRDefault="000F1E9B" w:rsidP="00BC5815">
      <w:pPr>
        <w:pStyle w:val="Heading1"/>
        <w:rPr>
          <w:rFonts w:asciiTheme="minorBidi" w:hAnsiTheme="minorBidi" w:cstheme="minorBidi"/>
        </w:rPr>
      </w:pPr>
      <w:bookmarkStart w:id="36" w:name="_Toc227788483"/>
      <w:r w:rsidRPr="00A0292D">
        <w:rPr>
          <w:rFonts w:asciiTheme="minorBidi" w:hAnsiTheme="minorBidi" w:cstheme="minorBidi"/>
        </w:rPr>
        <w:t>References</w:t>
      </w:r>
      <w:bookmarkEnd w:id="36"/>
    </w:p>
    <w:p w14:paraId="5618EFC4"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Atrill, P. and McLaney, E. (2021) Management Accounting for Decision Makers. 10th edn. Harlow: Pearson.</w:t>
      </w:r>
    </w:p>
    <w:p w14:paraId="15B30BF8"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Bhimani, A., Horngren, C.T., Datar, S.M. and Rajan, M.V. (2019) Management and Cost Accounting. 8th edn. Harlow: Pearson.</w:t>
      </w:r>
    </w:p>
    <w:p w14:paraId="10DEF3CD"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Damodaran, A. (2012) Investment Valuation: Tools and Techniques for Determining the Value of Any Asset. 3rd edn. Hoboken, NJ: John Wiley and Sons.</w:t>
      </w:r>
    </w:p>
    <w:p w14:paraId="543BB69E"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DePamphilis, D. (2019) Mergers, Acquisitions, and Other Restructuring Activities. 10th edn. Academic Press.</w:t>
      </w:r>
    </w:p>
    <w:p w14:paraId="11D9BF9E"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Drury, C. (2017) Management and Cost Accounting. 10th edn. Cengage Learning EMEA.</w:t>
      </w:r>
    </w:p>
    <w:p w14:paraId="6998B94F"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Easton, P.D., McAnally, M.L., Sommers, G.A. and Xiao-Jun, Z. (2018) Financial Statement Analysis and Valuation. 5th edn. Cambridge Business Publishers.</w:t>
      </w:r>
    </w:p>
    <w:p w14:paraId="2309EC49"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European Automobile Manufacturers' Association (ACEA) (2026) New car registrations: +1.8% in 2025; battery-electric 17.4% market share. Available at: https://www.acea.auto/pc-registrations/new-car-registrations-1-8-in-2025-battery-electric-17-4-market-share/ (Accessed: 20 April 2026).</w:t>
      </w:r>
    </w:p>
    <w:p w14:paraId="4EBA652A" w14:textId="77777777" w:rsidR="00BC5815" w:rsidRPr="00A0292D" w:rsidRDefault="00BC5815" w:rsidP="00BC5815">
      <w:pPr>
        <w:spacing w:line="360" w:lineRule="auto"/>
        <w:ind w:left="360" w:hanging="360"/>
        <w:jc w:val="both"/>
        <w:rPr>
          <w:rFonts w:asciiTheme="minorBidi" w:hAnsiTheme="minorBidi" w:cstheme="minorBidi"/>
          <w:sz w:val="24"/>
          <w:szCs w:val="24"/>
        </w:rPr>
      </w:pPr>
      <w:r w:rsidRPr="00A0292D">
        <w:rPr>
          <w:rFonts w:asciiTheme="minorBidi" w:hAnsiTheme="minorBidi" w:cstheme="minorBidi"/>
          <w:sz w:val="24"/>
          <w:szCs w:val="24"/>
        </w:rPr>
        <w:t>European Automobile Manufacturers’ Association (2026) New car registrations: +1.8% in 2025; battery-electric 17.4% market share. Available at: https://www.acea.auto/pc-registrations/new-car-registrations-1-8-in-2025-battery-electric-17-4-market-share/ (Accessed: 20 April 2026).</w:t>
      </w:r>
    </w:p>
    <w:p w14:paraId="5FC7E262" w14:textId="77777777" w:rsidR="00BC5815" w:rsidRPr="00A0292D" w:rsidRDefault="00BC5815" w:rsidP="00BC5815">
      <w:pPr>
        <w:spacing w:line="360" w:lineRule="auto"/>
        <w:ind w:left="360" w:hanging="360"/>
        <w:jc w:val="both"/>
        <w:rPr>
          <w:rFonts w:asciiTheme="minorBidi" w:hAnsiTheme="minorBidi" w:cstheme="minorBidi"/>
          <w:sz w:val="24"/>
          <w:szCs w:val="24"/>
        </w:rPr>
      </w:pPr>
      <w:r w:rsidRPr="00A0292D">
        <w:rPr>
          <w:rFonts w:asciiTheme="minorBidi" w:hAnsiTheme="minorBidi" w:cstheme="minorBidi"/>
          <w:sz w:val="24"/>
          <w:szCs w:val="24"/>
        </w:rPr>
        <w:t>European Environment Agency (2024) Electric vehicles. Available at: https://www.eea.europa.eu/en/topics/in-depth/electric-vehicles (Accessed: 20 April 2026).</w:t>
      </w:r>
    </w:p>
    <w:p w14:paraId="1244B98C"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European Environment Agency (EEA) (2024) Electric vehicles. Available at: https://www.eea.europa.eu/en/topics/in-depth/electric-vehicles (Accessed: 20 April 2026).</w:t>
      </w:r>
    </w:p>
    <w:p w14:paraId="718EF192"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Fridson, M. and Alvarez, F. (2022) Financial Statement Analysis Workbook: A Practitioner's Guide. 5th edn. Hoboken, NJ: Wiley Finance.</w:t>
      </w:r>
    </w:p>
    <w:p w14:paraId="13D65358" w14:textId="77777777" w:rsidR="00BC5815" w:rsidRPr="00A0292D" w:rsidRDefault="00BC5815" w:rsidP="00BC5815">
      <w:pPr>
        <w:spacing w:line="360" w:lineRule="auto"/>
        <w:ind w:left="360" w:hanging="360"/>
        <w:jc w:val="both"/>
        <w:rPr>
          <w:rFonts w:asciiTheme="minorBidi" w:hAnsiTheme="minorBidi" w:cstheme="minorBidi"/>
          <w:sz w:val="24"/>
          <w:szCs w:val="24"/>
        </w:rPr>
      </w:pPr>
      <w:r w:rsidRPr="00A0292D">
        <w:rPr>
          <w:rFonts w:asciiTheme="minorBidi" w:hAnsiTheme="minorBidi" w:cstheme="minorBidi"/>
          <w:sz w:val="24"/>
          <w:szCs w:val="24"/>
        </w:rPr>
        <w:t>Hargreaves Lansdown (2026) Toyota ADR each representing 2 ord shares: Financial statements and reports. Available at: https://www.hl.co.uk/shares/shares-search-results/t/toyota-adr-each-representing-2-ord-shares/financial-statements-and-reports (Accessed: 21 April 2026).</w:t>
      </w:r>
    </w:p>
    <w:p w14:paraId="204820A0"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Hargreaves Lansdown (2026) Toyota ADR each representing 2 ord shares: Financial statements and reports. Available at: https://www.hl.co.uk/shares/shares-search-results/t/toyota-adr-each-representing-2-ord-shares/financial-statements-and-reports (Accessed: 21 April 2026).</w:t>
      </w:r>
    </w:p>
    <w:p w14:paraId="0A1862CF"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Harrison, W.T., Horngren, C.T., Thomas, C.W. and Tietz, W.M. (2019) Financial Accounting: International Financial Reporting Standards. 12th edn. Harlow: Pearson.</w:t>
      </w:r>
    </w:p>
    <w:p w14:paraId="64935A04" w14:textId="77777777" w:rsidR="00BC5815" w:rsidRPr="00A0292D" w:rsidRDefault="00BC5815" w:rsidP="00BC5815">
      <w:pPr>
        <w:spacing w:line="360" w:lineRule="auto"/>
        <w:ind w:left="360" w:hanging="360"/>
        <w:jc w:val="both"/>
        <w:rPr>
          <w:rFonts w:asciiTheme="minorBidi" w:hAnsiTheme="minorBidi" w:cstheme="minorBidi"/>
          <w:sz w:val="24"/>
          <w:szCs w:val="24"/>
        </w:rPr>
      </w:pPr>
      <w:r w:rsidRPr="00A0292D">
        <w:rPr>
          <w:rFonts w:asciiTheme="minorBidi" w:hAnsiTheme="minorBidi" w:cstheme="minorBidi"/>
          <w:sz w:val="24"/>
          <w:szCs w:val="24"/>
        </w:rPr>
        <w:t>Hyundai Motor Company (2026) Hyundai Motor Announces 2025 Annual and Q4 Business Results. Available at: https://www.hyundai.com/worldwide/en/newsroom/detail/0000001116 (Accessed: 21 April 2026).</w:t>
      </w:r>
    </w:p>
    <w:p w14:paraId="03F13BD9"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IFRS Foundation (2023) IFRS S1 General Requirements for Disclosure of Sustainability-related Financial Information. Available at: https://www.ifrs.org/issued-standards/ifrs-sustainability-standards-navigator/ifrs-s1-general-requirements/ (Accessed: 20 April 2026).</w:t>
      </w:r>
    </w:p>
    <w:p w14:paraId="5891B8FD"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International Energy Agency (IEA) (2025) Global EV Outlook 2025. Available at: https://www.iea.org/reports/global-ev-outlook-2025 (Accessed: 20 April 2026).</w:t>
      </w:r>
    </w:p>
    <w:p w14:paraId="6972B4D9"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Ittelson, T.R. (2022) Financial Statements: A Step-by-Step Guide to Understanding and Creating Financial Reports. 3rd edn. Newburyport, MA: Career Press.</w:t>
      </w:r>
    </w:p>
    <w:p w14:paraId="7090DB18"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Marshall, D., McManus, W. and Viele, D. (2023) Accounting: What the Numbers Mean. 13th edn. London: McGraw-Hill.</w:t>
      </w:r>
    </w:p>
    <w:p w14:paraId="00322800" w14:textId="77777777" w:rsidR="00BC5815" w:rsidRPr="00A0292D" w:rsidRDefault="00BC5815" w:rsidP="00BC5815">
      <w:pPr>
        <w:spacing w:line="360" w:lineRule="auto"/>
        <w:ind w:left="360" w:hanging="360"/>
        <w:jc w:val="both"/>
        <w:rPr>
          <w:rFonts w:asciiTheme="minorBidi" w:hAnsiTheme="minorBidi" w:cstheme="minorBidi"/>
          <w:sz w:val="24"/>
          <w:szCs w:val="24"/>
        </w:rPr>
      </w:pPr>
      <w:r w:rsidRPr="00A0292D">
        <w:rPr>
          <w:rFonts w:asciiTheme="minorBidi" w:hAnsiTheme="minorBidi" w:cstheme="minorBidi"/>
          <w:sz w:val="24"/>
          <w:szCs w:val="24"/>
        </w:rPr>
        <w:t>Organisation for Economic Co-operation and Development (2023) OECD Guidelines for Multinational Enterprises on Responsible Business Conduct. Available at: https://www.oecd.org/en/publications/oecd-guidelines-for-multinational-enterprises-on-responsible-business-conduct_81f92357-en.html (Accessed: 20 April 2026).</w:t>
      </w:r>
    </w:p>
    <w:p w14:paraId="1F353A47" w14:textId="77777777" w:rsidR="00BC5815" w:rsidRPr="00A0292D" w:rsidRDefault="00BC5815" w:rsidP="00BC5815">
      <w:pPr>
        <w:spacing w:line="360" w:lineRule="auto"/>
        <w:ind w:left="360" w:hanging="360"/>
        <w:jc w:val="both"/>
        <w:rPr>
          <w:rFonts w:asciiTheme="minorBidi" w:hAnsiTheme="minorBidi" w:cstheme="minorBidi"/>
          <w:sz w:val="24"/>
          <w:szCs w:val="24"/>
        </w:rPr>
      </w:pPr>
      <w:r w:rsidRPr="00A0292D">
        <w:rPr>
          <w:rFonts w:asciiTheme="minorBidi" w:hAnsiTheme="minorBidi" w:cstheme="minorBidi"/>
          <w:sz w:val="24"/>
          <w:szCs w:val="24"/>
        </w:rPr>
        <w:t>Organisation for Economic Co-operation and Development (2023) OECD Guidelines for Multinational Enterprises on Responsible Business Conduct. Available at: https://www.oecd.org/en/publications/oecd-guidelines-for-multinational-enterprises-on-responsible-business-conduct_81f92357-en.html (Accessed: 20 April 2026).</w:t>
      </w:r>
    </w:p>
    <w:p w14:paraId="58098B10"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Organisation for Economic Co-operation and Development (OECD) (2023) OECD Guidelines for Multinational Enterprises on Responsible Business Conduct. Available at: https://www.oecd.org/en/publications/oecd-guidelines-for-multinational-enterprises-on-responsible-business-conduct_81f92357-en.html (Accessed: 20 April 2026).</w:t>
      </w:r>
    </w:p>
    <w:p w14:paraId="0128C1CD" w14:textId="77777777" w:rsidR="00BC5815" w:rsidRPr="00A0292D" w:rsidRDefault="00BC5815" w:rsidP="00BC5815">
      <w:pPr>
        <w:spacing w:line="360" w:lineRule="auto"/>
        <w:ind w:left="360" w:hanging="360"/>
        <w:jc w:val="both"/>
        <w:rPr>
          <w:rFonts w:asciiTheme="minorBidi" w:hAnsiTheme="minorBidi" w:cstheme="minorBidi"/>
          <w:sz w:val="24"/>
          <w:szCs w:val="24"/>
        </w:rPr>
      </w:pPr>
      <w:r w:rsidRPr="00A0292D">
        <w:rPr>
          <w:rFonts w:asciiTheme="minorBidi" w:hAnsiTheme="minorBidi" w:cstheme="minorBidi"/>
          <w:sz w:val="24"/>
          <w:szCs w:val="24"/>
        </w:rPr>
        <w:t>Reuters (2025) BYD aims to double overseas sales to 800,000 in 2025, says chairman. Available via Reuters reporting on 26 March 2025.</w:t>
      </w:r>
    </w:p>
    <w:p w14:paraId="139F98E9" w14:textId="77777777" w:rsidR="00BC5815" w:rsidRPr="00A0292D" w:rsidRDefault="00BC5815" w:rsidP="00BC5815">
      <w:pPr>
        <w:spacing w:line="360" w:lineRule="auto"/>
        <w:ind w:left="360" w:hanging="360"/>
        <w:jc w:val="both"/>
        <w:rPr>
          <w:rFonts w:asciiTheme="minorBidi" w:hAnsiTheme="minorBidi" w:cstheme="minorBidi"/>
          <w:sz w:val="24"/>
          <w:szCs w:val="24"/>
        </w:rPr>
      </w:pPr>
      <w:r w:rsidRPr="00A0292D">
        <w:rPr>
          <w:rFonts w:asciiTheme="minorBidi" w:hAnsiTheme="minorBidi" w:cstheme="minorBidi"/>
          <w:sz w:val="24"/>
          <w:szCs w:val="24"/>
        </w:rPr>
        <w:t>Reuters (2025) BYD aims to double overseas sales to 800,000 in 2025, says chairman. Available via Reuters reporting on 26 March 2025.</w:t>
      </w:r>
    </w:p>
    <w:p w14:paraId="6CB9E867" w14:textId="77777777" w:rsidR="00BC5815" w:rsidRPr="00A0292D" w:rsidRDefault="00BC5815" w:rsidP="00BC5815">
      <w:pPr>
        <w:spacing w:line="360" w:lineRule="auto"/>
        <w:ind w:left="360" w:hanging="360"/>
        <w:jc w:val="both"/>
        <w:rPr>
          <w:rFonts w:asciiTheme="minorBidi" w:hAnsiTheme="minorBidi" w:cstheme="minorBidi"/>
          <w:sz w:val="24"/>
          <w:szCs w:val="24"/>
        </w:rPr>
      </w:pPr>
      <w:r w:rsidRPr="00A0292D">
        <w:rPr>
          <w:rFonts w:asciiTheme="minorBidi" w:hAnsiTheme="minorBidi" w:cstheme="minorBidi"/>
          <w:sz w:val="24"/>
          <w:szCs w:val="24"/>
        </w:rPr>
        <w:t>Tesla Investor Relations (2026a) Tesla Releases Fourth Quarter and Full Year 2025 Financial Results. Available at: https://ir.tesla.com/press-release/tesla-releases-fourth-quarter-and-full-year-2025-financial-results (Accessed: 21 April 2026).</w:t>
      </w:r>
    </w:p>
    <w:p w14:paraId="3315A0E1" w14:textId="77777777" w:rsidR="00BC5815" w:rsidRPr="00A0292D" w:rsidRDefault="00BC5815" w:rsidP="00BC5815">
      <w:pPr>
        <w:spacing w:line="360" w:lineRule="auto"/>
        <w:ind w:left="360" w:hanging="360"/>
        <w:jc w:val="both"/>
        <w:rPr>
          <w:rFonts w:asciiTheme="minorBidi" w:hAnsiTheme="minorBidi" w:cstheme="minorBidi"/>
          <w:sz w:val="24"/>
          <w:szCs w:val="24"/>
        </w:rPr>
      </w:pPr>
      <w:r w:rsidRPr="00A0292D">
        <w:rPr>
          <w:rFonts w:asciiTheme="minorBidi" w:hAnsiTheme="minorBidi" w:cstheme="minorBidi"/>
          <w:sz w:val="24"/>
          <w:szCs w:val="24"/>
        </w:rPr>
        <w:t>Tesla Investor Relations (2026a) Tesla Releases Fourth Quarter and Full Year 2025 Financial Results. Available at: https://ir.tesla.com/press-release/tesla-releases-fourth-quarter-and-full-year-2025-financial-results (Accessed: 21 April 2026).</w:t>
      </w:r>
    </w:p>
    <w:p w14:paraId="5FC9B7B8" w14:textId="77777777" w:rsidR="00BC5815" w:rsidRPr="00A0292D" w:rsidRDefault="00BC5815" w:rsidP="00BC5815">
      <w:pPr>
        <w:spacing w:line="360" w:lineRule="auto"/>
        <w:ind w:left="360" w:hanging="360"/>
        <w:jc w:val="both"/>
        <w:rPr>
          <w:rFonts w:asciiTheme="minorBidi" w:hAnsiTheme="minorBidi" w:cstheme="minorBidi"/>
          <w:sz w:val="24"/>
          <w:szCs w:val="24"/>
        </w:rPr>
      </w:pPr>
      <w:r w:rsidRPr="00A0292D">
        <w:rPr>
          <w:rFonts w:asciiTheme="minorBidi" w:hAnsiTheme="minorBidi" w:cstheme="minorBidi"/>
          <w:sz w:val="24"/>
          <w:szCs w:val="24"/>
        </w:rPr>
        <w:t>Tesla Investor Relations (2026b) Tesla Fourth Quarter 2025 Production, Deliveries &amp; Deployments. Available at: https://ir.tesla.com/press-release/tesla-fourth-quarter-2025-production-deliveries-deployments (Accessed: 21 April 2026).</w:t>
      </w:r>
    </w:p>
    <w:p w14:paraId="589A01D5" w14:textId="77777777" w:rsidR="00BC5815" w:rsidRPr="00A0292D" w:rsidRDefault="00BC5815" w:rsidP="00BC5815">
      <w:pPr>
        <w:spacing w:line="360" w:lineRule="auto"/>
        <w:ind w:left="360" w:hanging="360"/>
        <w:jc w:val="both"/>
        <w:rPr>
          <w:rFonts w:asciiTheme="minorBidi" w:hAnsiTheme="minorBidi" w:cstheme="minorBidi"/>
          <w:sz w:val="24"/>
          <w:szCs w:val="24"/>
        </w:rPr>
      </w:pPr>
      <w:r w:rsidRPr="00A0292D">
        <w:rPr>
          <w:rFonts w:asciiTheme="minorBidi" w:hAnsiTheme="minorBidi" w:cstheme="minorBidi"/>
          <w:sz w:val="24"/>
          <w:szCs w:val="24"/>
        </w:rPr>
        <w:t>Tesla Investor Relations (2026b) Tesla Fourth Quarter 2025 Production, Deliveries &amp; Deployments. Available at: https://ir.tesla.com/press-release/tesla-fourth-quarter-2025-production-deliveries-deployments (Accessed: 21 April 2026).</w:t>
      </w:r>
    </w:p>
    <w:p w14:paraId="2745291D" w14:textId="77777777" w:rsidR="00BC5815" w:rsidRPr="00A0292D" w:rsidRDefault="00BC5815" w:rsidP="00BC5815">
      <w:pPr>
        <w:spacing w:line="360" w:lineRule="auto"/>
        <w:ind w:left="360" w:hanging="360"/>
        <w:jc w:val="both"/>
        <w:rPr>
          <w:rFonts w:asciiTheme="minorBidi" w:hAnsiTheme="minorBidi" w:cstheme="minorBidi"/>
          <w:sz w:val="24"/>
          <w:szCs w:val="24"/>
        </w:rPr>
      </w:pPr>
      <w:r w:rsidRPr="00A0292D">
        <w:rPr>
          <w:rFonts w:asciiTheme="minorBidi" w:hAnsiTheme="minorBidi" w:cstheme="minorBidi"/>
          <w:sz w:val="24"/>
          <w:szCs w:val="24"/>
        </w:rPr>
        <w:t>The Wall Street Journal (2026) BYD’s Sales Growth Slowed in 2025, but It Still Tops Tesla. Available at: https://www.wsj.com/business/autos/byds-sales-growth-slowed-in-2025-but-it-still-tops-tesla-d8aabcfb (Accessed: 21 April 2026).</w:t>
      </w:r>
    </w:p>
    <w:p w14:paraId="2347041F" w14:textId="77777777" w:rsidR="00BC5815" w:rsidRPr="00A0292D" w:rsidRDefault="00BC5815" w:rsidP="00BC5815">
      <w:pPr>
        <w:spacing w:line="360" w:lineRule="auto"/>
        <w:ind w:left="360" w:hanging="360"/>
        <w:jc w:val="both"/>
        <w:rPr>
          <w:rFonts w:asciiTheme="minorBidi" w:hAnsiTheme="minorBidi" w:cstheme="minorBidi"/>
          <w:sz w:val="24"/>
          <w:szCs w:val="24"/>
        </w:rPr>
      </w:pPr>
      <w:r w:rsidRPr="00A0292D">
        <w:rPr>
          <w:rFonts w:asciiTheme="minorBidi" w:hAnsiTheme="minorBidi" w:cstheme="minorBidi"/>
          <w:sz w:val="24"/>
          <w:szCs w:val="24"/>
        </w:rPr>
        <w:t>The Wall Street Journal (2026) BYD’s Sales Growth Slowed in 2025, but It Still Tops Tesla. Available at: https://www.wsj.com/business/autos/byds-sales-growth-slowed-in-2025-but-it-still-tops-tesla-d8aabcfb (Accessed: 21 April 2026).</w:t>
      </w:r>
    </w:p>
    <w:p w14:paraId="7675D0C8"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Thomas, A. and Ward, A.M. (2019) Introduction to Financial Accounting. 9th edn. London: McGraw-Hill Education.</w:t>
      </w:r>
    </w:p>
    <w:p w14:paraId="20D7795A"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Toyota Motor Corporation (2021) Integrated Report 2021 (Fiscal year ended 31 March 2021). Available at: https://global.toyota/pages/global_toyota/ir/library/annual/2021_001_integrated_en.pdf (Accessed: 20 April 2026).</w:t>
      </w:r>
    </w:p>
    <w:p w14:paraId="05572C5E"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Toyota Motor Corporation (2022) Integrated Report 2022 (Fiscal year ended 31 March 2022). Available at: https://global.toyota/pages/global_toyota/ir/library/annual/2022_001_integrated_en.pdf (Accessed: 20 April 2026).</w:t>
      </w:r>
    </w:p>
    <w:p w14:paraId="7C4DCE3D"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Toyota Motor Corporation (2023) Integrated Report 2023. Available at: https://global.toyota/pages/global_toyota/ir/library/annual/2023_001_integrated_en.pdf (Accessed: 20 April 2026).</w:t>
      </w:r>
    </w:p>
    <w:p w14:paraId="4FEDEDEC"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Toyota Motor Corporation (2024) Integrated Report 2024. Available at: https://global.toyota/pages/global_toyota/ir/library/annual/2024_001_integrated_en.pdf (Accessed: 20 April 2026).</w:t>
      </w:r>
    </w:p>
    <w:p w14:paraId="75CD68FF"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Toyota Motor Corporation (2025) Integrated Report 2025. Available at: https://global.toyota/pages/global_toyota/ir/library/annual/2025_001_integrated_en.pdf (Accessed: 20 April 2026).</w:t>
      </w:r>
    </w:p>
    <w:p w14:paraId="6441FEE9"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Toyota Motor Corporation (2025) Sustainability Data Book 2025. Available at: https://global.toyota/pages/global_toyota/sustainability/report/sdb/sdb25_en.pdf (Accessed: 20 April 2026).</w:t>
      </w:r>
    </w:p>
    <w:p w14:paraId="52DD2FA6"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United Nations Conference on Trade and Development (UNCTAD) (2023) Clean energy minerals: Developing countries must add value to capitalise on demand. Available at: https://unctad.org/news/clean-energy-minerals-developing-countries-must-add-value-capitalize-demand (Accessed: 20 April 2026).</w:t>
      </w:r>
    </w:p>
    <w:p w14:paraId="0A79C894"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Watson, D. and Head, A. (2010) Corporate Finance: Principles and Practice. 5th edn. Harlow: Pearson Education.</w:t>
      </w:r>
    </w:p>
    <w:p w14:paraId="7D107E00"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Weygandt, J.J., Kimmel, P.D. and Kieso, D.E. (2020) Financial Accounting. 11th edn. Hoboken, NJ: John Wiley and Sons.</w:t>
      </w:r>
    </w:p>
    <w:p w14:paraId="7CBEB497"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Wild, J. (2021) Financial Accounting: Information for Decisions. 10th edn. New York: McGraw-Hill.</w:t>
      </w:r>
    </w:p>
    <w:p w14:paraId="3B2308F4" w14:textId="77777777" w:rsidR="00BC5815" w:rsidRPr="00BC5815" w:rsidRDefault="00BC5815" w:rsidP="00BC5815">
      <w:pPr>
        <w:spacing w:line="360" w:lineRule="auto"/>
        <w:ind w:left="360" w:hanging="360"/>
        <w:jc w:val="both"/>
        <w:rPr>
          <w:rFonts w:asciiTheme="minorBidi" w:hAnsiTheme="minorBidi" w:cstheme="minorBidi"/>
          <w:sz w:val="24"/>
          <w:szCs w:val="24"/>
        </w:rPr>
      </w:pPr>
      <w:r w:rsidRPr="00BC5815">
        <w:rPr>
          <w:rFonts w:asciiTheme="minorBidi" w:hAnsiTheme="minorBidi" w:cstheme="minorBidi"/>
          <w:sz w:val="24"/>
          <w:szCs w:val="24"/>
        </w:rPr>
        <w:t>Winfield, J., Graham, M. and Miller, T. (2021) Understanding Financial Accounting: A Guide for Non-specialists. Oxford: Oxford University Press.</w:t>
      </w:r>
    </w:p>
    <w:p w14:paraId="4A1B5B79" w14:textId="77777777" w:rsidR="00BC5815" w:rsidRPr="00A0292D" w:rsidRDefault="00BC5815" w:rsidP="00BC5815">
      <w:pPr>
        <w:ind w:left="360" w:hanging="360"/>
        <w:rPr>
          <w:rFonts w:asciiTheme="minorBidi" w:hAnsiTheme="minorBidi" w:cstheme="minorBidi"/>
        </w:rPr>
      </w:pPr>
    </w:p>
    <w:p w14:paraId="1690FAD7" w14:textId="77777777" w:rsidR="00BC5815" w:rsidRPr="00A0292D" w:rsidRDefault="00BC5815" w:rsidP="00566FB5">
      <w:pPr>
        <w:pStyle w:val="Heading1"/>
        <w:rPr>
          <w:rFonts w:asciiTheme="minorBidi" w:hAnsiTheme="minorBidi" w:cstheme="minorBidi"/>
        </w:rPr>
      </w:pPr>
    </w:p>
    <w:p w14:paraId="52F3C154" w14:textId="77777777" w:rsidR="004F56BC" w:rsidRPr="00A0292D" w:rsidRDefault="000F1E9B" w:rsidP="00A521E7">
      <w:pPr>
        <w:pStyle w:val="Heading1"/>
        <w:rPr>
          <w:rFonts w:asciiTheme="minorBidi" w:hAnsiTheme="minorBidi" w:cstheme="minorBidi"/>
        </w:rPr>
      </w:pPr>
      <w:bookmarkStart w:id="37" w:name="_Toc227788484"/>
      <w:r w:rsidRPr="00A0292D">
        <w:rPr>
          <w:rFonts w:asciiTheme="minorBidi" w:hAnsiTheme="minorBidi" w:cstheme="minorBidi"/>
        </w:rPr>
        <w:t>Appendices</w:t>
      </w:r>
      <w:bookmarkEnd w:id="37"/>
    </w:p>
    <w:p w14:paraId="6C4C8855" w14:textId="77777777" w:rsidR="004F56BC" w:rsidRPr="00A0292D" w:rsidRDefault="000F1E9B" w:rsidP="00A521E7">
      <w:pPr>
        <w:pStyle w:val="Heading2"/>
        <w:rPr>
          <w:rFonts w:asciiTheme="minorBidi" w:hAnsiTheme="minorBidi" w:cstheme="minorBidi"/>
        </w:rPr>
      </w:pPr>
      <w:bookmarkStart w:id="38" w:name="_Toc227788485"/>
      <w:r w:rsidRPr="00A0292D">
        <w:rPr>
          <w:rFonts w:asciiTheme="minorBidi" w:hAnsiTheme="minorBidi" w:cstheme="minorBidi"/>
        </w:rPr>
        <w:t>Appendix A: Full Ratio Calculations with Formulas (2021-2025)</w:t>
      </w:r>
      <w:bookmarkEnd w:id="38"/>
    </w:p>
    <w:p w14:paraId="4F171665" w14:textId="77777777" w:rsidR="004F56BC" w:rsidRPr="00A0292D" w:rsidRDefault="000F1E9B" w:rsidP="008F61B8">
      <w:pPr>
        <w:spacing w:before="60" w:after="40" w:line="360" w:lineRule="auto"/>
        <w:jc w:val="center"/>
        <w:rPr>
          <w:rFonts w:asciiTheme="minorBidi" w:hAnsiTheme="minorBidi" w:cstheme="minorBidi"/>
          <w:sz w:val="28"/>
          <w:szCs w:val="28"/>
        </w:rPr>
      </w:pPr>
      <w:r w:rsidRPr="00A0292D">
        <w:rPr>
          <w:rFonts w:asciiTheme="minorBidi" w:hAnsiTheme="minorBidi" w:cstheme="minorBidi"/>
          <w:b/>
          <w:bCs/>
        </w:rPr>
        <w:t>Table A1: Complete Ratio Workings</w:t>
      </w:r>
    </w:p>
    <w:tbl>
      <w:tblPr>
        <w:tblW w:w="98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70"/>
        <w:gridCol w:w="971"/>
        <w:gridCol w:w="1521"/>
        <w:gridCol w:w="1594"/>
        <w:gridCol w:w="1594"/>
        <w:gridCol w:w="1594"/>
        <w:gridCol w:w="1594"/>
      </w:tblGrid>
      <w:tr w:rsidR="004F56BC" w:rsidRPr="00A0292D" w14:paraId="461F8B2E" w14:textId="77777777" w:rsidTr="00A521E7">
        <w:tc>
          <w:tcPr>
            <w:tcW w:w="970"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vAlign w:val="center"/>
          </w:tcPr>
          <w:p w14:paraId="43C301B9"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color w:val="FFFFFF"/>
                <w:sz w:val="20"/>
                <w:szCs w:val="20"/>
              </w:rPr>
              <w:t>Ratio</w:t>
            </w:r>
          </w:p>
        </w:tc>
        <w:tc>
          <w:tcPr>
            <w:tcW w:w="1297"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vAlign w:val="center"/>
          </w:tcPr>
          <w:p w14:paraId="2B25F8AA"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color w:val="FFFFFF"/>
                <w:sz w:val="20"/>
                <w:szCs w:val="20"/>
              </w:rPr>
              <w:t>Formula</w:t>
            </w:r>
          </w:p>
        </w:tc>
        <w:tc>
          <w:tcPr>
            <w:tcW w:w="1195"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vAlign w:val="center"/>
          </w:tcPr>
          <w:p w14:paraId="6AC15F28"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color w:val="FFFFFF"/>
                <w:sz w:val="20"/>
                <w:szCs w:val="20"/>
              </w:rPr>
              <w:t>2021</w:t>
            </w:r>
          </w:p>
        </w:tc>
        <w:tc>
          <w:tcPr>
            <w:tcW w:w="1594"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vAlign w:val="center"/>
          </w:tcPr>
          <w:p w14:paraId="176C73BA"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color w:val="FFFFFF"/>
                <w:sz w:val="20"/>
                <w:szCs w:val="20"/>
              </w:rPr>
              <w:t>2022</w:t>
            </w:r>
          </w:p>
        </w:tc>
        <w:tc>
          <w:tcPr>
            <w:tcW w:w="1594"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vAlign w:val="center"/>
          </w:tcPr>
          <w:p w14:paraId="36A05327"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color w:val="FFFFFF"/>
                <w:sz w:val="20"/>
                <w:szCs w:val="20"/>
              </w:rPr>
              <w:t>2023</w:t>
            </w:r>
          </w:p>
        </w:tc>
        <w:tc>
          <w:tcPr>
            <w:tcW w:w="1594"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vAlign w:val="center"/>
          </w:tcPr>
          <w:p w14:paraId="3FA2DBEE"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color w:val="FFFFFF"/>
                <w:sz w:val="20"/>
                <w:szCs w:val="20"/>
              </w:rPr>
              <w:t>2024</w:t>
            </w:r>
          </w:p>
        </w:tc>
        <w:tc>
          <w:tcPr>
            <w:tcW w:w="1594" w:type="dxa"/>
            <w:tcBorders>
              <w:top w:val="single" w:sz="1" w:space="0" w:color="1F4E79"/>
              <w:left w:val="single" w:sz="1" w:space="0" w:color="1F4E79"/>
              <w:bottom w:val="single" w:sz="1" w:space="0" w:color="1F4E79"/>
              <w:right w:val="single" w:sz="1" w:space="0" w:color="1F4E79"/>
            </w:tcBorders>
            <w:shd w:val="clear" w:color="auto" w:fill="1F4E79"/>
            <w:tcMar>
              <w:top w:w="80" w:type="dxa"/>
              <w:left w:w="120" w:type="dxa"/>
              <w:bottom w:w="80" w:type="dxa"/>
              <w:right w:w="120" w:type="dxa"/>
            </w:tcMar>
            <w:vAlign w:val="center"/>
          </w:tcPr>
          <w:p w14:paraId="65DC0E5A"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color w:val="FFFFFF"/>
                <w:sz w:val="20"/>
                <w:szCs w:val="20"/>
              </w:rPr>
              <w:t>2025</w:t>
            </w:r>
          </w:p>
        </w:tc>
      </w:tr>
      <w:tr w:rsidR="004F56BC" w:rsidRPr="00A0292D" w14:paraId="510E9944"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432B408C"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Gross Profit Margin</w:t>
            </w:r>
          </w:p>
        </w:tc>
        <w:tc>
          <w:tcPr>
            <w:tcW w:w="129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6D5816B8"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GP / Revenue x 100</w:t>
            </w:r>
          </w:p>
        </w:tc>
        <w:tc>
          <w:tcPr>
            <w:tcW w:w="1195"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676C8535"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4.83/27.21=17.8%</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493F1F8A"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5.97/31.38=19.0%</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15A9D072"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6.31/37.15=17.0%</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2EAE5AB1"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9.37/45.10=20.8%</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71D9F165"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9.58/48.04=19.9%</w:t>
            </w:r>
          </w:p>
        </w:tc>
      </w:tr>
      <w:tr w:rsidR="004F56BC" w:rsidRPr="00A0292D" w14:paraId="42671FCB"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381A9CFF"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Operating Margin</w:t>
            </w:r>
          </w:p>
        </w:tc>
        <w:tc>
          <w:tcPr>
            <w:tcW w:w="129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7005AD90"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Op. Profit / Revenue x 100</w:t>
            </w:r>
          </w:p>
        </w:tc>
        <w:tc>
          <w:tcPr>
            <w:tcW w:w="119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4E05FBB"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2.20/27.21=8.1%</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4EC54A7F"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3.00/31.38=9.6%</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01C7C182"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2.73/37.15=7.3%</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675743C2"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5.35/45.10=11.9%</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19CF57C7"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4.80/48.04=10.0%</w:t>
            </w:r>
          </w:p>
        </w:tc>
      </w:tr>
      <w:tr w:rsidR="004F56BC" w:rsidRPr="00A0292D" w14:paraId="259856D7"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093B98EC"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Net Profit Margin</w:t>
            </w:r>
          </w:p>
        </w:tc>
        <w:tc>
          <w:tcPr>
            <w:tcW w:w="129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4E6657F8"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Net Profit / Revenue x 100</w:t>
            </w:r>
          </w:p>
        </w:tc>
        <w:tc>
          <w:tcPr>
            <w:tcW w:w="1195"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4749B4D0"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2.25/27.21=8.3%</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71AA62BB"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2.85/31.38=9.1%</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309A919A"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2.45/37.15=6.6%</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34D0898D"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4.94/45.10=11.0%</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3F39C070"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4.77/48.04=9.9%</w:t>
            </w:r>
          </w:p>
        </w:tc>
      </w:tr>
      <w:tr w:rsidR="004F56BC" w:rsidRPr="00A0292D" w14:paraId="67559ADD"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60483AE3"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ROA</w:t>
            </w:r>
          </w:p>
        </w:tc>
        <w:tc>
          <w:tcPr>
            <w:tcW w:w="129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4E080CED"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Net Profit / Total Assets x 100</w:t>
            </w:r>
          </w:p>
        </w:tc>
        <w:tc>
          <w:tcPr>
            <w:tcW w:w="119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5E4C09B"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2.25/62.27=3.6%</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53BDD259"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2.85/67.69=4.2%</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343B8A95"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2.45/74.30=3.3%</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6B403F55"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4.94/90.11=5.5%</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1ACA8B7B"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4.77/93.60=5.1%</w:t>
            </w:r>
          </w:p>
        </w:tc>
      </w:tr>
      <w:tr w:rsidR="004F56BC" w:rsidRPr="00A0292D" w14:paraId="2DF1A065"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5A22FE6E"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ROE</w:t>
            </w:r>
          </w:p>
        </w:tc>
        <w:tc>
          <w:tcPr>
            <w:tcW w:w="129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0B879C41"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Net Profit / Total Equity x 100</w:t>
            </w:r>
          </w:p>
        </w:tc>
        <w:tc>
          <w:tcPr>
            <w:tcW w:w="1195"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6C82185E"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2.25/23.40=9.6%</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55EDB52D"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2.85/26.25=10.9%</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1B4C4FE6"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2.45/28.34=8.6%</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59A1E825"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4.94/34.22=14.4%</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3353B91F"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4.77/35.92=13.3%</w:t>
            </w:r>
          </w:p>
        </w:tc>
      </w:tr>
      <w:tr w:rsidR="004F56BC" w:rsidRPr="00A0292D" w14:paraId="053DBB52"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9A31D22"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Current Ratio</w:t>
            </w:r>
          </w:p>
        </w:tc>
        <w:tc>
          <w:tcPr>
            <w:tcW w:w="129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71A15E0A"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Current Assets / Current Liab.</w:t>
            </w:r>
          </w:p>
        </w:tc>
        <w:tc>
          <w:tcPr>
            <w:tcW w:w="119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56A1AAC8"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22.78/21.46=1.06</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13218BF5"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23.72/21.84=1.09</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0902EC8E"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26.46/23.96=1.10</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5039C00D"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34.71/29.18=1.19</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5289A2F7"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37.08/29.43=1.26</w:t>
            </w:r>
          </w:p>
        </w:tc>
      </w:tr>
      <w:tr w:rsidR="004F56BC" w:rsidRPr="00A0292D" w14:paraId="0038033C"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2C47E73F"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Quick Ratio</w:t>
            </w:r>
          </w:p>
        </w:tc>
        <w:tc>
          <w:tcPr>
            <w:tcW w:w="129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5D7F270A"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(CA - Inventory) / Curr. Liab.</w:t>
            </w:r>
          </w:p>
        </w:tc>
        <w:tc>
          <w:tcPr>
            <w:tcW w:w="1195"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72098B96"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19.89/21.46=0.93</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733CFB57"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19.90/21.84=0.91</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05833092"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22.20/23.96=0.93</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14EAFD2D"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30.10/29.18=1.03</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15FF5A4D"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32.48/29.43=1.10</w:t>
            </w:r>
          </w:p>
        </w:tc>
      </w:tr>
      <w:tr w:rsidR="004F56BC" w:rsidRPr="00A0292D" w14:paraId="19F620E1"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7FE0BE4E"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Cash Ratio</w:t>
            </w:r>
          </w:p>
        </w:tc>
        <w:tc>
          <w:tcPr>
            <w:tcW w:w="129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6BF1A84D"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Cash / Current Liab.</w:t>
            </w:r>
          </w:p>
        </w:tc>
        <w:tc>
          <w:tcPr>
            <w:tcW w:w="119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30D284B0"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9.32/21.46=0.43</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17393160"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8.62/21.84=0.39</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0827F6C3"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9.23/23.96=0.39</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003243E0"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14.11/29.18=0.48</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362A239"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15.92/29.43=0.54</w:t>
            </w:r>
          </w:p>
        </w:tc>
      </w:tr>
      <w:tr w:rsidR="004F56BC" w:rsidRPr="00A0292D" w14:paraId="58B4C3F8"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12581422"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Inventory Turnover</w:t>
            </w:r>
          </w:p>
        </w:tc>
        <w:tc>
          <w:tcPr>
            <w:tcW w:w="129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58091F43"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COGS / Inventory</w:t>
            </w:r>
          </w:p>
        </w:tc>
        <w:tc>
          <w:tcPr>
            <w:tcW w:w="1195"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71012F0B"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22.38/2.89=7.74</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5576B3CD"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25.41/3.82=6.65</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45DCB496"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30.84/4.26=7.24</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3F08B4A9"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35.73/4.61=7.75</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4C078CE3"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38.46/4.60=8.36</w:t>
            </w:r>
          </w:p>
        </w:tc>
      </w:tr>
      <w:tr w:rsidR="004F56BC" w:rsidRPr="00A0292D" w14:paraId="2438D779"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9CEE354"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Receivables Turnover</w:t>
            </w:r>
          </w:p>
        </w:tc>
        <w:tc>
          <w:tcPr>
            <w:tcW w:w="129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00F3C604"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Revenue / Receivables</w:t>
            </w:r>
          </w:p>
        </w:tc>
        <w:tc>
          <w:tcPr>
            <w:tcW w:w="119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3003948"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27.21/9.83=2.77</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5AA250FA"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31.38/10.49=2.99</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00979A6"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37.15/12.08=3.08</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68CA9FA"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45.10/14.96=3.01</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7D619909"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48.04/15.35=3.13</w:t>
            </w:r>
          </w:p>
        </w:tc>
      </w:tr>
      <w:tr w:rsidR="004F56BC" w:rsidRPr="00A0292D" w14:paraId="16B84297"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33AEF155"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Asset Turnover</w:t>
            </w:r>
          </w:p>
        </w:tc>
        <w:tc>
          <w:tcPr>
            <w:tcW w:w="129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596D2271"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Revenue / Total Assets</w:t>
            </w:r>
          </w:p>
        </w:tc>
        <w:tc>
          <w:tcPr>
            <w:tcW w:w="1195"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4ACF3DB7"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27.21/62.27=0.44</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0B7F6834"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31.38/67.69=0.46</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31CD5AC0"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37.15/74.30=0.50</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2E1F32A5"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45.10/90.11=0.50</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7DE6B4EF"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48.04/93.60=0.51</w:t>
            </w:r>
          </w:p>
        </w:tc>
      </w:tr>
      <w:tr w:rsidR="004F56BC" w:rsidRPr="00A0292D" w14:paraId="26BF7F3C"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35DF67CF"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Debt-to-Equity</w:t>
            </w:r>
          </w:p>
        </w:tc>
        <w:tc>
          <w:tcPr>
            <w:tcW w:w="129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569E3894"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Net Debt / Total Equity</w:t>
            </w:r>
          </w:p>
        </w:tc>
        <w:tc>
          <w:tcPr>
            <w:tcW w:w="119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0EED7171"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12.00/23.40=0.51</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4625B033"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13.77/26.25=0.52</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EE57E8D"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15.56/28.34=0.55</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3534C1E3"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16.96/34.22=0.50</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43FEF310"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17.41/35.92=0.48</w:t>
            </w:r>
          </w:p>
        </w:tc>
      </w:tr>
      <w:tr w:rsidR="004F56BC" w:rsidRPr="00A0292D" w14:paraId="033D7D79"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1B80F325"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Debt Ratio</w:t>
            </w:r>
          </w:p>
        </w:tc>
        <w:tc>
          <w:tcPr>
            <w:tcW w:w="129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3CFC9DD2"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Total Liab. / Total Assets</w:t>
            </w:r>
          </w:p>
        </w:tc>
        <w:tc>
          <w:tcPr>
            <w:tcW w:w="1195"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423F50CA"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38.86/62.27=0.62</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120B2483"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41.44/67.69=0.61</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508461DF"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45.96/74.30=0.62</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01AB8F44"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55.89/90.11=0.62</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2DA3E2B8"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57.68/93.60=0.62</w:t>
            </w:r>
          </w:p>
        </w:tc>
      </w:tr>
      <w:tr w:rsidR="004F56BC" w:rsidRPr="00A0292D" w14:paraId="07035306"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69034027"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Inv. Period (days)</w:t>
            </w:r>
          </w:p>
        </w:tc>
        <w:tc>
          <w:tcPr>
            <w:tcW w:w="129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3CC11706"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(Inv./COGS) x 365</w:t>
            </w:r>
          </w:p>
        </w:tc>
        <w:tc>
          <w:tcPr>
            <w:tcW w:w="119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569D1F83"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2.89/22.38x365=47.1</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64CED8BA"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3.82/25.41x365=54.9</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6E5D463D"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4.26/30.84x365=50.4</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0B5C76DE"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4.61/35.73x365=47.1</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7548DAEB"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4.60/38.46x365=43.7</w:t>
            </w:r>
          </w:p>
        </w:tc>
      </w:tr>
      <w:tr w:rsidR="004F56BC" w:rsidRPr="00A0292D" w14:paraId="142500BB"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2594C501"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Rec. Period (days)</w:t>
            </w:r>
          </w:p>
        </w:tc>
        <w:tc>
          <w:tcPr>
            <w:tcW w:w="129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57567733"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(Rec./Rev.) x 365</w:t>
            </w:r>
          </w:p>
        </w:tc>
        <w:tc>
          <w:tcPr>
            <w:tcW w:w="1195"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2B27D671"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9.83/27.21x365=131.9</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325A6AA5"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10.49/31.38x365=122.0</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51B9FB41"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12.08/37.15x365=118.7</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66E8D91B"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14.96/45.10x365=121.1</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0DDDE19D"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15.35/48.04x365=116.6</w:t>
            </w:r>
          </w:p>
        </w:tc>
      </w:tr>
      <w:tr w:rsidR="004F56BC" w:rsidRPr="00A0292D" w14:paraId="684E5EF1"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6A99BE5A"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AP Period (days)</w:t>
            </w:r>
          </w:p>
        </w:tc>
        <w:tc>
          <w:tcPr>
            <w:tcW w:w="1297"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27287A48"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(AP/COGS) x 365</w:t>
            </w:r>
          </w:p>
        </w:tc>
        <w:tc>
          <w:tcPr>
            <w:tcW w:w="1195"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56E7F219"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4.05/22.38x365=66.1</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1B3F9009"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4.29/25.41x365=61.6</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708572C6"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4.99/30.84x365=59.1</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4A90F709"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5.25/35.73x365=53.6</w:t>
            </w:r>
          </w:p>
        </w:tc>
        <w:tc>
          <w:tcPr>
            <w:tcW w:w="1594" w:type="dxa"/>
            <w:tcBorders>
              <w:top w:val="single" w:sz="1" w:space="0" w:color="CCCCCC"/>
              <w:left w:val="single" w:sz="1" w:space="0" w:color="CCCCCC"/>
              <w:bottom w:val="single" w:sz="1" w:space="0" w:color="CCCCCC"/>
              <w:right w:val="single" w:sz="1" w:space="0" w:color="CCCCCC"/>
            </w:tcBorders>
            <w:shd w:val="clear" w:color="auto" w:fill="FFFFFF"/>
            <w:tcMar>
              <w:top w:w="60" w:type="dxa"/>
              <w:left w:w="100" w:type="dxa"/>
              <w:bottom w:w="60" w:type="dxa"/>
              <w:right w:w="100" w:type="dxa"/>
            </w:tcMar>
            <w:vAlign w:val="center"/>
          </w:tcPr>
          <w:p w14:paraId="3661FDB2"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5.53/38.46x365=52.5</w:t>
            </w:r>
          </w:p>
        </w:tc>
      </w:tr>
      <w:tr w:rsidR="004F56BC" w:rsidRPr="00A0292D" w14:paraId="101A5B3C" w14:textId="77777777" w:rsidTr="00A521E7">
        <w:tc>
          <w:tcPr>
            <w:tcW w:w="970"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219D361E"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CCC (days)</w:t>
            </w:r>
          </w:p>
        </w:tc>
        <w:tc>
          <w:tcPr>
            <w:tcW w:w="1297"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2731EC53"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b/>
                <w:bCs/>
                <w:sz w:val="20"/>
                <w:szCs w:val="20"/>
              </w:rPr>
              <w:t>Inv.+Rec.-AP days</w:t>
            </w:r>
          </w:p>
        </w:tc>
        <w:tc>
          <w:tcPr>
            <w:tcW w:w="1195"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4143F44F"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112.9</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67005177"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115.3</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1242291C"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110.0</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0F2FD9B6"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114.5</w:t>
            </w:r>
          </w:p>
        </w:tc>
        <w:tc>
          <w:tcPr>
            <w:tcW w:w="1594" w:type="dxa"/>
            <w:tcBorders>
              <w:top w:val="single" w:sz="1" w:space="0" w:color="CCCCCC"/>
              <w:left w:val="single" w:sz="1" w:space="0" w:color="CCCCCC"/>
              <w:bottom w:val="single" w:sz="1" w:space="0" w:color="CCCCCC"/>
              <w:right w:val="single" w:sz="1" w:space="0" w:color="CCCCCC"/>
            </w:tcBorders>
            <w:shd w:val="clear" w:color="auto" w:fill="EEF4FB"/>
            <w:tcMar>
              <w:top w:w="60" w:type="dxa"/>
              <w:left w:w="100" w:type="dxa"/>
              <w:bottom w:w="60" w:type="dxa"/>
              <w:right w:w="100" w:type="dxa"/>
            </w:tcMar>
            <w:vAlign w:val="center"/>
          </w:tcPr>
          <w:p w14:paraId="39BFD9FC" w14:textId="77777777" w:rsidR="004F56BC" w:rsidRPr="00A0292D" w:rsidRDefault="000F1E9B" w:rsidP="00A521E7">
            <w:pPr>
              <w:spacing w:line="360" w:lineRule="auto"/>
              <w:jc w:val="center"/>
              <w:rPr>
                <w:rFonts w:asciiTheme="minorBidi" w:hAnsiTheme="minorBidi" w:cstheme="minorBidi"/>
                <w:sz w:val="20"/>
                <w:szCs w:val="20"/>
              </w:rPr>
            </w:pPr>
            <w:r w:rsidRPr="00A0292D">
              <w:rPr>
                <w:rFonts w:asciiTheme="minorBidi" w:hAnsiTheme="minorBidi" w:cstheme="minorBidi"/>
                <w:sz w:val="20"/>
                <w:szCs w:val="20"/>
              </w:rPr>
              <w:t>107.8</w:t>
            </w:r>
          </w:p>
        </w:tc>
      </w:tr>
    </w:tbl>
    <w:p w14:paraId="5E2AD999" w14:textId="77777777" w:rsidR="004F56BC" w:rsidRPr="00A0292D" w:rsidRDefault="000F1E9B" w:rsidP="008F61B8">
      <w:pPr>
        <w:spacing w:before="50" w:after="130" w:line="360" w:lineRule="auto"/>
        <w:jc w:val="center"/>
        <w:rPr>
          <w:rFonts w:asciiTheme="minorBidi" w:hAnsiTheme="minorBidi" w:cstheme="minorBidi"/>
          <w:sz w:val="28"/>
          <w:szCs w:val="28"/>
        </w:rPr>
      </w:pPr>
      <w:r w:rsidRPr="00A0292D">
        <w:rPr>
          <w:rFonts w:asciiTheme="minorBidi" w:hAnsiTheme="minorBidi" w:cstheme="minorBidi"/>
          <w:i/>
          <w:iCs/>
          <w:color w:val="595959"/>
          <w:sz w:val="20"/>
          <w:szCs w:val="20"/>
        </w:rPr>
        <w:t>Source: Author's calculations based on Toyota Motor Corporation Integrated Reports (2021-2025). All monetary values in JPY trillion.</w:t>
      </w:r>
    </w:p>
    <w:bookmarkEnd w:id="1"/>
    <w:p w14:paraId="2CEAA364" w14:textId="77777777" w:rsidR="003B2109" w:rsidRDefault="003B2109">
      <w:pPr>
        <w:rPr>
          <w:b/>
          <w:bCs/>
          <w:color w:val="2E74B5"/>
          <w:sz w:val="28"/>
          <w:szCs w:val="28"/>
        </w:rPr>
      </w:pPr>
      <w:r>
        <w:br w:type="page"/>
      </w:r>
    </w:p>
    <w:p w14:paraId="408B00E1" w14:textId="77777777" w:rsidR="003B2109" w:rsidRDefault="003B2109" w:rsidP="003B2109">
      <w:pPr>
        <w:pStyle w:val="Heading2"/>
      </w:pPr>
    </w:p>
    <w:p w14:paraId="2FAD9181" w14:textId="77777777" w:rsidR="003B2109" w:rsidRDefault="003B2109" w:rsidP="003B2109">
      <w:pPr>
        <w:pStyle w:val="Heading2"/>
      </w:pPr>
      <w:bookmarkStart w:id="39" w:name="_Toc227788486"/>
      <w:r>
        <w:t>Appendix B: Investment descisions workings in Excel</w:t>
      </w:r>
      <w:bookmarkEnd w:id="39"/>
    </w:p>
    <w:p w14:paraId="30B3CC91" w14:textId="77777777" w:rsidR="003B2109" w:rsidRDefault="003B2109" w:rsidP="00195478">
      <w:r w:rsidRPr="003B2109">
        <w:rPr>
          <w:noProof/>
        </w:rPr>
        <w:drawing>
          <wp:inline distT="0" distB="0" distL="0" distR="0" wp14:anchorId="732C357D" wp14:editId="77026D92">
            <wp:extent cx="6248400" cy="4365625"/>
            <wp:effectExtent l="0" t="0" r="0" b="3175"/>
            <wp:docPr id="1316557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557762" name=""/>
                    <pic:cNvPicPr/>
                  </pic:nvPicPr>
                  <pic:blipFill>
                    <a:blip r:embed="rId16"/>
                    <a:stretch>
                      <a:fillRect/>
                    </a:stretch>
                  </pic:blipFill>
                  <pic:spPr>
                    <a:xfrm>
                      <a:off x="0" y="0"/>
                      <a:ext cx="6248400" cy="4365625"/>
                    </a:xfrm>
                    <a:prstGeom prst="rect">
                      <a:avLst/>
                    </a:prstGeom>
                  </pic:spPr>
                </pic:pic>
              </a:graphicData>
            </a:graphic>
          </wp:inline>
        </w:drawing>
      </w:r>
    </w:p>
    <w:p w14:paraId="7CBBB42F" w14:textId="77777777" w:rsidR="003B2109" w:rsidRDefault="003B2109" w:rsidP="003B2109">
      <w:pPr>
        <w:pStyle w:val="Heading2"/>
      </w:pPr>
    </w:p>
    <w:p w14:paraId="47FC634A" w14:textId="77777777" w:rsidR="004F56BC" w:rsidRDefault="003B2109" w:rsidP="008F61B8">
      <w:pPr>
        <w:spacing w:before="60" w:after="100" w:line="360" w:lineRule="auto"/>
        <w:jc w:val="both"/>
        <w:rPr>
          <w:rFonts w:asciiTheme="minorBidi" w:hAnsiTheme="minorBidi" w:cstheme="minorBidi"/>
          <w:sz w:val="28"/>
          <w:szCs w:val="28"/>
        </w:rPr>
      </w:pPr>
      <w:r>
        <w:rPr>
          <w:noProof/>
        </w:rPr>
        <w:drawing>
          <wp:inline distT="0" distB="0" distL="0" distR="0" wp14:anchorId="61FFA2E5" wp14:editId="1766B38B">
            <wp:extent cx="6248400" cy="3758565"/>
            <wp:effectExtent l="0" t="0" r="12700" b="13335"/>
            <wp:docPr id="1599241999" name="Chart 1">
              <a:extLst xmlns:a="http://schemas.openxmlformats.org/drawingml/2006/main">
                <a:ext uri="{FF2B5EF4-FFF2-40B4-BE49-F238E27FC236}">
                  <a16:creationId xmlns:a16="http://schemas.microsoft.com/office/drawing/2014/main" id="{00000000-0008-0000-0900-000008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879DD3C" w14:textId="77777777" w:rsidR="003B2109" w:rsidRDefault="003B2109" w:rsidP="008F61B8">
      <w:pPr>
        <w:spacing w:before="60" w:after="100" w:line="360" w:lineRule="auto"/>
        <w:jc w:val="both"/>
        <w:rPr>
          <w:rFonts w:asciiTheme="minorBidi" w:hAnsiTheme="minorBidi" w:cstheme="minorBidi"/>
          <w:sz w:val="28"/>
          <w:szCs w:val="28"/>
        </w:rPr>
      </w:pPr>
      <w:r>
        <w:rPr>
          <w:noProof/>
        </w:rPr>
        <w:drawing>
          <wp:inline distT="0" distB="0" distL="0" distR="0" wp14:anchorId="5C23ED19" wp14:editId="16AD89EE">
            <wp:extent cx="6248400" cy="3770630"/>
            <wp:effectExtent l="0" t="0" r="12700" b="13970"/>
            <wp:docPr id="1074490370" name="Chart 1">
              <a:extLst xmlns:a="http://schemas.openxmlformats.org/drawingml/2006/main">
                <a:ext uri="{FF2B5EF4-FFF2-40B4-BE49-F238E27FC236}">
                  <a16:creationId xmlns:a16="http://schemas.microsoft.com/office/drawing/2014/main" id="{00000000-0008-0000-0900-000009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62907FC" w14:textId="77777777" w:rsidR="003B2109" w:rsidRDefault="003B2109" w:rsidP="008F61B8">
      <w:pPr>
        <w:spacing w:before="60" w:after="100" w:line="360" w:lineRule="auto"/>
        <w:jc w:val="both"/>
        <w:rPr>
          <w:rFonts w:asciiTheme="minorBidi" w:hAnsiTheme="minorBidi" w:cstheme="minorBidi"/>
          <w:sz w:val="28"/>
          <w:szCs w:val="28"/>
        </w:rPr>
      </w:pPr>
      <w:r w:rsidRPr="003B2109">
        <w:rPr>
          <w:rFonts w:asciiTheme="minorBidi" w:hAnsiTheme="minorBidi" w:cstheme="minorBidi"/>
          <w:noProof/>
          <w:sz w:val="28"/>
          <w:szCs w:val="28"/>
        </w:rPr>
        <w:drawing>
          <wp:inline distT="0" distB="0" distL="0" distR="0" wp14:anchorId="2A590C7B" wp14:editId="16230B10">
            <wp:extent cx="6248400" cy="2007235"/>
            <wp:effectExtent l="0" t="0" r="0" b="0"/>
            <wp:docPr id="1772862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862630" name=""/>
                    <pic:cNvPicPr/>
                  </pic:nvPicPr>
                  <pic:blipFill>
                    <a:blip r:embed="rId19"/>
                    <a:stretch>
                      <a:fillRect/>
                    </a:stretch>
                  </pic:blipFill>
                  <pic:spPr>
                    <a:xfrm>
                      <a:off x="0" y="0"/>
                      <a:ext cx="6248400" cy="2007235"/>
                    </a:xfrm>
                    <a:prstGeom prst="rect">
                      <a:avLst/>
                    </a:prstGeom>
                  </pic:spPr>
                </pic:pic>
              </a:graphicData>
            </a:graphic>
          </wp:inline>
        </w:drawing>
      </w:r>
    </w:p>
    <w:p w14:paraId="5F24296F" w14:textId="77777777" w:rsidR="003B2109" w:rsidRPr="00A0292D" w:rsidRDefault="003B2109" w:rsidP="008F61B8">
      <w:pPr>
        <w:spacing w:before="60" w:after="100" w:line="360" w:lineRule="auto"/>
        <w:jc w:val="both"/>
        <w:rPr>
          <w:rFonts w:asciiTheme="minorBidi" w:hAnsiTheme="minorBidi" w:cstheme="minorBidi"/>
          <w:sz w:val="28"/>
          <w:szCs w:val="28"/>
        </w:rPr>
      </w:pPr>
      <w:r>
        <w:rPr>
          <w:noProof/>
        </w:rPr>
        <w:drawing>
          <wp:inline distT="0" distB="0" distL="0" distR="0" wp14:anchorId="75BAD52B" wp14:editId="4E9567B4">
            <wp:extent cx="6248400" cy="3467735"/>
            <wp:effectExtent l="0" t="0" r="12700" b="12065"/>
            <wp:docPr id="190339593" name="Chart 1">
              <a:extLst xmlns:a="http://schemas.openxmlformats.org/drawingml/2006/main">
                <a:ext uri="{FF2B5EF4-FFF2-40B4-BE49-F238E27FC236}">
                  <a16:creationId xmlns:a16="http://schemas.microsoft.com/office/drawing/2014/main" id="{00000000-0008-0000-0A00-00000A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sectPr w:rsidR="003B2109" w:rsidRPr="00A0292D">
      <w:footerReference w:type="even" r:id="rId21"/>
      <w:footerReference w:type="default" r:id="rId22"/>
      <w:pgSz w:w="12240" w:h="15840"/>
      <w:pgMar w:top="1440" w:right="1200" w:bottom="1440" w:left="120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5B43DC" w14:textId="77777777" w:rsidR="00DA6D0B" w:rsidRDefault="00DA6D0B" w:rsidP="00A521E7">
      <w:r>
        <w:separator/>
      </w:r>
    </w:p>
  </w:endnote>
  <w:endnote w:type="continuationSeparator" w:id="0">
    <w:p w14:paraId="19679267" w14:textId="77777777" w:rsidR="00DA6D0B" w:rsidRDefault="00DA6D0B" w:rsidP="00A521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44743080"/>
      <w:docPartObj>
        <w:docPartGallery w:val="Page Numbers (Bottom of Page)"/>
        <w:docPartUnique/>
      </w:docPartObj>
    </w:sdtPr>
    <w:sdtEndPr>
      <w:rPr>
        <w:rStyle w:val="PageNumber"/>
      </w:rPr>
    </w:sdtEndPr>
    <w:sdtContent>
      <w:p w14:paraId="78DF9B3D" w14:textId="77777777" w:rsidR="00A521E7" w:rsidRDefault="00A521E7" w:rsidP="005B50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53729D" w14:textId="77777777" w:rsidR="00A521E7" w:rsidRDefault="00A521E7" w:rsidP="00A521E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41789219"/>
      <w:docPartObj>
        <w:docPartGallery w:val="Page Numbers (Bottom of Page)"/>
        <w:docPartUnique/>
      </w:docPartObj>
    </w:sdtPr>
    <w:sdtEndPr>
      <w:rPr>
        <w:rStyle w:val="PageNumber"/>
      </w:rPr>
    </w:sdtEndPr>
    <w:sdtContent>
      <w:p w14:paraId="652B86DB" w14:textId="77777777" w:rsidR="00A521E7" w:rsidRDefault="00A521E7" w:rsidP="005B50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E16C47" w14:textId="77777777" w:rsidR="00A521E7" w:rsidRDefault="00A521E7" w:rsidP="00A521E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C4E3B0" w14:textId="77777777" w:rsidR="00DA6D0B" w:rsidRDefault="00DA6D0B" w:rsidP="00A521E7">
      <w:r>
        <w:separator/>
      </w:r>
    </w:p>
  </w:footnote>
  <w:footnote w:type="continuationSeparator" w:id="0">
    <w:p w14:paraId="71BCEC13" w14:textId="77777777" w:rsidR="00DA6D0B" w:rsidRDefault="00DA6D0B" w:rsidP="00A521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EA19FD"/>
    <w:multiLevelType w:val="hybridMultilevel"/>
    <w:tmpl w:val="8286F802"/>
    <w:lvl w:ilvl="0" w:tplc="19EE4602">
      <w:start w:val="1"/>
      <w:numFmt w:val="bullet"/>
      <w:lvlText w:val="●"/>
      <w:lvlJc w:val="left"/>
      <w:pPr>
        <w:ind w:left="720" w:hanging="360"/>
      </w:pPr>
    </w:lvl>
    <w:lvl w:ilvl="1" w:tplc="4DBA3122">
      <w:start w:val="1"/>
      <w:numFmt w:val="bullet"/>
      <w:lvlText w:val="○"/>
      <w:lvlJc w:val="left"/>
      <w:pPr>
        <w:ind w:left="1440" w:hanging="360"/>
      </w:pPr>
    </w:lvl>
    <w:lvl w:ilvl="2" w:tplc="73DACF56">
      <w:start w:val="1"/>
      <w:numFmt w:val="bullet"/>
      <w:lvlText w:val="■"/>
      <w:lvlJc w:val="left"/>
      <w:pPr>
        <w:ind w:left="2160" w:hanging="360"/>
      </w:pPr>
    </w:lvl>
    <w:lvl w:ilvl="3" w:tplc="96F49BE0">
      <w:start w:val="1"/>
      <w:numFmt w:val="bullet"/>
      <w:lvlText w:val="●"/>
      <w:lvlJc w:val="left"/>
      <w:pPr>
        <w:ind w:left="2880" w:hanging="360"/>
      </w:pPr>
    </w:lvl>
    <w:lvl w:ilvl="4" w:tplc="64EAC708">
      <w:start w:val="1"/>
      <w:numFmt w:val="bullet"/>
      <w:lvlText w:val="○"/>
      <w:lvlJc w:val="left"/>
      <w:pPr>
        <w:ind w:left="3600" w:hanging="360"/>
      </w:pPr>
    </w:lvl>
    <w:lvl w:ilvl="5" w:tplc="013E1D48">
      <w:start w:val="1"/>
      <w:numFmt w:val="bullet"/>
      <w:lvlText w:val="■"/>
      <w:lvlJc w:val="left"/>
      <w:pPr>
        <w:ind w:left="4320" w:hanging="360"/>
      </w:pPr>
    </w:lvl>
    <w:lvl w:ilvl="6" w:tplc="922AEB72">
      <w:start w:val="1"/>
      <w:numFmt w:val="bullet"/>
      <w:lvlText w:val="●"/>
      <w:lvlJc w:val="left"/>
      <w:pPr>
        <w:ind w:left="5040" w:hanging="360"/>
      </w:pPr>
    </w:lvl>
    <w:lvl w:ilvl="7" w:tplc="2FBCBB60">
      <w:start w:val="1"/>
      <w:numFmt w:val="bullet"/>
      <w:lvlText w:val="●"/>
      <w:lvlJc w:val="left"/>
      <w:pPr>
        <w:ind w:left="5760" w:hanging="360"/>
      </w:pPr>
    </w:lvl>
    <w:lvl w:ilvl="8" w:tplc="FA70345C">
      <w:start w:val="1"/>
      <w:numFmt w:val="bullet"/>
      <w:lvlText w:val="●"/>
      <w:lvlJc w:val="left"/>
      <w:pPr>
        <w:ind w:left="6480" w:hanging="360"/>
      </w:pPr>
    </w:lvl>
  </w:abstractNum>
  <w:num w:numId="1" w16cid:durableId="12951707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8"/>
  <w:displayBackgroundShape/>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56BC"/>
    <w:rsid w:val="00183B0B"/>
    <w:rsid w:val="00195478"/>
    <w:rsid w:val="00335F39"/>
    <w:rsid w:val="003B2109"/>
    <w:rsid w:val="003C6014"/>
    <w:rsid w:val="00420535"/>
    <w:rsid w:val="004F56BC"/>
    <w:rsid w:val="00566FB5"/>
    <w:rsid w:val="005B4557"/>
    <w:rsid w:val="005C5951"/>
    <w:rsid w:val="00732A7A"/>
    <w:rsid w:val="008F61B8"/>
    <w:rsid w:val="00A0292D"/>
    <w:rsid w:val="00A31045"/>
    <w:rsid w:val="00A521E7"/>
    <w:rsid w:val="00B058DE"/>
    <w:rsid w:val="00BB7687"/>
    <w:rsid w:val="00BC5815"/>
    <w:rsid w:val="00C51075"/>
    <w:rsid w:val="00DA6D0B"/>
    <w:rsid w:val="00DB2106"/>
    <w:rsid w:val="00EE5347"/>
    <w:rsid w:val="00F8224E"/>
    <w:rsid w:val="00FF0339"/>
  </w:rsids>
  <m:mathPr>
    <m:mathFont m:val="Cambria Math"/>
    <m:brkBin m:val="before"/>
    <m:brkBinSub m:val="--"/>
    <m:smallFrac m:val="0"/>
    <m:dispDef/>
    <m:lMargin m:val="0"/>
    <m:rMargin m:val="0"/>
    <m:defJc m:val="centerGroup"/>
    <m:wrapIndent m:val="1440"/>
    <m:intLim m:val="subSup"/>
    <m:naryLim m:val="undOvr"/>
  </m:mathPr>
  <w:themeFontLang w:eastAsia="zh-TW" w:bidi="ar-SA"/>
  <w:clrSchemeMapping w:bg1="light1" w:t1="dark1" w:bg2="light2" w:t2="dark2" w:accent1="accent1" w:accent2="accent2" w:accent3="accent3" w:accent4="accent4" w:accent5="accent5" w:accent6="accent6" w:hyperlink="hyperlink" w:followedHyperlink="followedHyperlink"/>
  <w:decimalSymbol w:val="."/>
  <w:listSeparator w:val=","/>
  <w14:docId w14:val="3978255D"/>
  <w15:docId w15:val="{FDD8B73F-809D-404C-A3FF-1B2713227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rsid w:val="00566FB5"/>
    <w:pPr>
      <w:spacing w:before="320" w:after="160" w:line="360" w:lineRule="auto"/>
      <w:outlineLvl w:val="0"/>
    </w:pPr>
    <w:rPr>
      <w:b/>
      <w:bCs/>
      <w:color w:val="1F4E79"/>
      <w:sz w:val="32"/>
      <w:szCs w:val="32"/>
    </w:rPr>
  </w:style>
  <w:style w:type="paragraph" w:styleId="Heading2">
    <w:name w:val="heading 2"/>
    <w:uiPriority w:val="9"/>
    <w:unhideWhenUsed/>
    <w:qFormat/>
    <w:rsid w:val="00566FB5"/>
    <w:pPr>
      <w:spacing w:before="240" w:after="100" w:line="360" w:lineRule="auto"/>
      <w:outlineLvl w:val="1"/>
    </w:pPr>
    <w:rPr>
      <w:b/>
      <w:bCs/>
      <w:color w:val="2E74B5"/>
      <w:sz w:val="28"/>
      <w:szCs w:val="28"/>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A0292D"/>
    <w:pPr>
      <w:tabs>
        <w:tab w:val="right" w:leader="dot" w:pos="9350"/>
      </w:tabs>
      <w:spacing w:before="240" w:after="100" w:line="360" w:lineRule="auto"/>
      <w:jc w:val="both"/>
    </w:pPr>
    <w:rPr>
      <w:rFonts w:asciiTheme="minorBidi" w:eastAsiaTheme="majorEastAsia" w:hAnsiTheme="minorBidi" w:cstheme="minorBidi"/>
      <w:b/>
      <w:bCs/>
      <w:noProof/>
      <w:sz w:val="24"/>
      <w:lang w:val="en-GB" w:eastAsia="en-US"/>
    </w:rPr>
  </w:style>
  <w:style w:type="paragraph" w:styleId="TOC2">
    <w:name w:val="toc 2"/>
    <w:basedOn w:val="Normal"/>
    <w:next w:val="Normal"/>
    <w:autoRedefine/>
    <w:uiPriority w:val="39"/>
    <w:unhideWhenUsed/>
    <w:rsid w:val="008F61B8"/>
    <w:pPr>
      <w:suppressAutoHyphens/>
      <w:autoSpaceDN w:val="0"/>
      <w:spacing w:before="80" w:after="100" w:line="360" w:lineRule="auto"/>
      <w:ind w:left="240"/>
      <w:jc w:val="both"/>
    </w:pPr>
    <w:rPr>
      <w:sz w:val="24"/>
      <w:szCs w:val="24"/>
      <w:lang w:val="en-GB"/>
    </w:rPr>
  </w:style>
  <w:style w:type="table" w:styleId="GridTable4-Accent1">
    <w:name w:val="Grid Table 4 Accent 1"/>
    <w:basedOn w:val="TableNormal"/>
    <w:uiPriority w:val="49"/>
    <w:rsid w:val="00566FB5"/>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Footer">
    <w:name w:val="footer"/>
    <w:basedOn w:val="Normal"/>
    <w:link w:val="FooterChar"/>
    <w:uiPriority w:val="99"/>
    <w:unhideWhenUsed/>
    <w:rsid w:val="00A521E7"/>
    <w:pPr>
      <w:tabs>
        <w:tab w:val="center" w:pos="4513"/>
        <w:tab w:val="right" w:pos="9026"/>
      </w:tabs>
    </w:pPr>
  </w:style>
  <w:style w:type="character" w:customStyle="1" w:styleId="FooterChar">
    <w:name w:val="Footer Char"/>
    <w:basedOn w:val="DefaultParagraphFont"/>
    <w:link w:val="Footer"/>
    <w:uiPriority w:val="99"/>
    <w:rsid w:val="00A521E7"/>
  </w:style>
  <w:style w:type="character" w:styleId="PageNumber">
    <w:name w:val="page number"/>
    <w:basedOn w:val="DefaultParagraphFont"/>
    <w:uiPriority w:val="99"/>
    <w:semiHidden/>
    <w:unhideWhenUsed/>
    <w:rsid w:val="00A521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881570">
      <w:bodyDiv w:val="1"/>
      <w:marLeft w:val="0"/>
      <w:marRight w:val="0"/>
      <w:marTop w:val="0"/>
      <w:marBottom w:val="0"/>
      <w:divBdr>
        <w:top w:val="none" w:sz="0" w:space="0" w:color="auto"/>
        <w:left w:val="none" w:sz="0" w:space="0" w:color="auto"/>
        <w:bottom w:val="none" w:sz="0" w:space="0" w:color="auto"/>
        <w:right w:val="none" w:sz="0" w:space="0" w:color="auto"/>
      </w:divBdr>
      <w:divsChild>
        <w:div w:id="1965884266">
          <w:marLeft w:val="0"/>
          <w:marRight w:val="0"/>
          <w:marTop w:val="0"/>
          <w:marBottom w:val="0"/>
          <w:divBdr>
            <w:top w:val="none" w:sz="0" w:space="0" w:color="auto"/>
            <w:left w:val="none" w:sz="0" w:space="0" w:color="auto"/>
            <w:bottom w:val="none" w:sz="0" w:space="0" w:color="auto"/>
            <w:right w:val="none" w:sz="0" w:space="0" w:color="auto"/>
          </w:divBdr>
          <w:divsChild>
            <w:div w:id="1274634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368689">
      <w:bodyDiv w:val="1"/>
      <w:marLeft w:val="0"/>
      <w:marRight w:val="0"/>
      <w:marTop w:val="0"/>
      <w:marBottom w:val="0"/>
      <w:divBdr>
        <w:top w:val="none" w:sz="0" w:space="0" w:color="auto"/>
        <w:left w:val="none" w:sz="0" w:space="0" w:color="auto"/>
        <w:bottom w:val="none" w:sz="0" w:space="0" w:color="auto"/>
        <w:right w:val="none" w:sz="0" w:space="0" w:color="auto"/>
      </w:divBdr>
    </w:div>
    <w:div w:id="368728167">
      <w:bodyDiv w:val="1"/>
      <w:marLeft w:val="0"/>
      <w:marRight w:val="0"/>
      <w:marTop w:val="0"/>
      <w:marBottom w:val="0"/>
      <w:divBdr>
        <w:top w:val="none" w:sz="0" w:space="0" w:color="auto"/>
        <w:left w:val="none" w:sz="0" w:space="0" w:color="auto"/>
        <w:bottom w:val="none" w:sz="0" w:space="0" w:color="auto"/>
        <w:right w:val="none" w:sz="0" w:space="0" w:color="auto"/>
      </w:divBdr>
    </w:div>
    <w:div w:id="413622572">
      <w:bodyDiv w:val="1"/>
      <w:marLeft w:val="0"/>
      <w:marRight w:val="0"/>
      <w:marTop w:val="0"/>
      <w:marBottom w:val="0"/>
      <w:divBdr>
        <w:top w:val="none" w:sz="0" w:space="0" w:color="auto"/>
        <w:left w:val="none" w:sz="0" w:space="0" w:color="auto"/>
        <w:bottom w:val="none" w:sz="0" w:space="0" w:color="auto"/>
        <w:right w:val="none" w:sz="0" w:space="0" w:color="auto"/>
      </w:divBdr>
    </w:div>
    <w:div w:id="439380939">
      <w:bodyDiv w:val="1"/>
      <w:marLeft w:val="0"/>
      <w:marRight w:val="0"/>
      <w:marTop w:val="0"/>
      <w:marBottom w:val="0"/>
      <w:divBdr>
        <w:top w:val="none" w:sz="0" w:space="0" w:color="auto"/>
        <w:left w:val="none" w:sz="0" w:space="0" w:color="auto"/>
        <w:bottom w:val="none" w:sz="0" w:space="0" w:color="auto"/>
        <w:right w:val="none" w:sz="0" w:space="0" w:color="auto"/>
      </w:divBdr>
    </w:div>
    <w:div w:id="490877711">
      <w:bodyDiv w:val="1"/>
      <w:marLeft w:val="0"/>
      <w:marRight w:val="0"/>
      <w:marTop w:val="0"/>
      <w:marBottom w:val="0"/>
      <w:divBdr>
        <w:top w:val="none" w:sz="0" w:space="0" w:color="auto"/>
        <w:left w:val="none" w:sz="0" w:space="0" w:color="auto"/>
        <w:bottom w:val="none" w:sz="0" w:space="0" w:color="auto"/>
        <w:right w:val="none" w:sz="0" w:space="0" w:color="auto"/>
      </w:divBdr>
    </w:div>
    <w:div w:id="582615251">
      <w:bodyDiv w:val="1"/>
      <w:marLeft w:val="0"/>
      <w:marRight w:val="0"/>
      <w:marTop w:val="0"/>
      <w:marBottom w:val="0"/>
      <w:divBdr>
        <w:top w:val="none" w:sz="0" w:space="0" w:color="auto"/>
        <w:left w:val="none" w:sz="0" w:space="0" w:color="auto"/>
        <w:bottom w:val="none" w:sz="0" w:space="0" w:color="auto"/>
        <w:right w:val="none" w:sz="0" w:space="0" w:color="auto"/>
      </w:divBdr>
    </w:div>
    <w:div w:id="583803893">
      <w:bodyDiv w:val="1"/>
      <w:marLeft w:val="0"/>
      <w:marRight w:val="0"/>
      <w:marTop w:val="0"/>
      <w:marBottom w:val="0"/>
      <w:divBdr>
        <w:top w:val="none" w:sz="0" w:space="0" w:color="auto"/>
        <w:left w:val="none" w:sz="0" w:space="0" w:color="auto"/>
        <w:bottom w:val="none" w:sz="0" w:space="0" w:color="auto"/>
        <w:right w:val="none" w:sz="0" w:space="0" w:color="auto"/>
      </w:divBdr>
      <w:divsChild>
        <w:div w:id="1668093304">
          <w:marLeft w:val="0"/>
          <w:marRight w:val="0"/>
          <w:marTop w:val="0"/>
          <w:marBottom w:val="0"/>
          <w:divBdr>
            <w:top w:val="none" w:sz="0" w:space="0" w:color="auto"/>
            <w:left w:val="none" w:sz="0" w:space="0" w:color="auto"/>
            <w:bottom w:val="none" w:sz="0" w:space="0" w:color="auto"/>
            <w:right w:val="none" w:sz="0" w:space="0" w:color="auto"/>
          </w:divBdr>
          <w:divsChild>
            <w:div w:id="1204638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869484">
      <w:bodyDiv w:val="1"/>
      <w:marLeft w:val="0"/>
      <w:marRight w:val="0"/>
      <w:marTop w:val="0"/>
      <w:marBottom w:val="0"/>
      <w:divBdr>
        <w:top w:val="none" w:sz="0" w:space="0" w:color="auto"/>
        <w:left w:val="none" w:sz="0" w:space="0" w:color="auto"/>
        <w:bottom w:val="none" w:sz="0" w:space="0" w:color="auto"/>
        <w:right w:val="none" w:sz="0" w:space="0" w:color="auto"/>
      </w:divBdr>
    </w:div>
    <w:div w:id="634797576">
      <w:bodyDiv w:val="1"/>
      <w:marLeft w:val="0"/>
      <w:marRight w:val="0"/>
      <w:marTop w:val="0"/>
      <w:marBottom w:val="0"/>
      <w:divBdr>
        <w:top w:val="none" w:sz="0" w:space="0" w:color="auto"/>
        <w:left w:val="none" w:sz="0" w:space="0" w:color="auto"/>
        <w:bottom w:val="none" w:sz="0" w:space="0" w:color="auto"/>
        <w:right w:val="none" w:sz="0" w:space="0" w:color="auto"/>
      </w:divBdr>
    </w:div>
    <w:div w:id="649094948">
      <w:bodyDiv w:val="1"/>
      <w:marLeft w:val="0"/>
      <w:marRight w:val="0"/>
      <w:marTop w:val="0"/>
      <w:marBottom w:val="0"/>
      <w:divBdr>
        <w:top w:val="none" w:sz="0" w:space="0" w:color="auto"/>
        <w:left w:val="none" w:sz="0" w:space="0" w:color="auto"/>
        <w:bottom w:val="none" w:sz="0" w:space="0" w:color="auto"/>
        <w:right w:val="none" w:sz="0" w:space="0" w:color="auto"/>
      </w:divBdr>
    </w:div>
    <w:div w:id="782113779">
      <w:bodyDiv w:val="1"/>
      <w:marLeft w:val="0"/>
      <w:marRight w:val="0"/>
      <w:marTop w:val="0"/>
      <w:marBottom w:val="0"/>
      <w:divBdr>
        <w:top w:val="none" w:sz="0" w:space="0" w:color="auto"/>
        <w:left w:val="none" w:sz="0" w:space="0" w:color="auto"/>
        <w:bottom w:val="none" w:sz="0" w:space="0" w:color="auto"/>
        <w:right w:val="none" w:sz="0" w:space="0" w:color="auto"/>
      </w:divBdr>
    </w:div>
    <w:div w:id="798687886">
      <w:bodyDiv w:val="1"/>
      <w:marLeft w:val="0"/>
      <w:marRight w:val="0"/>
      <w:marTop w:val="0"/>
      <w:marBottom w:val="0"/>
      <w:divBdr>
        <w:top w:val="none" w:sz="0" w:space="0" w:color="auto"/>
        <w:left w:val="none" w:sz="0" w:space="0" w:color="auto"/>
        <w:bottom w:val="none" w:sz="0" w:space="0" w:color="auto"/>
        <w:right w:val="none" w:sz="0" w:space="0" w:color="auto"/>
      </w:divBdr>
      <w:divsChild>
        <w:div w:id="872771950">
          <w:marLeft w:val="0"/>
          <w:marRight w:val="0"/>
          <w:marTop w:val="0"/>
          <w:marBottom w:val="0"/>
          <w:divBdr>
            <w:top w:val="none" w:sz="0" w:space="0" w:color="auto"/>
            <w:left w:val="none" w:sz="0" w:space="0" w:color="auto"/>
            <w:bottom w:val="none" w:sz="0" w:space="0" w:color="auto"/>
            <w:right w:val="none" w:sz="0" w:space="0" w:color="auto"/>
          </w:divBdr>
          <w:divsChild>
            <w:div w:id="973868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414296">
      <w:bodyDiv w:val="1"/>
      <w:marLeft w:val="0"/>
      <w:marRight w:val="0"/>
      <w:marTop w:val="0"/>
      <w:marBottom w:val="0"/>
      <w:divBdr>
        <w:top w:val="none" w:sz="0" w:space="0" w:color="auto"/>
        <w:left w:val="none" w:sz="0" w:space="0" w:color="auto"/>
        <w:bottom w:val="none" w:sz="0" w:space="0" w:color="auto"/>
        <w:right w:val="none" w:sz="0" w:space="0" w:color="auto"/>
      </w:divBdr>
    </w:div>
    <w:div w:id="955908491">
      <w:bodyDiv w:val="1"/>
      <w:marLeft w:val="0"/>
      <w:marRight w:val="0"/>
      <w:marTop w:val="0"/>
      <w:marBottom w:val="0"/>
      <w:divBdr>
        <w:top w:val="none" w:sz="0" w:space="0" w:color="auto"/>
        <w:left w:val="none" w:sz="0" w:space="0" w:color="auto"/>
        <w:bottom w:val="none" w:sz="0" w:space="0" w:color="auto"/>
        <w:right w:val="none" w:sz="0" w:space="0" w:color="auto"/>
      </w:divBdr>
      <w:divsChild>
        <w:div w:id="2060591508">
          <w:marLeft w:val="0"/>
          <w:marRight w:val="0"/>
          <w:marTop w:val="0"/>
          <w:marBottom w:val="0"/>
          <w:divBdr>
            <w:top w:val="none" w:sz="0" w:space="0" w:color="auto"/>
            <w:left w:val="none" w:sz="0" w:space="0" w:color="auto"/>
            <w:bottom w:val="none" w:sz="0" w:space="0" w:color="auto"/>
            <w:right w:val="none" w:sz="0" w:space="0" w:color="auto"/>
          </w:divBdr>
          <w:divsChild>
            <w:div w:id="599335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812548">
      <w:bodyDiv w:val="1"/>
      <w:marLeft w:val="0"/>
      <w:marRight w:val="0"/>
      <w:marTop w:val="0"/>
      <w:marBottom w:val="0"/>
      <w:divBdr>
        <w:top w:val="none" w:sz="0" w:space="0" w:color="auto"/>
        <w:left w:val="none" w:sz="0" w:space="0" w:color="auto"/>
        <w:bottom w:val="none" w:sz="0" w:space="0" w:color="auto"/>
        <w:right w:val="none" w:sz="0" w:space="0" w:color="auto"/>
      </w:divBdr>
    </w:div>
    <w:div w:id="1070808709">
      <w:bodyDiv w:val="1"/>
      <w:marLeft w:val="0"/>
      <w:marRight w:val="0"/>
      <w:marTop w:val="0"/>
      <w:marBottom w:val="0"/>
      <w:divBdr>
        <w:top w:val="none" w:sz="0" w:space="0" w:color="auto"/>
        <w:left w:val="none" w:sz="0" w:space="0" w:color="auto"/>
        <w:bottom w:val="none" w:sz="0" w:space="0" w:color="auto"/>
        <w:right w:val="none" w:sz="0" w:space="0" w:color="auto"/>
      </w:divBdr>
    </w:div>
    <w:div w:id="1141580643">
      <w:bodyDiv w:val="1"/>
      <w:marLeft w:val="0"/>
      <w:marRight w:val="0"/>
      <w:marTop w:val="0"/>
      <w:marBottom w:val="0"/>
      <w:divBdr>
        <w:top w:val="none" w:sz="0" w:space="0" w:color="auto"/>
        <w:left w:val="none" w:sz="0" w:space="0" w:color="auto"/>
        <w:bottom w:val="none" w:sz="0" w:space="0" w:color="auto"/>
        <w:right w:val="none" w:sz="0" w:space="0" w:color="auto"/>
      </w:divBdr>
    </w:div>
    <w:div w:id="1163200989">
      <w:bodyDiv w:val="1"/>
      <w:marLeft w:val="0"/>
      <w:marRight w:val="0"/>
      <w:marTop w:val="0"/>
      <w:marBottom w:val="0"/>
      <w:divBdr>
        <w:top w:val="none" w:sz="0" w:space="0" w:color="auto"/>
        <w:left w:val="none" w:sz="0" w:space="0" w:color="auto"/>
        <w:bottom w:val="none" w:sz="0" w:space="0" w:color="auto"/>
        <w:right w:val="none" w:sz="0" w:space="0" w:color="auto"/>
      </w:divBdr>
      <w:divsChild>
        <w:div w:id="1251038172">
          <w:marLeft w:val="0"/>
          <w:marRight w:val="0"/>
          <w:marTop w:val="0"/>
          <w:marBottom w:val="0"/>
          <w:divBdr>
            <w:top w:val="none" w:sz="0" w:space="0" w:color="auto"/>
            <w:left w:val="none" w:sz="0" w:space="0" w:color="auto"/>
            <w:bottom w:val="none" w:sz="0" w:space="0" w:color="auto"/>
            <w:right w:val="none" w:sz="0" w:space="0" w:color="auto"/>
          </w:divBdr>
          <w:divsChild>
            <w:div w:id="1495949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187446">
      <w:bodyDiv w:val="1"/>
      <w:marLeft w:val="0"/>
      <w:marRight w:val="0"/>
      <w:marTop w:val="0"/>
      <w:marBottom w:val="0"/>
      <w:divBdr>
        <w:top w:val="none" w:sz="0" w:space="0" w:color="auto"/>
        <w:left w:val="none" w:sz="0" w:space="0" w:color="auto"/>
        <w:bottom w:val="none" w:sz="0" w:space="0" w:color="auto"/>
        <w:right w:val="none" w:sz="0" w:space="0" w:color="auto"/>
      </w:divBdr>
    </w:div>
    <w:div w:id="1545825517">
      <w:bodyDiv w:val="1"/>
      <w:marLeft w:val="0"/>
      <w:marRight w:val="0"/>
      <w:marTop w:val="0"/>
      <w:marBottom w:val="0"/>
      <w:divBdr>
        <w:top w:val="none" w:sz="0" w:space="0" w:color="auto"/>
        <w:left w:val="none" w:sz="0" w:space="0" w:color="auto"/>
        <w:bottom w:val="none" w:sz="0" w:space="0" w:color="auto"/>
        <w:right w:val="none" w:sz="0" w:space="0" w:color="auto"/>
      </w:divBdr>
      <w:divsChild>
        <w:div w:id="71782658">
          <w:marLeft w:val="0"/>
          <w:marRight w:val="0"/>
          <w:marTop w:val="0"/>
          <w:marBottom w:val="0"/>
          <w:divBdr>
            <w:top w:val="none" w:sz="0" w:space="0" w:color="auto"/>
            <w:left w:val="none" w:sz="0" w:space="0" w:color="auto"/>
            <w:bottom w:val="none" w:sz="0" w:space="0" w:color="auto"/>
            <w:right w:val="none" w:sz="0" w:space="0" w:color="auto"/>
          </w:divBdr>
          <w:divsChild>
            <w:div w:id="16077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686489">
      <w:bodyDiv w:val="1"/>
      <w:marLeft w:val="0"/>
      <w:marRight w:val="0"/>
      <w:marTop w:val="0"/>
      <w:marBottom w:val="0"/>
      <w:divBdr>
        <w:top w:val="none" w:sz="0" w:space="0" w:color="auto"/>
        <w:left w:val="none" w:sz="0" w:space="0" w:color="auto"/>
        <w:bottom w:val="none" w:sz="0" w:space="0" w:color="auto"/>
        <w:right w:val="none" w:sz="0" w:space="0" w:color="auto"/>
      </w:divBdr>
    </w:div>
    <w:div w:id="1584680118">
      <w:bodyDiv w:val="1"/>
      <w:marLeft w:val="0"/>
      <w:marRight w:val="0"/>
      <w:marTop w:val="0"/>
      <w:marBottom w:val="0"/>
      <w:divBdr>
        <w:top w:val="none" w:sz="0" w:space="0" w:color="auto"/>
        <w:left w:val="none" w:sz="0" w:space="0" w:color="auto"/>
        <w:bottom w:val="none" w:sz="0" w:space="0" w:color="auto"/>
        <w:right w:val="none" w:sz="0" w:space="0" w:color="auto"/>
      </w:divBdr>
    </w:div>
    <w:div w:id="1629509418">
      <w:bodyDiv w:val="1"/>
      <w:marLeft w:val="0"/>
      <w:marRight w:val="0"/>
      <w:marTop w:val="0"/>
      <w:marBottom w:val="0"/>
      <w:divBdr>
        <w:top w:val="none" w:sz="0" w:space="0" w:color="auto"/>
        <w:left w:val="none" w:sz="0" w:space="0" w:color="auto"/>
        <w:bottom w:val="none" w:sz="0" w:space="0" w:color="auto"/>
        <w:right w:val="none" w:sz="0" w:space="0" w:color="auto"/>
      </w:divBdr>
      <w:divsChild>
        <w:div w:id="322900559">
          <w:marLeft w:val="0"/>
          <w:marRight w:val="0"/>
          <w:marTop w:val="0"/>
          <w:marBottom w:val="0"/>
          <w:divBdr>
            <w:top w:val="none" w:sz="0" w:space="0" w:color="auto"/>
            <w:left w:val="none" w:sz="0" w:space="0" w:color="auto"/>
            <w:bottom w:val="none" w:sz="0" w:space="0" w:color="auto"/>
            <w:right w:val="none" w:sz="0" w:space="0" w:color="auto"/>
          </w:divBdr>
          <w:divsChild>
            <w:div w:id="1091900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469628">
      <w:bodyDiv w:val="1"/>
      <w:marLeft w:val="0"/>
      <w:marRight w:val="0"/>
      <w:marTop w:val="0"/>
      <w:marBottom w:val="0"/>
      <w:divBdr>
        <w:top w:val="none" w:sz="0" w:space="0" w:color="auto"/>
        <w:left w:val="none" w:sz="0" w:space="0" w:color="auto"/>
        <w:bottom w:val="none" w:sz="0" w:space="0" w:color="auto"/>
        <w:right w:val="none" w:sz="0" w:space="0" w:color="auto"/>
      </w:divBdr>
      <w:divsChild>
        <w:div w:id="1191990791">
          <w:marLeft w:val="0"/>
          <w:marRight w:val="0"/>
          <w:marTop w:val="0"/>
          <w:marBottom w:val="0"/>
          <w:divBdr>
            <w:top w:val="none" w:sz="0" w:space="0" w:color="auto"/>
            <w:left w:val="none" w:sz="0" w:space="0" w:color="auto"/>
            <w:bottom w:val="none" w:sz="0" w:space="0" w:color="auto"/>
            <w:right w:val="none" w:sz="0" w:space="0" w:color="auto"/>
          </w:divBdr>
          <w:divsChild>
            <w:div w:id="571933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902030">
      <w:bodyDiv w:val="1"/>
      <w:marLeft w:val="0"/>
      <w:marRight w:val="0"/>
      <w:marTop w:val="0"/>
      <w:marBottom w:val="0"/>
      <w:divBdr>
        <w:top w:val="none" w:sz="0" w:space="0" w:color="auto"/>
        <w:left w:val="none" w:sz="0" w:space="0" w:color="auto"/>
        <w:bottom w:val="none" w:sz="0" w:space="0" w:color="auto"/>
        <w:right w:val="none" w:sz="0" w:space="0" w:color="auto"/>
      </w:divBdr>
    </w:div>
    <w:div w:id="1670795200">
      <w:bodyDiv w:val="1"/>
      <w:marLeft w:val="0"/>
      <w:marRight w:val="0"/>
      <w:marTop w:val="0"/>
      <w:marBottom w:val="0"/>
      <w:divBdr>
        <w:top w:val="none" w:sz="0" w:space="0" w:color="auto"/>
        <w:left w:val="none" w:sz="0" w:space="0" w:color="auto"/>
        <w:bottom w:val="none" w:sz="0" w:space="0" w:color="auto"/>
        <w:right w:val="none" w:sz="0" w:space="0" w:color="auto"/>
      </w:divBdr>
    </w:div>
    <w:div w:id="1676179322">
      <w:bodyDiv w:val="1"/>
      <w:marLeft w:val="0"/>
      <w:marRight w:val="0"/>
      <w:marTop w:val="0"/>
      <w:marBottom w:val="0"/>
      <w:divBdr>
        <w:top w:val="none" w:sz="0" w:space="0" w:color="auto"/>
        <w:left w:val="none" w:sz="0" w:space="0" w:color="auto"/>
        <w:bottom w:val="none" w:sz="0" w:space="0" w:color="auto"/>
        <w:right w:val="none" w:sz="0" w:space="0" w:color="auto"/>
      </w:divBdr>
      <w:divsChild>
        <w:div w:id="758140479">
          <w:marLeft w:val="0"/>
          <w:marRight w:val="0"/>
          <w:marTop w:val="0"/>
          <w:marBottom w:val="0"/>
          <w:divBdr>
            <w:top w:val="none" w:sz="0" w:space="0" w:color="auto"/>
            <w:left w:val="none" w:sz="0" w:space="0" w:color="auto"/>
            <w:bottom w:val="none" w:sz="0" w:space="0" w:color="auto"/>
            <w:right w:val="none" w:sz="0" w:space="0" w:color="auto"/>
          </w:divBdr>
          <w:divsChild>
            <w:div w:id="1409107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4671775">
      <w:bodyDiv w:val="1"/>
      <w:marLeft w:val="0"/>
      <w:marRight w:val="0"/>
      <w:marTop w:val="0"/>
      <w:marBottom w:val="0"/>
      <w:divBdr>
        <w:top w:val="none" w:sz="0" w:space="0" w:color="auto"/>
        <w:left w:val="none" w:sz="0" w:space="0" w:color="auto"/>
        <w:bottom w:val="none" w:sz="0" w:space="0" w:color="auto"/>
        <w:right w:val="none" w:sz="0" w:space="0" w:color="auto"/>
      </w:divBdr>
    </w:div>
    <w:div w:id="1713993309">
      <w:bodyDiv w:val="1"/>
      <w:marLeft w:val="0"/>
      <w:marRight w:val="0"/>
      <w:marTop w:val="0"/>
      <w:marBottom w:val="0"/>
      <w:divBdr>
        <w:top w:val="none" w:sz="0" w:space="0" w:color="auto"/>
        <w:left w:val="none" w:sz="0" w:space="0" w:color="auto"/>
        <w:bottom w:val="none" w:sz="0" w:space="0" w:color="auto"/>
        <w:right w:val="none" w:sz="0" w:space="0" w:color="auto"/>
      </w:divBdr>
    </w:div>
    <w:div w:id="1834056737">
      <w:bodyDiv w:val="1"/>
      <w:marLeft w:val="0"/>
      <w:marRight w:val="0"/>
      <w:marTop w:val="0"/>
      <w:marBottom w:val="0"/>
      <w:divBdr>
        <w:top w:val="none" w:sz="0" w:space="0" w:color="auto"/>
        <w:left w:val="none" w:sz="0" w:space="0" w:color="auto"/>
        <w:bottom w:val="none" w:sz="0" w:space="0" w:color="auto"/>
        <w:right w:val="none" w:sz="0" w:space="0" w:color="auto"/>
      </w:divBdr>
    </w:div>
    <w:div w:id="1958027339">
      <w:bodyDiv w:val="1"/>
      <w:marLeft w:val="0"/>
      <w:marRight w:val="0"/>
      <w:marTop w:val="0"/>
      <w:marBottom w:val="0"/>
      <w:divBdr>
        <w:top w:val="none" w:sz="0" w:space="0" w:color="auto"/>
        <w:left w:val="none" w:sz="0" w:space="0" w:color="auto"/>
        <w:bottom w:val="none" w:sz="0" w:space="0" w:color="auto"/>
        <w:right w:val="none" w:sz="0" w:space="0" w:color="auto"/>
      </w:divBdr>
    </w:div>
    <w:div w:id="1985503951">
      <w:bodyDiv w:val="1"/>
      <w:marLeft w:val="0"/>
      <w:marRight w:val="0"/>
      <w:marTop w:val="0"/>
      <w:marBottom w:val="0"/>
      <w:divBdr>
        <w:top w:val="none" w:sz="0" w:space="0" w:color="auto"/>
        <w:left w:val="none" w:sz="0" w:space="0" w:color="auto"/>
        <w:bottom w:val="none" w:sz="0" w:space="0" w:color="auto"/>
        <w:right w:val="none" w:sz="0" w:space="0" w:color="auto"/>
      </w:divBdr>
      <w:divsChild>
        <w:div w:id="1991131447">
          <w:marLeft w:val="0"/>
          <w:marRight w:val="0"/>
          <w:marTop w:val="0"/>
          <w:marBottom w:val="0"/>
          <w:divBdr>
            <w:top w:val="none" w:sz="0" w:space="0" w:color="auto"/>
            <w:left w:val="none" w:sz="0" w:space="0" w:color="auto"/>
            <w:bottom w:val="none" w:sz="0" w:space="0" w:color="auto"/>
            <w:right w:val="none" w:sz="0" w:space="0" w:color="auto"/>
          </w:divBdr>
          <w:divsChild>
            <w:div w:id="26773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5960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1.xml" /><Relationship Id="rId13" Type="http://schemas.openxmlformats.org/officeDocument/2006/relationships/chart" Target="charts/chart6.xml" /><Relationship Id="rId18" Type="http://schemas.openxmlformats.org/officeDocument/2006/relationships/chart" Target="charts/chart10.xml" /><Relationship Id="rId3" Type="http://schemas.openxmlformats.org/officeDocument/2006/relationships/settings" Target="settings.xml" /><Relationship Id="rId21" Type="http://schemas.openxmlformats.org/officeDocument/2006/relationships/footer" Target="footer1.xml" /><Relationship Id="rId7" Type="http://schemas.openxmlformats.org/officeDocument/2006/relationships/image" Target="media/image1.png" /><Relationship Id="rId12" Type="http://schemas.openxmlformats.org/officeDocument/2006/relationships/chart" Target="charts/chart5.xml" /><Relationship Id="rId17" Type="http://schemas.openxmlformats.org/officeDocument/2006/relationships/chart" Target="charts/chart9.xml" /><Relationship Id="rId2" Type="http://schemas.openxmlformats.org/officeDocument/2006/relationships/styles" Target="styles.xml" /><Relationship Id="rId16" Type="http://schemas.openxmlformats.org/officeDocument/2006/relationships/image" Target="media/image2.png" /><Relationship Id="rId20" Type="http://schemas.openxmlformats.org/officeDocument/2006/relationships/chart" Target="charts/chart1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chart" Target="charts/chart4.xml" /><Relationship Id="rId24"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chart" Target="charts/chart8.xml" /><Relationship Id="rId23" Type="http://schemas.openxmlformats.org/officeDocument/2006/relationships/fontTable" Target="fontTable.xml" /><Relationship Id="rId10" Type="http://schemas.openxmlformats.org/officeDocument/2006/relationships/chart" Target="charts/chart3.xml" /><Relationship Id="rId19" Type="http://schemas.openxmlformats.org/officeDocument/2006/relationships/image" Target="media/image3.png" /><Relationship Id="rId4" Type="http://schemas.openxmlformats.org/officeDocument/2006/relationships/webSettings" Target="webSettings.xml" /><Relationship Id="rId9" Type="http://schemas.openxmlformats.org/officeDocument/2006/relationships/chart" Target="charts/chart2.xml" /><Relationship Id="rId14" Type="http://schemas.openxmlformats.org/officeDocument/2006/relationships/chart" Target="charts/chart7.xml" /><Relationship Id="rId22" Type="http://schemas.openxmlformats.org/officeDocument/2006/relationships/footer" Target="footer2.xml" /></Relationships>
</file>

<file path=word/charts/_rels/chart1.xml.rels><?xml version="1.0" encoding="UTF-8" standalone="yes"?>
<Relationships xmlns="http://schemas.openxmlformats.org/package/2006/relationships"><Relationship Id="rId1" Type="http://schemas.openxmlformats.org/officeDocument/2006/relationships/oleObject" Target="file:///Users/anikdey/Downloads/toyota_ratio_tables_and_charts.xlsx" TargetMode="External" /></Relationships>
</file>

<file path=word/charts/_rels/chart2.xml.rels><?xml version="1.0" encoding="UTF-8" standalone="yes"?>
<Relationships xmlns="http://schemas.openxmlformats.org/package/2006/relationships"><Relationship Id="rId1" Type="http://schemas.openxmlformats.org/officeDocument/2006/relationships/oleObject" Target="file:///Users/anikdey/Downloads/toyota_ratio_tables_and_charts.xlsx" TargetMode="External" /></Relationships>
</file>

<file path=word/charts/_rels/chart3.xml.rels><?xml version="1.0" encoding="UTF-8" standalone="yes"?>
<Relationships xmlns="http://schemas.openxmlformats.org/package/2006/relationships"><Relationship Id="rId1" Type="http://schemas.openxmlformats.org/officeDocument/2006/relationships/oleObject" Target="file:///Users/anikdey/Downloads/toyota_ratio_tables_and_charts.xlsx" TargetMode="External" /></Relationships>
</file>

<file path=word/charts/_rels/chart4.xml.rels><?xml version="1.0" encoding="UTF-8" standalone="yes"?>
<Relationships xmlns="http://schemas.openxmlformats.org/package/2006/relationships"><Relationship Id="rId1" Type="http://schemas.openxmlformats.org/officeDocument/2006/relationships/oleObject" Target="file:///Users/anikdey/Downloads/toyota_ratio_tables_and_charts.xlsx" TargetMode="External" /></Relationships>
</file>

<file path=word/charts/_rels/chart5.xml.rels><?xml version="1.0" encoding="UTF-8" standalone="yes"?>
<Relationships xmlns="http://schemas.openxmlformats.org/package/2006/relationships"><Relationship Id="rId1" Type="http://schemas.openxmlformats.org/officeDocument/2006/relationships/oleObject" Target="file:///Users/anikdey/Downloads/toyota_ratio_tables_and_charts.xlsx" TargetMode="External" /></Relationships>
</file>

<file path=word/charts/_rels/chart6.xml.rels><?xml version="1.0" encoding="UTF-8" standalone="yes"?>
<Relationships xmlns="http://schemas.openxmlformats.org/package/2006/relationships"><Relationship Id="rId1" Type="http://schemas.openxmlformats.org/officeDocument/2006/relationships/oleObject" Target="file:///Users/anikdey/Downloads/toyota_ratio_tables_and_charts.xlsx" TargetMode="External" /></Relationships>
</file>

<file path=word/charts/_rels/chart7.xml.rels><?xml version="1.0" encoding="UTF-8" standalone="yes"?>
<Relationships xmlns="http://schemas.openxmlformats.org/package/2006/relationships"><Relationship Id="rId1" Type="http://schemas.openxmlformats.org/officeDocument/2006/relationships/oleObject" Target="file:///Users/anikdey/Downloads/toyota_ratio_tables_and_charts.xlsx" TargetMode="External" /></Relationships>
</file>

<file path=word/charts/_rels/chart8.xml.rels><?xml version="1.0" encoding="UTF-8" standalone="yes"?>
<Relationships xmlns="http://schemas.openxmlformats.org/package/2006/relationships"><Relationship Id="rId1" Type="http://schemas.openxmlformats.org/officeDocument/2006/relationships/oleObject" Target="file:///Users/anikdey/Downloads/toyota_financial_analysis%20(1).xlsx" TargetMode="External" /></Relationships>
</file>

<file path=word/charts/_rels/chart9.xml.rels><?xml version="1.0" encoding="UTF-8" standalone="yes"?>
<Relationships xmlns="http://schemas.openxmlformats.org/package/2006/relationships"><Relationship Id="rId1" Type="http://schemas.openxmlformats.org/officeDocument/2006/relationships/oleObject" Target="file:///Users/anikdey/Downloads/toyota_financial_analysis%20(1).xlsx" TargetMode="External" /></Relationships>
</file>

<file path=word/charts/_rels/chart10.xml.rels><?xml version="1.0" encoding="UTF-8" standalone="yes"?>
<Relationships xmlns="http://schemas.openxmlformats.org/package/2006/relationships"><Relationship Id="rId1" Type="http://schemas.openxmlformats.org/officeDocument/2006/relationships/oleObject" Target="file:///Users/anikdey/Downloads/toyota_financial_analysis%20(1).xlsx" TargetMode="External" /></Relationships>
</file>

<file path=word/charts/_rels/chart11.xml.rels><?xml version="1.0" encoding="UTF-8" standalone="yes"?>
<Relationships xmlns="http://schemas.openxmlformats.org/package/2006/relationships"><Relationship Id="rId3" Type="http://schemas.openxmlformats.org/officeDocument/2006/relationships/oleObject" Target="file:///Users/anikdey/Downloads/toyota_financial_analysis%20(1).xlsx" TargetMode="External" /><Relationship Id="rId2" Type="http://schemas.microsoft.com/office/2011/relationships/chartColorStyle" Target="colors1.xml" /><Relationship Id="rId1" Type="http://schemas.microsoft.com/office/2011/relationships/chartStyle" Target="style1.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Toyota Summary Income Trend Trend</a:t>
            </a:r>
          </a:p>
        </c:rich>
      </c:tx>
      <c:overlay val="0"/>
    </c:title>
    <c:autoTitleDeleted val="0"/>
    <c:plotArea>
      <c:layout/>
      <c:lineChart>
        <c:grouping val="standard"/>
        <c:varyColors val="1"/>
        <c:ser>
          <c:idx val="0"/>
          <c:order val="0"/>
          <c:tx>
            <c:v>Revenue (JPY tn)</c:v>
          </c:tx>
          <c:cat>
            <c:numLit>
              <c:formatCode>General</c:formatCode>
              <c:ptCount val="5"/>
              <c:pt idx="0">
                <c:v>2021</c:v>
              </c:pt>
              <c:pt idx="1">
                <c:v>2022</c:v>
              </c:pt>
              <c:pt idx="2">
                <c:v>2023</c:v>
              </c:pt>
              <c:pt idx="3">
                <c:v>2024</c:v>
              </c:pt>
              <c:pt idx="4">
                <c:v>2025</c:v>
              </c:pt>
            </c:numLit>
          </c:cat>
          <c:val>
            <c:numLit>
              <c:formatCode>General</c:formatCode>
              <c:ptCount val="5"/>
              <c:pt idx="0">
                <c:v>27.21</c:v>
              </c:pt>
              <c:pt idx="1">
                <c:v>31.38</c:v>
              </c:pt>
              <c:pt idx="2">
                <c:v>37.15</c:v>
              </c:pt>
              <c:pt idx="3">
                <c:v>45.1</c:v>
              </c:pt>
              <c:pt idx="4">
                <c:v>48.04</c:v>
              </c:pt>
            </c:numLit>
          </c:val>
          <c:smooth val="0"/>
          <c:extLst>
            <c:ext xmlns:c16="http://schemas.microsoft.com/office/drawing/2014/chart" uri="{C3380CC4-5D6E-409C-BE32-E72D297353CC}">
              <c16:uniqueId val="{00000000-27EA-7B4C-9034-E5ED2F7A3078}"/>
            </c:ext>
          </c:extLst>
        </c:ser>
        <c:ser>
          <c:idx val="1"/>
          <c:order val="1"/>
          <c:tx>
            <c:v>Gross profit (JPY tn)</c:v>
          </c:tx>
          <c:cat>
            <c:numLit>
              <c:formatCode>General</c:formatCode>
              <c:ptCount val="5"/>
              <c:pt idx="0">
                <c:v>2021</c:v>
              </c:pt>
              <c:pt idx="1">
                <c:v>2022</c:v>
              </c:pt>
              <c:pt idx="2">
                <c:v>2023</c:v>
              </c:pt>
              <c:pt idx="3">
                <c:v>2024</c:v>
              </c:pt>
              <c:pt idx="4">
                <c:v>2025</c:v>
              </c:pt>
            </c:numLit>
          </c:cat>
          <c:val>
            <c:numLit>
              <c:formatCode>General</c:formatCode>
              <c:ptCount val="5"/>
              <c:pt idx="0">
                <c:v>4.83</c:v>
              </c:pt>
              <c:pt idx="1">
                <c:v>5.97</c:v>
              </c:pt>
              <c:pt idx="2">
                <c:v>6.31</c:v>
              </c:pt>
              <c:pt idx="3">
                <c:v>9.3699999999999992</c:v>
              </c:pt>
              <c:pt idx="4">
                <c:v>9.58</c:v>
              </c:pt>
            </c:numLit>
          </c:val>
          <c:smooth val="0"/>
          <c:extLst>
            <c:ext xmlns:c16="http://schemas.microsoft.com/office/drawing/2014/chart" uri="{C3380CC4-5D6E-409C-BE32-E72D297353CC}">
              <c16:uniqueId val="{00000001-27EA-7B4C-9034-E5ED2F7A3078}"/>
            </c:ext>
          </c:extLst>
        </c:ser>
        <c:ser>
          <c:idx val="2"/>
          <c:order val="2"/>
          <c:tx>
            <c:v>Operating profit (JPY tn)</c:v>
          </c:tx>
          <c:cat>
            <c:numLit>
              <c:formatCode>General</c:formatCode>
              <c:ptCount val="5"/>
              <c:pt idx="0">
                <c:v>2021</c:v>
              </c:pt>
              <c:pt idx="1">
                <c:v>2022</c:v>
              </c:pt>
              <c:pt idx="2">
                <c:v>2023</c:v>
              </c:pt>
              <c:pt idx="3">
                <c:v>2024</c:v>
              </c:pt>
              <c:pt idx="4">
                <c:v>2025</c:v>
              </c:pt>
            </c:numLit>
          </c:cat>
          <c:val>
            <c:numLit>
              <c:formatCode>General</c:formatCode>
              <c:ptCount val="5"/>
              <c:pt idx="0">
                <c:v>2.2000000000000002</c:v>
              </c:pt>
              <c:pt idx="1">
                <c:v>3</c:v>
              </c:pt>
              <c:pt idx="2">
                <c:v>2.73</c:v>
              </c:pt>
              <c:pt idx="3">
                <c:v>5.35</c:v>
              </c:pt>
              <c:pt idx="4">
                <c:v>4.8</c:v>
              </c:pt>
            </c:numLit>
          </c:val>
          <c:smooth val="0"/>
          <c:extLst>
            <c:ext xmlns:c16="http://schemas.microsoft.com/office/drawing/2014/chart" uri="{C3380CC4-5D6E-409C-BE32-E72D297353CC}">
              <c16:uniqueId val="{00000002-27EA-7B4C-9034-E5ED2F7A3078}"/>
            </c:ext>
          </c:extLst>
        </c:ser>
        <c:ser>
          <c:idx val="3"/>
          <c:order val="3"/>
          <c:tx>
            <c:v>Net profit (JPY tn)</c:v>
          </c:tx>
          <c:cat>
            <c:numLit>
              <c:formatCode>General</c:formatCode>
              <c:ptCount val="5"/>
              <c:pt idx="0">
                <c:v>2021</c:v>
              </c:pt>
              <c:pt idx="1">
                <c:v>2022</c:v>
              </c:pt>
              <c:pt idx="2">
                <c:v>2023</c:v>
              </c:pt>
              <c:pt idx="3">
                <c:v>2024</c:v>
              </c:pt>
              <c:pt idx="4">
                <c:v>2025</c:v>
              </c:pt>
            </c:numLit>
          </c:cat>
          <c:val>
            <c:numLit>
              <c:formatCode>General</c:formatCode>
              <c:ptCount val="5"/>
              <c:pt idx="0">
                <c:v>2.25</c:v>
              </c:pt>
              <c:pt idx="1">
                <c:v>2.85</c:v>
              </c:pt>
              <c:pt idx="2">
                <c:v>2.4500000000000002</c:v>
              </c:pt>
              <c:pt idx="3">
                <c:v>4.9400000000000004</c:v>
              </c:pt>
              <c:pt idx="4">
                <c:v>4.7699999999999996</c:v>
              </c:pt>
            </c:numLit>
          </c:val>
          <c:smooth val="0"/>
          <c:extLst>
            <c:ext xmlns:c16="http://schemas.microsoft.com/office/drawing/2014/chart" uri="{C3380CC4-5D6E-409C-BE32-E72D297353CC}">
              <c16:uniqueId val="{00000003-27EA-7B4C-9034-E5ED2F7A3078}"/>
            </c:ext>
          </c:extLst>
        </c:ser>
        <c:dLbls>
          <c:showLegendKey val="0"/>
          <c:showVal val="0"/>
          <c:showCatName val="0"/>
          <c:showSerName val="0"/>
          <c:showPercent val="0"/>
          <c:showBubbleSize val="0"/>
        </c:dLbls>
        <c:marker val="1"/>
        <c:smooth val="0"/>
        <c:axId val="48650112"/>
        <c:axId val="48672768"/>
      </c:lineChart>
      <c:catAx>
        <c:axId val="48650112"/>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48672768"/>
        <c:crosses val="autoZero"/>
        <c:auto val="1"/>
        <c:lblAlgn val="ctr"/>
        <c:lblOffset val="100"/>
        <c:noMultiLvlLbl val="0"/>
      </c:catAx>
      <c:valAx>
        <c:axId val="48672768"/>
        <c:scaling>
          <c:orientation val="minMax"/>
        </c:scaling>
        <c:delete val="0"/>
        <c:axPos val="l"/>
        <c:majorGridlines>
          <c:spPr>
            <a:ln w="9525">
              <a:solidFill>
                <a:srgbClr val="CCCCCC"/>
              </a:solidFill>
              <a:prstDash val="dash"/>
            </a:ln>
          </c:spPr>
        </c:majorGridlines>
        <c:numFmt formatCode="General" sourceLinked="1"/>
        <c:majorTickMark val="none"/>
        <c:minorTickMark val="none"/>
        <c:tickLblPos val="nextTo"/>
        <c:crossAx val="48650112"/>
        <c:crosses val="autoZero"/>
        <c:crossBetween val="between"/>
      </c:valAx>
    </c:plotArea>
    <c:legend>
      <c:legendPos val="b"/>
      <c:overlay val="0"/>
    </c:legend>
    <c:plotVisOnly val="1"/>
    <c:dispBlanksAs val="zero"/>
    <c:showDLblsOverMax val="1"/>
  </c:chart>
  <c:spPr>
    <a:ln w="9525">
      <a:solidFill>
        <a:srgbClr val="D9D9D9"/>
      </a:solidFill>
      <a:prstDash val="solid"/>
    </a:ln>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Profitability Ratios Trend</a:t>
            </a:r>
          </a:p>
        </c:rich>
      </c:tx>
      <c:overlay val="0"/>
    </c:title>
    <c:autoTitleDeleted val="0"/>
    <c:plotArea>
      <c:layout/>
      <c:lineChart>
        <c:grouping val="standard"/>
        <c:varyColors val="1"/>
        <c:ser>
          <c:idx val="0"/>
          <c:order val="0"/>
          <c:tx>
            <c:v>Gross margin %</c:v>
          </c:tx>
          <c:cat>
            <c:numLit>
              <c:formatCode>General</c:formatCode>
              <c:ptCount val="5"/>
              <c:pt idx="0">
                <c:v>2021</c:v>
              </c:pt>
              <c:pt idx="1">
                <c:v>2022</c:v>
              </c:pt>
              <c:pt idx="2">
                <c:v>2023</c:v>
              </c:pt>
              <c:pt idx="3">
                <c:v>2024</c:v>
              </c:pt>
              <c:pt idx="4">
                <c:v>2025</c:v>
              </c:pt>
            </c:numLit>
          </c:cat>
          <c:val>
            <c:numLit>
              <c:formatCode>General</c:formatCode>
              <c:ptCount val="5"/>
              <c:pt idx="0">
                <c:v>17.75</c:v>
              </c:pt>
              <c:pt idx="1">
                <c:v>19.02</c:v>
              </c:pt>
              <c:pt idx="2">
                <c:v>16.989999999999998</c:v>
              </c:pt>
              <c:pt idx="3">
                <c:v>20.78</c:v>
              </c:pt>
              <c:pt idx="4">
                <c:v>19.940000000000001</c:v>
              </c:pt>
            </c:numLit>
          </c:val>
          <c:smooth val="0"/>
          <c:extLst>
            <c:ext xmlns:c16="http://schemas.microsoft.com/office/drawing/2014/chart" uri="{C3380CC4-5D6E-409C-BE32-E72D297353CC}">
              <c16:uniqueId val="{00000000-12A0-B347-940C-65F94D2BCE96}"/>
            </c:ext>
          </c:extLst>
        </c:ser>
        <c:ser>
          <c:idx val="1"/>
          <c:order val="1"/>
          <c:tx>
            <c:v>Operating margin %</c:v>
          </c:tx>
          <c:cat>
            <c:numLit>
              <c:formatCode>General</c:formatCode>
              <c:ptCount val="5"/>
              <c:pt idx="0">
                <c:v>2021</c:v>
              </c:pt>
              <c:pt idx="1">
                <c:v>2022</c:v>
              </c:pt>
              <c:pt idx="2">
                <c:v>2023</c:v>
              </c:pt>
              <c:pt idx="3">
                <c:v>2024</c:v>
              </c:pt>
              <c:pt idx="4">
                <c:v>2025</c:v>
              </c:pt>
            </c:numLit>
          </c:cat>
          <c:val>
            <c:numLit>
              <c:formatCode>General</c:formatCode>
              <c:ptCount val="5"/>
              <c:pt idx="0">
                <c:v>8.09</c:v>
              </c:pt>
              <c:pt idx="1">
                <c:v>9.56</c:v>
              </c:pt>
              <c:pt idx="2">
                <c:v>7.35</c:v>
              </c:pt>
              <c:pt idx="3">
                <c:v>11.86</c:v>
              </c:pt>
              <c:pt idx="4">
                <c:v>9.99</c:v>
              </c:pt>
            </c:numLit>
          </c:val>
          <c:smooth val="0"/>
          <c:extLst>
            <c:ext xmlns:c16="http://schemas.microsoft.com/office/drawing/2014/chart" uri="{C3380CC4-5D6E-409C-BE32-E72D297353CC}">
              <c16:uniqueId val="{00000001-12A0-B347-940C-65F94D2BCE96}"/>
            </c:ext>
          </c:extLst>
        </c:ser>
        <c:ser>
          <c:idx val="2"/>
          <c:order val="2"/>
          <c:tx>
            <c:v>Net profit margin %</c:v>
          </c:tx>
          <c:cat>
            <c:numLit>
              <c:formatCode>General</c:formatCode>
              <c:ptCount val="5"/>
              <c:pt idx="0">
                <c:v>2021</c:v>
              </c:pt>
              <c:pt idx="1">
                <c:v>2022</c:v>
              </c:pt>
              <c:pt idx="2">
                <c:v>2023</c:v>
              </c:pt>
              <c:pt idx="3">
                <c:v>2024</c:v>
              </c:pt>
              <c:pt idx="4">
                <c:v>2025</c:v>
              </c:pt>
            </c:numLit>
          </c:cat>
          <c:val>
            <c:numLit>
              <c:formatCode>General</c:formatCode>
              <c:ptCount val="5"/>
              <c:pt idx="0">
                <c:v>8.27</c:v>
              </c:pt>
              <c:pt idx="1">
                <c:v>9.08</c:v>
              </c:pt>
              <c:pt idx="2">
                <c:v>6.59</c:v>
              </c:pt>
              <c:pt idx="3">
                <c:v>10.95</c:v>
              </c:pt>
              <c:pt idx="4">
                <c:v>9.93</c:v>
              </c:pt>
            </c:numLit>
          </c:val>
          <c:smooth val="0"/>
          <c:extLst>
            <c:ext xmlns:c16="http://schemas.microsoft.com/office/drawing/2014/chart" uri="{C3380CC4-5D6E-409C-BE32-E72D297353CC}">
              <c16:uniqueId val="{00000002-12A0-B347-940C-65F94D2BCE96}"/>
            </c:ext>
          </c:extLst>
        </c:ser>
        <c:ser>
          <c:idx val="3"/>
          <c:order val="3"/>
          <c:tx>
            <c:v>Return on assets %</c:v>
          </c:tx>
          <c:cat>
            <c:numLit>
              <c:formatCode>General</c:formatCode>
              <c:ptCount val="5"/>
              <c:pt idx="0">
                <c:v>2021</c:v>
              </c:pt>
              <c:pt idx="1">
                <c:v>2022</c:v>
              </c:pt>
              <c:pt idx="2">
                <c:v>2023</c:v>
              </c:pt>
              <c:pt idx="3">
                <c:v>2024</c:v>
              </c:pt>
              <c:pt idx="4">
                <c:v>2025</c:v>
              </c:pt>
            </c:numLit>
          </c:cat>
          <c:val>
            <c:numLit>
              <c:formatCode>General</c:formatCode>
              <c:ptCount val="5"/>
              <c:pt idx="0">
                <c:v>3.61</c:v>
              </c:pt>
              <c:pt idx="1">
                <c:v>4.21</c:v>
              </c:pt>
              <c:pt idx="2">
                <c:v>3.3</c:v>
              </c:pt>
              <c:pt idx="3">
                <c:v>5.48</c:v>
              </c:pt>
              <c:pt idx="4">
                <c:v>5.0999999999999996</c:v>
              </c:pt>
            </c:numLit>
          </c:val>
          <c:smooth val="0"/>
          <c:extLst>
            <c:ext xmlns:c16="http://schemas.microsoft.com/office/drawing/2014/chart" uri="{C3380CC4-5D6E-409C-BE32-E72D297353CC}">
              <c16:uniqueId val="{00000003-12A0-B347-940C-65F94D2BCE96}"/>
            </c:ext>
          </c:extLst>
        </c:ser>
        <c:ser>
          <c:idx val="4"/>
          <c:order val="4"/>
          <c:tx>
            <c:v>Return on equity %</c:v>
          </c:tx>
          <c:cat>
            <c:numLit>
              <c:formatCode>General</c:formatCode>
              <c:ptCount val="5"/>
              <c:pt idx="0">
                <c:v>2021</c:v>
              </c:pt>
              <c:pt idx="1">
                <c:v>2022</c:v>
              </c:pt>
              <c:pt idx="2">
                <c:v>2023</c:v>
              </c:pt>
              <c:pt idx="3">
                <c:v>2024</c:v>
              </c:pt>
              <c:pt idx="4">
                <c:v>2025</c:v>
              </c:pt>
            </c:numLit>
          </c:cat>
          <c:val>
            <c:numLit>
              <c:formatCode>General</c:formatCode>
              <c:ptCount val="5"/>
              <c:pt idx="0">
                <c:v>9.6199999999999992</c:v>
              </c:pt>
              <c:pt idx="1">
                <c:v>10.86</c:v>
              </c:pt>
              <c:pt idx="2">
                <c:v>8.65</c:v>
              </c:pt>
              <c:pt idx="3">
                <c:v>14.44</c:v>
              </c:pt>
              <c:pt idx="4">
                <c:v>13.28</c:v>
              </c:pt>
            </c:numLit>
          </c:val>
          <c:smooth val="0"/>
          <c:extLst>
            <c:ext xmlns:c16="http://schemas.microsoft.com/office/drawing/2014/chart" uri="{C3380CC4-5D6E-409C-BE32-E72D297353CC}">
              <c16:uniqueId val="{00000004-12A0-B347-940C-65F94D2BCE96}"/>
            </c:ext>
          </c:extLst>
        </c:ser>
        <c:dLbls>
          <c:showLegendKey val="0"/>
          <c:showVal val="0"/>
          <c:showCatName val="0"/>
          <c:showSerName val="0"/>
          <c:showPercent val="0"/>
          <c:showBubbleSize val="0"/>
        </c:dLbls>
        <c:marker val="1"/>
        <c:smooth val="0"/>
        <c:axId val="48650112"/>
        <c:axId val="48672768"/>
      </c:lineChart>
      <c:catAx>
        <c:axId val="48650112"/>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48672768"/>
        <c:crosses val="autoZero"/>
        <c:auto val="1"/>
        <c:lblAlgn val="ctr"/>
        <c:lblOffset val="100"/>
        <c:noMultiLvlLbl val="0"/>
      </c:catAx>
      <c:valAx>
        <c:axId val="48672768"/>
        <c:scaling>
          <c:orientation val="minMax"/>
        </c:scaling>
        <c:delete val="0"/>
        <c:axPos val="l"/>
        <c:majorGridlines>
          <c:spPr>
            <a:ln w="9525">
              <a:solidFill>
                <a:srgbClr val="CCCCCC"/>
              </a:solidFill>
              <a:prstDash val="dash"/>
            </a:ln>
          </c:spPr>
        </c:majorGridlines>
        <c:numFmt formatCode="General" sourceLinked="1"/>
        <c:majorTickMark val="none"/>
        <c:minorTickMark val="none"/>
        <c:tickLblPos val="nextTo"/>
        <c:crossAx val="48650112"/>
        <c:crosses val="autoZero"/>
        <c:crossBetween val="between"/>
      </c:valAx>
    </c:plotArea>
    <c:legend>
      <c:legendPos val="b"/>
      <c:overlay val="0"/>
    </c:legend>
    <c:plotVisOnly val="1"/>
    <c:dispBlanksAs val="zero"/>
    <c:showDLblsOverMax val="1"/>
  </c:chart>
  <c:spPr>
    <a:ln w="9525">
      <a:solidFill>
        <a:srgbClr val="D9D9D9"/>
      </a:solidFill>
      <a:prstDash val="solid"/>
    </a:ln>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Liquidity Ratios Trend</a:t>
            </a:r>
          </a:p>
        </c:rich>
      </c:tx>
      <c:overlay val="0"/>
    </c:title>
    <c:autoTitleDeleted val="0"/>
    <c:plotArea>
      <c:layout/>
      <c:lineChart>
        <c:grouping val="standard"/>
        <c:varyColors val="1"/>
        <c:ser>
          <c:idx val="0"/>
          <c:order val="0"/>
          <c:tx>
            <c:v>Current ratio</c:v>
          </c:tx>
          <c:cat>
            <c:numLit>
              <c:formatCode>General</c:formatCode>
              <c:ptCount val="5"/>
              <c:pt idx="0">
                <c:v>2021</c:v>
              </c:pt>
              <c:pt idx="1">
                <c:v>2022</c:v>
              </c:pt>
              <c:pt idx="2">
                <c:v>2023</c:v>
              </c:pt>
              <c:pt idx="3">
                <c:v>2024</c:v>
              </c:pt>
              <c:pt idx="4">
                <c:v>2025</c:v>
              </c:pt>
            </c:numLit>
          </c:cat>
          <c:val>
            <c:numLit>
              <c:formatCode>General</c:formatCode>
              <c:ptCount val="5"/>
              <c:pt idx="0">
                <c:v>1.06</c:v>
              </c:pt>
              <c:pt idx="1">
                <c:v>1.0900000000000001</c:v>
              </c:pt>
              <c:pt idx="2">
                <c:v>1.1000000000000001</c:v>
              </c:pt>
              <c:pt idx="3">
                <c:v>1.19</c:v>
              </c:pt>
              <c:pt idx="4">
                <c:v>1.26</c:v>
              </c:pt>
            </c:numLit>
          </c:val>
          <c:smooth val="0"/>
          <c:extLst>
            <c:ext xmlns:c16="http://schemas.microsoft.com/office/drawing/2014/chart" uri="{C3380CC4-5D6E-409C-BE32-E72D297353CC}">
              <c16:uniqueId val="{00000000-3E01-4D48-B775-656A9E19C305}"/>
            </c:ext>
          </c:extLst>
        </c:ser>
        <c:ser>
          <c:idx val="1"/>
          <c:order val="1"/>
          <c:tx>
            <c:v>Quick ratio</c:v>
          </c:tx>
          <c:cat>
            <c:numLit>
              <c:formatCode>General</c:formatCode>
              <c:ptCount val="5"/>
              <c:pt idx="0">
                <c:v>2021</c:v>
              </c:pt>
              <c:pt idx="1">
                <c:v>2022</c:v>
              </c:pt>
              <c:pt idx="2">
                <c:v>2023</c:v>
              </c:pt>
              <c:pt idx="3">
                <c:v>2024</c:v>
              </c:pt>
              <c:pt idx="4">
                <c:v>2025</c:v>
              </c:pt>
            </c:numLit>
          </c:cat>
          <c:val>
            <c:numLit>
              <c:formatCode>General</c:formatCode>
              <c:ptCount val="5"/>
              <c:pt idx="0">
                <c:v>0.93</c:v>
              </c:pt>
              <c:pt idx="1">
                <c:v>0.91</c:v>
              </c:pt>
              <c:pt idx="2">
                <c:v>0.93</c:v>
              </c:pt>
              <c:pt idx="3">
                <c:v>1.03</c:v>
              </c:pt>
              <c:pt idx="4">
                <c:v>1.1000000000000001</c:v>
              </c:pt>
            </c:numLit>
          </c:val>
          <c:smooth val="0"/>
          <c:extLst>
            <c:ext xmlns:c16="http://schemas.microsoft.com/office/drawing/2014/chart" uri="{C3380CC4-5D6E-409C-BE32-E72D297353CC}">
              <c16:uniqueId val="{00000001-3E01-4D48-B775-656A9E19C305}"/>
            </c:ext>
          </c:extLst>
        </c:ser>
        <c:ser>
          <c:idx val="2"/>
          <c:order val="2"/>
          <c:tx>
            <c:v>Cash ratio</c:v>
          </c:tx>
          <c:cat>
            <c:numLit>
              <c:formatCode>General</c:formatCode>
              <c:ptCount val="5"/>
              <c:pt idx="0">
                <c:v>2021</c:v>
              </c:pt>
              <c:pt idx="1">
                <c:v>2022</c:v>
              </c:pt>
              <c:pt idx="2">
                <c:v>2023</c:v>
              </c:pt>
              <c:pt idx="3">
                <c:v>2024</c:v>
              </c:pt>
              <c:pt idx="4">
                <c:v>2025</c:v>
              </c:pt>
            </c:numLit>
          </c:cat>
          <c:val>
            <c:numLit>
              <c:formatCode>General</c:formatCode>
              <c:ptCount val="5"/>
              <c:pt idx="0">
                <c:v>0.43</c:v>
              </c:pt>
              <c:pt idx="1">
                <c:v>0.39</c:v>
              </c:pt>
              <c:pt idx="2">
                <c:v>0.39</c:v>
              </c:pt>
              <c:pt idx="3">
                <c:v>0.48</c:v>
              </c:pt>
              <c:pt idx="4">
                <c:v>0.54</c:v>
              </c:pt>
            </c:numLit>
          </c:val>
          <c:smooth val="0"/>
          <c:extLst>
            <c:ext xmlns:c16="http://schemas.microsoft.com/office/drawing/2014/chart" uri="{C3380CC4-5D6E-409C-BE32-E72D297353CC}">
              <c16:uniqueId val="{00000002-3E01-4D48-B775-656A9E19C305}"/>
            </c:ext>
          </c:extLst>
        </c:ser>
        <c:dLbls>
          <c:showLegendKey val="0"/>
          <c:showVal val="0"/>
          <c:showCatName val="0"/>
          <c:showSerName val="0"/>
          <c:showPercent val="0"/>
          <c:showBubbleSize val="0"/>
        </c:dLbls>
        <c:marker val="1"/>
        <c:smooth val="0"/>
        <c:axId val="48650112"/>
        <c:axId val="48672768"/>
      </c:lineChart>
      <c:catAx>
        <c:axId val="48650112"/>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48672768"/>
        <c:crosses val="autoZero"/>
        <c:auto val="1"/>
        <c:lblAlgn val="ctr"/>
        <c:lblOffset val="100"/>
        <c:noMultiLvlLbl val="0"/>
      </c:catAx>
      <c:valAx>
        <c:axId val="48672768"/>
        <c:scaling>
          <c:orientation val="minMax"/>
        </c:scaling>
        <c:delete val="0"/>
        <c:axPos val="l"/>
        <c:majorGridlines>
          <c:spPr>
            <a:ln w="9525">
              <a:solidFill>
                <a:srgbClr val="CCCCCC"/>
              </a:solidFill>
              <a:prstDash val="dash"/>
            </a:ln>
          </c:spPr>
        </c:majorGridlines>
        <c:numFmt formatCode="General" sourceLinked="1"/>
        <c:majorTickMark val="none"/>
        <c:minorTickMark val="none"/>
        <c:tickLblPos val="nextTo"/>
        <c:crossAx val="48650112"/>
        <c:crosses val="autoZero"/>
        <c:crossBetween val="between"/>
      </c:valAx>
    </c:plotArea>
    <c:legend>
      <c:legendPos val="b"/>
      <c:overlay val="0"/>
    </c:legend>
    <c:plotVisOnly val="1"/>
    <c:dispBlanksAs val="zero"/>
    <c:showDLblsOverMax val="1"/>
  </c:chart>
  <c:spPr>
    <a:ln w="9525">
      <a:solidFill>
        <a:srgbClr val="D9D9D9"/>
      </a:solidFill>
      <a:prstDash val="solid"/>
    </a:ln>
  </c:sp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Efficiency Ratios Trend</a:t>
            </a:r>
          </a:p>
        </c:rich>
      </c:tx>
      <c:overlay val="0"/>
    </c:title>
    <c:autoTitleDeleted val="0"/>
    <c:plotArea>
      <c:layout/>
      <c:lineChart>
        <c:grouping val="standard"/>
        <c:varyColors val="1"/>
        <c:ser>
          <c:idx val="0"/>
          <c:order val="0"/>
          <c:tx>
            <c:v>Inventory turnover</c:v>
          </c:tx>
          <c:cat>
            <c:numLit>
              <c:formatCode>General</c:formatCode>
              <c:ptCount val="5"/>
              <c:pt idx="0">
                <c:v>2021</c:v>
              </c:pt>
              <c:pt idx="1">
                <c:v>2022</c:v>
              </c:pt>
              <c:pt idx="2">
                <c:v>2023</c:v>
              </c:pt>
              <c:pt idx="3">
                <c:v>2024</c:v>
              </c:pt>
              <c:pt idx="4">
                <c:v>2025</c:v>
              </c:pt>
            </c:numLit>
          </c:cat>
          <c:val>
            <c:numLit>
              <c:formatCode>General</c:formatCode>
              <c:ptCount val="5"/>
              <c:pt idx="0">
                <c:v>7.74</c:v>
              </c:pt>
              <c:pt idx="1">
                <c:v>6.65</c:v>
              </c:pt>
              <c:pt idx="2">
                <c:v>7.24</c:v>
              </c:pt>
              <c:pt idx="3">
                <c:v>7.75</c:v>
              </c:pt>
              <c:pt idx="4">
                <c:v>8.36</c:v>
              </c:pt>
            </c:numLit>
          </c:val>
          <c:smooth val="0"/>
          <c:extLst>
            <c:ext xmlns:c16="http://schemas.microsoft.com/office/drawing/2014/chart" uri="{C3380CC4-5D6E-409C-BE32-E72D297353CC}">
              <c16:uniqueId val="{00000000-D984-374E-8FB4-CC7903A4E2FF}"/>
            </c:ext>
          </c:extLst>
        </c:ser>
        <c:ser>
          <c:idx val="1"/>
          <c:order val="1"/>
          <c:tx>
            <c:v>Receivables turnover</c:v>
          </c:tx>
          <c:cat>
            <c:numLit>
              <c:formatCode>General</c:formatCode>
              <c:ptCount val="5"/>
              <c:pt idx="0">
                <c:v>2021</c:v>
              </c:pt>
              <c:pt idx="1">
                <c:v>2022</c:v>
              </c:pt>
              <c:pt idx="2">
                <c:v>2023</c:v>
              </c:pt>
              <c:pt idx="3">
                <c:v>2024</c:v>
              </c:pt>
              <c:pt idx="4">
                <c:v>2025</c:v>
              </c:pt>
            </c:numLit>
          </c:cat>
          <c:val>
            <c:numLit>
              <c:formatCode>General</c:formatCode>
              <c:ptCount val="5"/>
              <c:pt idx="0">
                <c:v>2.77</c:v>
              </c:pt>
              <c:pt idx="1">
                <c:v>2.99</c:v>
              </c:pt>
              <c:pt idx="2">
                <c:v>3.08</c:v>
              </c:pt>
              <c:pt idx="3">
                <c:v>3.01</c:v>
              </c:pt>
              <c:pt idx="4">
                <c:v>3.13</c:v>
              </c:pt>
            </c:numLit>
          </c:val>
          <c:smooth val="0"/>
          <c:extLst>
            <c:ext xmlns:c16="http://schemas.microsoft.com/office/drawing/2014/chart" uri="{C3380CC4-5D6E-409C-BE32-E72D297353CC}">
              <c16:uniqueId val="{00000001-D984-374E-8FB4-CC7903A4E2FF}"/>
            </c:ext>
          </c:extLst>
        </c:ser>
        <c:ser>
          <c:idx val="2"/>
          <c:order val="2"/>
          <c:tx>
            <c:v>Total asset turnover</c:v>
          </c:tx>
          <c:cat>
            <c:numLit>
              <c:formatCode>General</c:formatCode>
              <c:ptCount val="5"/>
              <c:pt idx="0">
                <c:v>2021</c:v>
              </c:pt>
              <c:pt idx="1">
                <c:v>2022</c:v>
              </c:pt>
              <c:pt idx="2">
                <c:v>2023</c:v>
              </c:pt>
              <c:pt idx="3">
                <c:v>2024</c:v>
              </c:pt>
              <c:pt idx="4">
                <c:v>2025</c:v>
              </c:pt>
            </c:numLit>
          </c:cat>
          <c:val>
            <c:numLit>
              <c:formatCode>General</c:formatCode>
              <c:ptCount val="5"/>
              <c:pt idx="0">
                <c:v>0.44</c:v>
              </c:pt>
              <c:pt idx="1">
                <c:v>0.46</c:v>
              </c:pt>
              <c:pt idx="2">
                <c:v>0.5</c:v>
              </c:pt>
              <c:pt idx="3">
                <c:v>0.5</c:v>
              </c:pt>
              <c:pt idx="4">
                <c:v>0.51</c:v>
              </c:pt>
            </c:numLit>
          </c:val>
          <c:smooth val="0"/>
          <c:extLst>
            <c:ext xmlns:c16="http://schemas.microsoft.com/office/drawing/2014/chart" uri="{C3380CC4-5D6E-409C-BE32-E72D297353CC}">
              <c16:uniqueId val="{00000002-D984-374E-8FB4-CC7903A4E2FF}"/>
            </c:ext>
          </c:extLst>
        </c:ser>
        <c:ser>
          <c:idx val="3"/>
          <c:order val="3"/>
          <c:tx>
            <c:v>Inventory days</c:v>
          </c:tx>
          <c:cat>
            <c:numLit>
              <c:formatCode>General</c:formatCode>
              <c:ptCount val="5"/>
              <c:pt idx="0">
                <c:v>2021</c:v>
              </c:pt>
              <c:pt idx="1">
                <c:v>2022</c:v>
              </c:pt>
              <c:pt idx="2">
                <c:v>2023</c:v>
              </c:pt>
              <c:pt idx="3">
                <c:v>2024</c:v>
              </c:pt>
              <c:pt idx="4">
                <c:v>2025</c:v>
              </c:pt>
            </c:numLit>
          </c:cat>
          <c:val>
            <c:numLit>
              <c:formatCode>General</c:formatCode>
              <c:ptCount val="5"/>
              <c:pt idx="0">
                <c:v>47.1</c:v>
              </c:pt>
              <c:pt idx="1">
                <c:v>54.9</c:v>
              </c:pt>
              <c:pt idx="2">
                <c:v>50.4</c:v>
              </c:pt>
              <c:pt idx="3">
                <c:v>47.1</c:v>
              </c:pt>
              <c:pt idx="4">
                <c:v>43.7</c:v>
              </c:pt>
            </c:numLit>
          </c:val>
          <c:smooth val="0"/>
          <c:extLst>
            <c:ext xmlns:c16="http://schemas.microsoft.com/office/drawing/2014/chart" uri="{C3380CC4-5D6E-409C-BE32-E72D297353CC}">
              <c16:uniqueId val="{00000003-D984-374E-8FB4-CC7903A4E2FF}"/>
            </c:ext>
          </c:extLst>
        </c:ser>
        <c:ser>
          <c:idx val="4"/>
          <c:order val="4"/>
          <c:tx>
            <c:v>Receivables days</c:v>
          </c:tx>
          <c:cat>
            <c:numLit>
              <c:formatCode>General</c:formatCode>
              <c:ptCount val="5"/>
              <c:pt idx="0">
                <c:v>2021</c:v>
              </c:pt>
              <c:pt idx="1">
                <c:v>2022</c:v>
              </c:pt>
              <c:pt idx="2">
                <c:v>2023</c:v>
              </c:pt>
              <c:pt idx="3">
                <c:v>2024</c:v>
              </c:pt>
              <c:pt idx="4">
                <c:v>2025</c:v>
              </c:pt>
            </c:numLit>
          </c:cat>
          <c:val>
            <c:numLit>
              <c:formatCode>General</c:formatCode>
              <c:ptCount val="5"/>
              <c:pt idx="0">
                <c:v>131.9</c:v>
              </c:pt>
              <c:pt idx="1">
                <c:v>122</c:v>
              </c:pt>
              <c:pt idx="2">
                <c:v>118.7</c:v>
              </c:pt>
              <c:pt idx="3">
                <c:v>121.1</c:v>
              </c:pt>
              <c:pt idx="4">
                <c:v>116.6</c:v>
              </c:pt>
            </c:numLit>
          </c:val>
          <c:smooth val="0"/>
          <c:extLst>
            <c:ext xmlns:c16="http://schemas.microsoft.com/office/drawing/2014/chart" uri="{C3380CC4-5D6E-409C-BE32-E72D297353CC}">
              <c16:uniqueId val="{00000004-D984-374E-8FB4-CC7903A4E2FF}"/>
            </c:ext>
          </c:extLst>
        </c:ser>
        <c:ser>
          <c:idx val="5"/>
          <c:order val="5"/>
          <c:tx>
            <c:v>Payables days</c:v>
          </c:tx>
          <c:cat>
            <c:numLit>
              <c:formatCode>General</c:formatCode>
              <c:ptCount val="5"/>
              <c:pt idx="0">
                <c:v>2021</c:v>
              </c:pt>
              <c:pt idx="1">
                <c:v>2022</c:v>
              </c:pt>
              <c:pt idx="2">
                <c:v>2023</c:v>
              </c:pt>
              <c:pt idx="3">
                <c:v>2024</c:v>
              </c:pt>
              <c:pt idx="4">
                <c:v>2025</c:v>
              </c:pt>
            </c:numLit>
          </c:cat>
          <c:val>
            <c:numLit>
              <c:formatCode>General</c:formatCode>
              <c:ptCount val="5"/>
              <c:pt idx="0">
                <c:v>66.099999999999994</c:v>
              </c:pt>
              <c:pt idx="1">
                <c:v>61.6</c:v>
              </c:pt>
              <c:pt idx="2">
                <c:v>59.1</c:v>
              </c:pt>
              <c:pt idx="3">
                <c:v>53.6</c:v>
              </c:pt>
              <c:pt idx="4">
                <c:v>52.5</c:v>
              </c:pt>
            </c:numLit>
          </c:val>
          <c:smooth val="0"/>
          <c:extLst>
            <c:ext xmlns:c16="http://schemas.microsoft.com/office/drawing/2014/chart" uri="{C3380CC4-5D6E-409C-BE32-E72D297353CC}">
              <c16:uniqueId val="{00000005-D984-374E-8FB4-CC7903A4E2FF}"/>
            </c:ext>
          </c:extLst>
        </c:ser>
        <c:dLbls>
          <c:showLegendKey val="0"/>
          <c:showVal val="0"/>
          <c:showCatName val="0"/>
          <c:showSerName val="0"/>
          <c:showPercent val="0"/>
          <c:showBubbleSize val="0"/>
        </c:dLbls>
        <c:marker val="1"/>
        <c:smooth val="0"/>
        <c:axId val="48650112"/>
        <c:axId val="48672768"/>
      </c:lineChart>
      <c:catAx>
        <c:axId val="48650112"/>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48672768"/>
        <c:crosses val="autoZero"/>
        <c:auto val="1"/>
        <c:lblAlgn val="ctr"/>
        <c:lblOffset val="100"/>
        <c:noMultiLvlLbl val="0"/>
      </c:catAx>
      <c:valAx>
        <c:axId val="48672768"/>
        <c:scaling>
          <c:orientation val="minMax"/>
        </c:scaling>
        <c:delete val="0"/>
        <c:axPos val="l"/>
        <c:majorGridlines>
          <c:spPr>
            <a:ln w="9525">
              <a:solidFill>
                <a:srgbClr val="CCCCCC"/>
              </a:solidFill>
              <a:prstDash val="dash"/>
            </a:ln>
          </c:spPr>
        </c:majorGridlines>
        <c:numFmt formatCode="General" sourceLinked="1"/>
        <c:majorTickMark val="none"/>
        <c:minorTickMark val="none"/>
        <c:tickLblPos val="nextTo"/>
        <c:crossAx val="48650112"/>
        <c:crosses val="autoZero"/>
        <c:crossBetween val="between"/>
      </c:valAx>
    </c:plotArea>
    <c:legend>
      <c:legendPos val="b"/>
      <c:overlay val="0"/>
    </c:legend>
    <c:plotVisOnly val="1"/>
    <c:dispBlanksAs val="zero"/>
    <c:showDLblsOverMax val="1"/>
  </c:chart>
  <c:spPr>
    <a:ln w="9525">
      <a:solidFill>
        <a:srgbClr val="D9D9D9"/>
      </a:solidFill>
      <a:prstDash val="solid"/>
    </a:ln>
  </c:sp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Gearing Ratios Trend</a:t>
            </a:r>
          </a:p>
        </c:rich>
      </c:tx>
      <c:overlay val="0"/>
    </c:title>
    <c:autoTitleDeleted val="0"/>
    <c:plotArea>
      <c:layout/>
      <c:lineChart>
        <c:grouping val="standard"/>
        <c:varyColors val="1"/>
        <c:ser>
          <c:idx val="0"/>
          <c:order val="0"/>
          <c:tx>
            <c:v>Debt to equity</c:v>
          </c:tx>
          <c:cat>
            <c:numLit>
              <c:formatCode>General</c:formatCode>
              <c:ptCount val="5"/>
              <c:pt idx="0">
                <c:v>2021</c:v>
              </c:pt>
              <c:pt idx="1">
                <c:v>2022</c:v>
              </c:pt>
              <c:pt idx="2">
                <c:v>2023</c:v>
              </c:pt>
              <c:pt idx="3">
                <c:v>2024</c:v>
              </c:pt>
              <c:pt idx="4">
                <c:v>2025</c:v>
              </c:pt>
            </c:numLit>
          </c:cat>
          <c:val>
            <c:numLit>
              <c:formatCode>General</c:formatCode>
              <c:ptCount val="5"/>
              <c:pt idx="0">
                <c:v>1.66</c:v>
              </c:pt>
              <c:pt idx="1">
                <c:v>1.58</c:v>
              </c:pt>
              <c:pt idx="2">
                <c:v>1.62</c:v>
              </c:pt>
              <c:pt idx="3">
                <c:v>1.63</c:v>
              </c:pt>
              <c:pt idx="4">
                <c:v>1.61</c:v>
              </c:pt>
            </c:numLit>
          </c:val>
          <c:smooth val="0"/>
          <c:extLst>
            <c:ext xmlns:c16="http://schemas.microsoft.com/office/drawing/2014/chart" uri="{C3380CC4-5D6E-409C-BE32-E72D297353CC}">
              <c16:uniqueId val="{00000000-095E-1049-8A02-11FE7515ADBF}"/>
            </c:ext>
          </c:extLst>
        </c:ser>
        <c:ser>
          <c:idx val="1"/>
          <c:order val="1"/>
          <c:tx>
            <c:v>Debt ratio %</c:v>
          </c:tx>
          <c:cat>
            <c:numLit>
              <c:formatCode>General</c:formatCode>
              <c:ptCount val="5"/>
              <c:pt idx="0">
                <c:v>2021</c:v>
              </c:pt>
              <c:pt idx="1">
                <c:v>2022</c:v>
              </c:pt>
              <c:pt idx="2">
                <c:v>2023</c:v>
              </c:pt>
              <c:pt idx="3">
                <c:v>2024</c:v>
              </c:pt>
              <c:pt idx="4">
                <c:v>2025</c:v>
              </c:pt>
            </c:numLit>
          </c:cat>
          <c:val>
            <c:numLit>
              <c:formatCode>General</c:formatCode>
              <c:ptCount val="5"/>
              <c:pt idx="0">
                <c:v>62.4</c:v>
              </c:pt>
              <c:pt idx="1">
                <c:v>61.22</c:v>
              </c:pt>
              <c:pt idx="2">
                <c:v>61.86</c:v>
              </c:pt>
              <c:pt idx="3">
                <c:v>62.02</c:v>
              </c:pt>
              <c:pt idx="4">
                <c:v>61.62</c:v>
              </c:pt>
            </c:numLit>
          </c:val>
          <c:smooth val="0"/>
          <c:extLst>
            <c:ext xmlns:c16="http://schemas.microsoft.com/office/drawing/2014/chart" uri="{C3380CC4-5D6E-409C-BE32-E72D297353CC}">
              <c16:uniqueId val="{00000001-095E-1049-8A02-11FE7515ADBF}"/>
            </c:ext>
          </c:extLst>
        </c:ser>
        <c:ser>
          <c:idx val="2"/>
          <c:order val="2"/>
          <c:tx>
            <c:v>Net debt to equity</c:v>
          </c:tx>
          <c:cat>
            <c:numLit>
              <c:formatCode>General</c:formatCode>
              <c:ptCount val="5"/>
              <c:pt idx="0">
                <c:v>2021</c:v>
              </c:pt>
              <c:pt idx="1">
                <c:v>2022</c:v>
              </c:pt>
              <c:pt idx="2">
                <c:v>2023</c:v>
              </c:pt>
              <c:pt idx="3">
                <c:v>2024</c:v>
              </c:pt>
              <c:pt idx="4">
                <c:v>2025</c:v>
              </c:pt>
            </c:numLit>
          </c:cat>
          <c:val>
            <c:numLit>
              <c:formatCode>General</c:formatCode>
              <c:ptCount val="5"/>
              <c:pt idx="0">
                <c:v>0.51</c:v>
              </c:pt>
              <c:pt idx="1">
                <c:v>0.52</c:v>
              </c:pt>
              <c:pt idx="2">
                <c:v>0.55000000000000004</c:v>
              </c:pt>
              <c:pt idx="3">
                <c:v>0.5</c:v>
              </c:pt>
              <c:pt idx="4">
                <c:v>0.48</c:v>
              </c:pt>
            </c:numLit>
          </c:val>
          <c:smooth val="0"/>
          <c:extLst>
            <c:ext xmlns:c16="http://schemas.microsoft.com/office/drawing/2014/chart" uri="{C3380CC4-5D6E-409C-BE32-E72D297353CC}">
              <c16:uniqueId val="{00000002-095E-1049-8A02-11FE7515ADBF}"/>
            </c:ext>
          </c:extLst>
        </c:ser>
        <c:dLbls>
          <c:showLegendKey val="0"/>
          <c:showVal val="0"/>
          <c:showCatName val="0"/>
          <c:showSerName val="0"/>
          <c:showPercent val="0"/>
          <c:showBubbleSize val="0"/>
        </c:dLbls>
        <c:marker val="1"/>
        <c:smooth val="0"/>
        <c:axId val="48650112"/>
        <c:axId val="48672768"/>
      </c:lineChart>
      <c:catAx>
        <c:axId val="48650112"/>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48672768"/>
        <c:crosses val="autoZero"/>
        <c:auto val="1"/>
        <c:lblAlgn val="ctr"/>
        <c:lblOffset val="100"/>
        <c:noMultiLvlLbl val="0"/>
      </c:catAx>
      <c:valAx>
        <c:axId val="48672768"/>
        <c:scaling>
          <c:orientation val="minMax"/>
        </c:scaling>
        <c:delete val="0"/>
        <c:axPos val="l"/>
        <c:majorGridlines>
          <c:spPr>
            <a:ln w="9525">
              <a:solidFill>
                <a:srgbClr val="CCCCCC"/>
              </a:solidFill>
              <a:prstDash val="dash"/>
            </a:ln>
          </c:spPr>
        </c:majorGridlines>
        <c:numFmt formatCode="General" sourceLinked="1"/>
        <c:majorTickMark val="none"/>
        <c:minorTickMark val="none"/>
        <c:tickLblPos val="nextTo"/>
        <c:crossAx val="48650112"/>
        <c:crosses val="autoZero"/>
        <c:crossBetween val="between"/>
      </c:valAx>
    </c:plotArea>
    <c:legend>
      <c:legendPos val="b"/>
      <c:overlay val="0"/>
    </c:legend>
    <c:plotVisOnly val="1"/>
    <c:dispBlanksAs val="zero"/>
    <c:showDLblsOverMax val="1"/>
  </c:chart>
  <c:spPr>
    <a:ln w="9525">
      <a:solidFill>
        <a:srgbClr val="D9D9D9"/>
      </a:solidFill>
      <a:prstDash val="solid"/>
    </a:ln>
  </c:sp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Investment Ratios and Indicators Trend</a:t>
            </a:r>
          </a:p>
        </c:rich>
      </c:tx>
      <c:overlay val="0"/>
    </c:title>
    <c:autoTitleDeleted val="0"/>
    <c:plotArea>
      <c:layout/>
      <c:lineChart>
        <c:grouping val="standard"/>
        <c:varyColors val="1"/>
        <c:ser>
          <c:idx val="0"/>
          <c:order val="0"/>
          <c:tx>
            <c:v>Diluted EPS (JPY)</c:v>
          </c:tx>
          <c:cat>
            <c:numLit>
              <c:formatCode>General</c:formatCode>
              <c:ptCount val="5"/>
              <c:pt idx="0">
                <c:v>2021</c:v>
              </c:pt>
              <c:pt idx="1">
                <c:v>2022</c:v>
              </c:pt>
              <c:pt idx="2">
                <c:v>2023</c:v>
              </c:pt>
              <c:pt idx="3">
                <c:v>2024</c:v>
              </c:pt>
              <c:pt idx="4">
                <c:v>2025</c:v>
              </c:pt>
            </c:numLit>
          </c:cat>
          <c:val>
            <c:numLit>
              <c:formatCode>General</c:formatCode>
              <c:ptCount val="5"/>
              <c:pt idx="0">
                <c:v>158.93</c:v>
              </c:pt>
              <c:pt idx="1">
                <c:v>205.23</c:v>
              </c:pt>
              <c:pt idx="2">
                <c:v>179.47</c:v>
              </c:pt>
              <c:pt idx="3">
                <c:v>365.94</c:v>
              </c:pt>
              <c:pt idx="4">
                <c:v>359.56</c:v>
              </c:pt>
            </c:numLit>
          </c:val>
          <c:smooth val="0"/>
          <c:extLst>
            <c:ext xmlns:c16="http://schemas.microsoft.com/office/drawing/2014/chart" uri="{C3380CC4-5D6E-409C-BE32-E72D297353CC}">
              <c16:uniqueId val="{00000000-7DD7-4E42-8CC9-F3376D51D160}"/>
            </c:ext>
          </c:extLst>
        </c:ser>
        <c:ser>
          <c:idx val="1"/>
          <c:order val="1"/>
          <c:tx>
            <c:v>Dividend per share (JPY)</c:v>
          </c:tx>
          <c:cat>
            <c:numLit>
              <c:formatCode>General</c:formatCode>
              <c:ptCount val="5"/>
              <c:pt idx="0">
                <c:v>2021</c:v>
              </c:pt>
              <c:pt idx="1">
                <c:v>2022</c:v>
              </c:pt>
              <c:pt idx="2">
                <c:v>2023</c:v>
              </c:pt>
              <c:pt idx="3">
                <c:v>2024</c:v>
              </c:pt>
              <c:pt idx="4">
                <c:v>2025</c:v>
              </c:pt>
            </c:numLit>
          </c:cat>
          <c:val>
            <c:numLit>
              <c:formatCode>General</c:formatCode>
              <c:ptCount val="5"/>
              <c:pt idx="0">
                <c:v>47</c:v>
              </c:pt>
              <c:pt idx="1">
                <c:v>0</c:v>
              </c:pt>
              <c:pt idx="2">
                <c:v>0</c:v>
              </c:pt>
              <c:pt idx="3">
                <c:v>0</c:v>
              </c:pt>
              <c:pt idx="4">
                <c:v>0</c:v>
              </c:pt>
            </c:numLit>
          </c:val>
          <c:smooth val="0"/>
          <c:extLst>
            <c:ext xmlns:c16="http://schemas.microsoft.com/office/drawing/2014/chart" uri="{C3380CC4-5D6E-409C-BE32-E72D297353CC}">
              <c16:uniqueId val="{00000001-7DD7-4E42-8CC9-F3376D51D160}"/>
            </c:ext>
          </c:extLst>
        </c:ser>
        <c:ser>
          <c:idx val="2"/>
          <c:order val="2"/>
          <c:tx>
            <c:v>Retained earnings (JPY tn)</c:v>
          </c:tx>
          <c:cat>
            <c:numLit>
              <c:formatCode>General</c:formatCode>
              <c:ptCount val="5"/>
              <c:pt idx="0">
                <c:v>2021</c:v>
              </c:pt>
              <c:pt idx="1">
                <c:v>2022</c:v>
              </c:pt>
              <c:pt idx="2">
                <c:v>2023</c:v>
              </c:pt>
              <c:pt idx="3">
                <c:v>2024</c:v>
              </c:pt>
              <c:pt idx="4">
                <c:v>2025</c:v>
              </c:pt>
            </c:numLit>
          </c:cat>
          <c:val>
            <c:numLit>
              <c:formatCode>General</c:formatCode>
              <c:ptCount val="5"/>
              <c:pt idx="0">
                <c:v>24.1</c:v>
              </c:pt>
              <c:pt idx="1">
                <c:v>26.45</c:v>
              </c:pt>
              <c:pt idx="2">
                <c:v>28.34</c:v>
              </c:pt>
              <c:pt idx="3">
                <c:v>32.799999999999997</c:v>
              </c:pt>
              <c:pt idx="4">
                <c:v>35.840000000000003</c:v>
              </c:pt>
            </c:numLit>
          </c:val>
          <c:smooth val="0"/>
          <c:extLst>
            <c:ext xmlns:c16="http://schemas.microsoft.com/office/drawing/2014/chart" uri="{C3380CC4-5D6E-409C-BE32-E72D297353CC}">
              <c16:uniqueId val="{00000002-7DD7-4E42-8CC9-F3376D51D160}"/>
            </c:ext>
          </c:extLst>
        </c:ser>
        <c:ser>
          <c:idx val="3"/>
          <c:order val="3"/>
          <c:tx>
            <c:v>Dividends paid (JPY tn)</c:v>
          </c:tx>
          <c:cat>
            <c:numLit>
              <c:formatCode>General</c:formatCode>
              <c:ptCount val="5"/>
              <c:pt idx="0">
                <c:v>2021</c:v>
              </c:pt>
              <c:pt idx="1">
                <c:v>2022</c:v>
              </c:pt>
              <c:pt idx="2">
                <c:v>2023</c:v>
              </c:pt>
              <c:pt idx="3">
                <c:v>2024</c:v>
              </c:pt>
              <c:pt idx="4">
                <c:v>2025</c:v>
              </c:pt>
            </c:numLit>
          </c:cat>
          <c:val>
            <c:numLit>
              <c:formatCode>General</c:formatCode>
              <c:ptCount val="5"/>
              <c:pt idx="0">
                <c:v>0.63</c:v>
              </c:pt>
              <c:pt idx="1">
                <c:v>0.71</c:v>
              </c:pt>
              <c:pt idx="2">
                <c:v>0.73</c:v>
              </c:pt>
              <c:pt idx="3">
                <c:v>0.88</c:v>
              </c:pt>
              <c:pt idx="4">
                <c:v>1.1299999999999999</c:v>
              </c:pt>
            </c:numLit>
          </c:val>
          <c:smooth val="0"/>
          <c:extLst>
            <c:ext xmlns:c16="http://schemas.microsoft.com/office/drawing/2014/chart" uri="{C3380CC4-5D6E-409C-BE32-E72D297353CC}">
              <c16:uniqueId val="{00000003-7DD7-4E42-8CC9-F3376D51D160}"/>
            </c:ext>
          </c:extLst>
        </c:ser>
        <c:dLbls>
          <c:showLegendKey val="0"/>
          <c:showVal val="0"/>
          <c:showCatName val="0"/>
          <c:showSerName val="0"/>
          <c:showPercent val="0"/>
          <c:showBubbleSize val="0"/>
        </c:dLbls>
        <c:marker val="1"/>
        <c:smooth val="0"/>
        <c:axId val="48650112"/>
        <c:axId val="48672768"/>
      </c:lineChart>
      <c:catAx>
        <c:axId val="48650112"/>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48672768"/>
        <c:crosses val="autoZero"/>
        <c:auto val="1"/>
        <c:lblAlgn val="ctr"/>
        <c:lblOffset val="100"/>
        <c:noMultiLvlLbl val="0"/>
      </c:catAx>
      <c:valAx>
        <c:axId val="48672768"/>
        <c:scaling>
          <c:orientation val="minMax"/>
        </c:scaling>
        <c:delete val="0"/>
        <c:axPos val="l"/>
        <c:majorGridlines>
          <c:spPr>
            <a:ln w="9525">
              <a:solidFill>
                <a:srgbClr val="CCCCCC"/>
              </a:solidFill>
              <a:prstDash val="dash"/>
            </a:ln>
          </c:spPr>
        </c:majorGridlines>
        <c:numFmt formatCode="General" sourceLinked="1"/>
        <c:majorTickMark val="none"/>
        <c:minorTickMark val="none"/>
        <c:tickLblPos val="nextTo"/>
        <c:crossAx val="48650112"/>
        <c:crosses val="autoZero"/>
        <c:crossBetween val="between"/>
      </c:valAx>
    </c:plotArea>
    <c:legend>
      <c:legendPos val="b"/>
      <c:overlay val="0"/>
    </c:legend>
    <c:plotVisOnly val="1"/>
    <c:dispBlanksAs val="zero"/>
    <c:showDLblsOverMax val="1"/>
  </c:chart>
  <c:spPr>
    <a:ln w="9525">
      <a:solidFill>
        <a:srgbClr val="D9D9D9"/>
      </a:solidFill>
      <a:prstDash val="solid"/>
    </a:ln>
  </c:sp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GB"/>
              <a:t>Cash Flow Ratios Trend</a:t>
            </a:r>
          </a:p>
        </c:rich>
      </c:tx>
      <c:overlay val="0"/>
    </c:title>
    <c:autoTitleDeleted val="0"/>
    <c:plotArea>
      <c:layout/>
      <c:lineChart>
        <c:grouping val="standard"/>
        <c:varyColors val="1"/>
        <c:ser>
          <c:idx val="0"/>
          <c:order val="0"/>
          <c:tx>
            <c:v>CFO to current liabilities</c:v>
          </c:tx>
          <c:cat>
            <c:numLit>
              <c:formatCode>General</c:formatCode>
              <c:ptCount val="5"/>
              <c:pt idx="0">
                <c:v>2021</c:v>
              </c:pt>
              <c:pt idx="1">
                <c:v>2022</c:v>
              </c:pt>
              <c:pt idx="2">
                <c:v>2023</c:v>
              </c:pt>
              <c:pt idx="3">
                <c:v>2024</c:v>
              </c:pt>
              <c:pt idx="4">
                <c:v>2025</c:v>
              </c:pt>
            </c:numLit>
          </c:cat>
          <c:val>
            <c:numLit>
              <c:formatCode>General</c:formatCode>
              <c:ptCount val="5"/>
              <c:pt idx="0">
                <c:v>0.13</c:v>
              </c:pt>
              <c:pt idx="1">
                <c:v>0.17</c:v>
              </c:pt>
              <c:pt idx="2">
                <c:v>0.12</c:v>
              </c:pt>
              <c:pt idx="3">
                <c:v>0.14000000000000001</c:v>
              </c:pt>
              <c:pt idx="4">
                <c:v>0.13</c:v>
              </c:pt>
            </c:numLit>
          </c:val>
          <c:smooth val="0"/>
          <c:extLst>
            <c:ext xmlns:c16="http://schemas.microsoft.com/office/drawing/2014/chart" uri="{C3380CC4-5D6E-409C-BE32-E72D297353CC}">
              <c16:uniqueId val="{00000000-5D0D-664E-82D2-635D2B7EAED7}"/>
            </c:ext>
          </c:extLst>
        </c:ser>
        <c:ser>
          <c:idx val="1"/>
          <c:order val="1"/>
          <c:tx>
            <c:v>CFO to debt</c:v>
          </c:tx>
          <c:cat>
            <c:numLit>
              <c:formatCode>General</c:formatCode>
              <c:ptCount val="5"/>
              <c:pt idx="0">
                <c:v>2021</c:v>
              </c:pt>
              <c:pt idx="1">
                <c:v>2022</c:v>
              </c:pt>
              <c:pt idx="2">
                <c:v>2023</c:v>
              </c:pt>
              <c:pt idx="3">
                <c:v>2024</c:v>
              </c:pt>
              <c:pt idx="4">
                <c:v>2025</c:v>
              </c:pt>
            </c:numLit>
          </c:cat>
          <c:val>
            <c:numLit>
              <c:formatCode>General</c:formatCode>
              <c:ptCount val="5"/>
              <c:pt idx="0">
                <c:v>0.11</c:v>
              </c:pt>
              <c:pt idx="1">
                <c:v>0.14000000000000001</c:v>
              </c:pt>
              <c:pt idx="2">
                <c:v>0.1</c:v>
              </c:pt>
              <c:pt idx="3">
                <c:v>0.12</c:v>
              </c:pt>
              <c:pt idx="4">
                <c:v>0.1</c:v>
              </c:pt>
            </c:numLit>
          </c:val>
          <c:smooth val="0"/>
          <c:extLst>
            <c:ext xmlns:c16="http://schemas.microsoft.com/office/drawing/2014/chart" uri="{C3380CC4-5D6E-409C-BE32-E72D297353CC}">
              <c16:uniqueId val="{00000001-5D0D-664E-82D2-635D2B7EAED7}"/>
            </c:ext>
          </c:extLst>
        </c:ser>
        <c:ser>
          <c:idx val="2"/>
          <c:order val="2"/>
          <c:tx>
            <c:v>Free cash flow (JPY tn)</c:v>
          </c:tx>
          <c:cat>
            <c:numLit>
              <c:formatCode>General</c:formatCode>
              <c:ptCount val="5"/>
              <c:pt idx="0">
                <c:v>2021</c:v>
              </c:pt>
              <c:pt idx="1">
                <c:v>2022</c:v>
              </c:pt>
              <c:pt idx="2">
                <c:v>2023</c:v>
              </c:pt>
              <c:pt idx="3">
                <c:v>2024</c:v>
              </c:pt>
              <c:pt idx="4">
                <c:v>2025</c:v>
              </c:pt>
            </c:numLit>
          </c:cat>
          <c:val>
            <c:numLit>
              <c:formatCode>General</c:formatCode>
              <c:ptCount val="5"/>
              <c:pt idx="0">
                <c:v>-1.04</c:v>
              </c:pt>
              <c:pt idx="1">
                <c:v>-0.11</c:v>
              </c:pt>
              <c:pt idx="2">
                <c:v>-0.75</c:v>
              </c:pt>
              <c:pt idx="3">
                <c:v>-0.84</c:v>
              </c:pt>
              <c:pt idx="4">
                <c:v>-1.56</c:v>
              </c:pt>
            </c:numLit>
          </c:val>
          <c:smooth val="0"/>
          <c:extLst>
            <c:ext xmlns:c16="http://schemas.microsoft.com/office/drawing/2014/chart" uri="{C3380CC4-5D6E-409C-BE32-E72D297353CC}">
              <c16:uniqueId val="{00000002-5D0D-664E-82D2-635D2B7EAED7}"/>
            </c:ext>
          </c:extLst>
        </c:ser>
        <c:dLbls>
          <c:showLegendKey val="0"/>
          <c:showVal val="0"/>
          <c:showCatName val="0"/>
          <c:showSerName val="0"/>
          <c:showPercent val="0"/>
          <c:showBubbleSize val="0"/>
        </c:dLbls>
        <c:marker val="1"/>
        <c:smooth val="0"/>
        <c:axId val="48650112"/>
        <c:axId val="48672768"/>
      </c:lineChart>
      <c:catAx>
        <c:axId val="48650112"/>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48672768"/>
        <c:crosses val="autoZero"/>
        <c:auto val="1"/>
        <c:lblAlgn val="ctr"/>
        <c:lblOffset val="100"/>
        <c:noMultiLvlLbl val="0"/>
      </c:catAx>
      <c:valAx>
        <c:axId val="48672768"/>
        <c:scaling>
          <c:orientation val="minMax"/>
        </c:scaling>
        <c:delete val="0"/>
        <c:axPos val="l"/>
        <c:majorGridlines>
          <c:spPr>
            <a:ln w="9525">
              <a:solidFill>
                <a:srgbClr val="CCCCCC"/>
              </a:solidFill>
              <a:prstDash val="dash"/>
            </a:ln>
          </c:spPr>
        </c:majorGridlines>
        <c:numFmt formatCode="General" sourceLinked="1"/>
        <c:majorTickMark val="none"/>
        <c:minorTickMark val="none"/>
        <c:tickLblPos val="nextTo"/>
        <c:crossAx val="48650112"/>
        <c:crosses val="autoZero"/>
        <c:crossBetween val="between"/>
      </c:valAx>
    </c:plotArea>
    <c:legend>
      <c:legendPos val="b"/>
      <c:overlay val="0"/>
    </c:legend>
    <c:plotVisOnly val="1"/>
    <c:dispBlanksAs val="zero"/>
    <c:showDLblsOverMax val="1"/>
  </c:chart>
  <c:spPr>
    <a:ln w="9525">
      <a:solidFill>
        <a:srgbClr val="D9D9D9"/>
      </a:solidFill>
      <a:prstDash val="solid"/>
    </a:ln>
  </c:sp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a:lstStyle/>
          <a:p>
            <a:pPr>
              <a:defRPr sz="1800" b="1" strike="noStrike" spc="-1">
                <a:solidFill>
                  <a:srgbClr val="000000"/>
                </a:solidFill>
                <a:latin typeface="Calibri"/>
              </a:defRPr>
            </a:pPr>
            <a:r>
              <a:rPr lang="en-GB" sz="1800" b="1" strike="noStrike" spc="-1">
                <a:solidFill>
                  <a:srgbClr val="000000"/>
                </a:solidFill>
                <a:latin typeface="Calibri"/>
              </a:rPr>
              <a:t>Cash Operating Cycle 2021–2025 (Days)</a:t>
            </a:r>
          </a:p>
        </c:rich>
      </c:tx>
      <c:overlay val="0"/>
      <c:spPr>
        <a:noFill/>
        <a:ln w="0">
          <a:noFill/>
        </a:ln>
      </c:spPr>
    </c:title>
    <c:autoTitleDeleted val="0"/>
    <c:plotArea>
      <c:layout/>
      <c:lineChart>
        <c:grouping val="standard"/>
        <c:varyColors val="0"/>
        <c:ser>
          <c:idx val="0"/>
          <c:order val="0"/>
          <c:tx>
            <c:v>Cash Operating Cycle</c:v>
          </c:tx>
          <c:spPr>
            <a:ln w="28080">
              <a:solidFill>
                <a:srgbClr val="1F4E79"/>
              </a:solidFill>
              <a:round/>
            </a:ln>
          </c:spPr>
          <c:marker>
            <c:symbol val="circle"/>
            <c:size val="7"/>
            <c:spPr>
              <a:solidFill>
                <a:srgbClr val="1F4E79"/>
              </a:solidFill>
            </c:spPr>
          </c:marker>
          <c:dLbls>
            <c:spPr>
              <a:noFill/>
              <a:ln>
                <a:noFill/>
              </a:ln>
              <a:effectLst/>
            </c:spPr>
            <c:txPr>
              <a:bodyPr wrap="square"/>
              <a:lstStyle/>
              <a:p>
                <a:pPr>
                  <a:defRPr sz="1000" b="0" strike="noStrike" spc="-1">
                    <a:solidFill>
                      <a:srgbClr val="000000"/>
                    </a:solidFill>
                    <a:latin typeface="Arial"/>
                  </a:defRPr>
                </a:pPr>
                <a:endParaRPr lang="en-BD"/>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strRef>
              <c:f>'Working Capital'!$B$4:$F$4</c:f>
              <c:strCache>
                <c:ptCount val="5"/>
                <c:pt idx="0">
                  <c:v>2021</c:v>
                </c:pt>
                <c:pt idx="1">
                  <c:v>2022</c:v>
                </c:pt>
                <c:pt idx="2">
                  <c:v>2023</c:v>
                </c:pt>
                <c:pt idx="3">
                  <c:v>2024</c:v>
                </c:pt>
                <c:pt idx="4">
                  <c:v>2025</c:v>
                </c:pt>
              </c:strCache>
            </c:strRef>
          </c:cat>
          <c:val>
            <c:numRef>
              <c:f>'Working Capital'!$B$14:$F$14</c:f>
              <c:numCache>
                <c:formatCode>#,##0.00</c:formatCode>
                <c:ptCount val="5"/>
                <c:pt idx="0">
                  <c:v>1.32</c:v>
                </c:pt>
                <c:pt idx="1">
                  <c:v>1.88</c:v>
                </c:pt>
                <c:pt idx="2">
                  <c:v>2.5</c:v>
                </c:pt>
                <c:pt idx="3">
                  <c:v>5.53</c:v>
                </c:pt>
                <c:pt idx="4">
                  <c:v>7.65</c:v>
                </c:pt>
              </c:numCache>
            </c:numRef>
          </c:val>
          <c:smooth val="1"/>
          <c:extLst>
            <c:ext xmlns:c16="http://schemas.microsoft.com/office/drawing/2014/chart" uri="{C3380CC4-5D6E-409C-BE32-E72D297353CC}">
              <c16:uniqueId val="{00000000-4237-D44F-83D6-78DC6A590627}"/>
            </c:ext>
          </c:extLst>
        </c:ser>
        <c:dLbls>
          <c:showLegendKey val="0"/>
          <c:showVal val="0"/>
          <c:showCatName val="0"/>
          <c:showSerName val="0"/>
          <c:showPercent val="0"/>
          <c:showBubbleSize val="0"/>
        </c:dLbls>
        <c:hiLowLines>
          <c:spPr>
            <a:ln w="0">
              <a:noFill/>
            </a:ln>
          </c:spPr>
        </c:hiLowLines>
        <c:marker val="1"/>
        <c:smooth val="0"/>
        <c:axId val="75632891"/>
        <c:axId val="26110723"/>
      </c:lineChart>
      <c:catAx>
        <c:axId val="75632891"/>
        <c:scaling>
          <c:orientation val="minMax"/>
        </c:scaling>
        <c:delete val="0"/>
        <c:axPos val="b"/>
        <c:title>
          <c:tx>
            <c:rich>
              <a:bodyPr rot="0"/>
              <a:lstStyle/>
              <a:p>
                <a:pPr>
                  <a:defRPr sz="1000" b="1" strike="noStrike" spc="-1">
                    <a:solidFill>
                      <a:srgbClr val="000000"/>
                    </a:solidFill>
                    <a:latin typeface="Calibri"/>
                  </a:defRPr>
                </a:pPr>
                <a:r>
                  <a:rPr lang="en-GB" sz="1000" b="1" strike="noStrike" spc="-1">
                    <a:solidFill>
                      <a:srgbClr val="000000"/>
                    </a:solidFill>
                    <a:latin typeface="Calibri"/>
                  </a:rPr>
                  <a:t>Year</a:t>
                </a:r>
              </a:p>
            </c:rich>
          </c:tx>
          <c:overlay val="0"/>
          <c:spPr>
            <a:noFill/>
            <a:ln w="0">
              <a:noFill/>
            </a:ln>
          </c:spPr>
        </c:title>
        <c:numFmt formatCode="General"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BD"/>
          </a:p>
        </c:txPr>
        <c:crossAx val="26110723"/>
        <c:crosses val="autoZero"/>
        <c:auto val="1"/>
        <c:lblAlgn val="ctr"/>
        <c:lblOffset val="100"/>
        <c:noMultiLvlLbl val="0"/>
      </c:catAx>
      <c:valAx>
        <c:axId val="26110723"/>
        <c:scaling>
          <c:orientation val="minMax"/>
        </c:scaling>
        <c:delete val="0"/>
        <c:axPos val="l"/>
        <c:majorGridlines>
          <c:spPr>
            <a:ln w="9360">
              <a:solidFill>
                <a:srgbClr val="878787"/>
              </a:solidFill>
              <a:round/>
            </a:ln>
          </c:spPr>
        </c:majorGridlines>
        <c:title>
          <c:tx>
            <c:rich>
              <a:bodyPr rot="-5400000"/>
              <a:lstStyle/>
              <a:p>
                <a:pPr>
                  <a:defRPr sz="1000" b="1" strike="noStrike" spc="-1">
                    <a:solidFill>
                      <a:srgbClr val="000000"/>
                    </a:solidFill>
                    <a:latin typeface="Calibri"/>
                  </a:defRPr>
                </a:pPr>
                <a:r>
                  <a:rPr lang="en-GB" sz="1000" b="1" strike="noStrike" spc="-1">
                    <a:solidFill>
                      <a:srgbClr val="000000"/>
                    </a:solidFill>
                    <a:latin typeface="Calibri"/>
                  </a:rPr>
                  <a:t>Days</a:t>
                </a:r>
              </a:p>
            </c:rich>
          </c:tx>
          <c:overlay val="0"/>
          <c:spPr>
            <a:noFill/>
            <a:ln w="0">
              <a:noFill/>
            </a:ln>
          </c:spPr>
        </c:title>
        <c:numFmt formatCode="#,##0.00"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BD"/>
          </a:p>
        </c:txPr>
        <c:crossAx val="75632891"/>
        <c:crosses val="autoZero"/>
        <c:crossBetween val="between"/>
      </c:valAx>
      <c:spPr>
        <a:noFill/>
        <a:ln w="0">
          <a:noFill/>
        </a:ln>
      </c:spPr>
    </c:plotArea>
    <c:legend>
      <c:legendPos val="r"/>
      <c:overlay val="0"/>
      <c:spPr>
        <a:noFill/>
        <a:ln w="0">
          <a:noFill/>
        </a:ln>
      </c:spPr>
      <c:txPr>
        <a:bodyPr/>
        <a:lstStyle/>
        <a:p>
          <a:pPr>
            <a:defRPr sz="1000" b="0" strike="noStrike" spc="-1">
              <a:solidFill>
                <a:srgbClr val="000000"/>
              </a:solidFill>
              <a:latin typeface="Calibri"/>
            </a:defRPr>
          </a:pPr>
          <a:endParaRPr lang="en-BD"/>
        </a:p>
      </c:txPr>
    </c:legend>
    <c:plotVisOnly val="1"/>
    <c:dispBlanksAs val="gap"/>
    <c:showDLblsOverMax val="1"/>
  </c:chart>
  <c:spPr>
    <a:solidFill>
      <a:srgbClr val="FFFFFF"/>
    </a:solidFill>
    <a:ln w="9360">
      <a:solidFill>
        <a:srgbClr val="D9D9D9"/>
      </a:solidFill>
      <a:round/>
    </a:ln>
  </c:sp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a:lstStyle/>
          <a:p>
            <a:pPr>
              <a:defRPr sz="1800" b="1" strike="noStrike" spc="-1">
                <a:solidFill>
                  <a:srgbClr val="000000"/>
                </a:solidFill>
                <a:latin typeface="Calibri"/>
              </a:defRPr>
            </a:pPr>
            <a:r>
              <a:rPr lang="en-GB" sz="1800" b="1" strike="noStrike" spc="-1">
                <a:solidFill>
                  <a:srgbClr val="000000"/>
                </a:solidFill>
                <a:latin typeface="Calibri"/>
              </a:rPr>
              <a:t>NPV Comparison – Projects A, B, C (£m)</a:t>
            </a:r>
          </a:p>
        </c:rich>
      </c:tx>
      <c:overlay val="0"/>
      <c:spPr>
        <a:noFill/>
        <a:ln w="0">
          <a:noFill/>
        </a:ln>
      </c:spPr>
    </c:title>
    <c:autoTitleDeleted val="0"/>
    <c:plotArea>
      <c:layout/>
      <c:barChart>
        <c:barDir val="col"/>
        <c:grouping val="clustered"/>
        <c:varyColors val="0"/>
        <c:ser>
          <c:idx val="0"/>
          <c:order val="0"/>
          <c:tx>
            <c:strRef>
              <c:f>'Investment Appraisal'!$N$4</c:f>
              <c:strCache>
                <c:ptCount val="1"/>
                <c:pt idx="0">
                  <c:v>NPV (£m)</c:v>
                </c:pt>
              </c:strCache>
            </c:strRef>
          </c:tx>
          <c:spPr>
            <a:solidFill>
              <a:srgbClr val="1F4E79"/>
            </a:solidFill>
            <a:ln w="9360">
              <a:solidFill>
                <a:srgbClr val="F9F9F9"/>
              </a:solidFill>
              <a:round/>
            </a:ln>
          </c:spPr>
          <c:invertIfNegative val="0"/>
          <c:dLbls>
            <c:spPr>
              <a:noFill/>
              <a:ln>
                <a:noFill/>
              </a:ln>
              <a:effectLst/>
            </c:spPr>
            <c:txPr>
              <a:bodyPr wrap="square"/>
              <a:lstStyle/>
              <a:p>
                <a:pPr>
                  <a:defRPr sz="1000" b="0" strike="noStrike" spc="-1">
                    <a:solidFill>
                      <a:srgbClr val="000000"/>
                    </a:solidFill>
                    <a:latin typeface="Arial"/>
                  </a:defRPr>
                </a:pPr>
                <a:endParaRPr lang="en-BD"/>
              </a:p>
            </c:txPr>
            <c:dLblPos val="outEnd"/>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strRef>
              <c:f>'Investment Appraisal'!$M$5:$M$7</c:f>
              <c:strCache>
                <c:ptCount val="3"/>
                <c:pt idx="0">
                  <c:v>Project A</c:v>
                </c:pt>
                <c:pt idx="1">
                  <c:v>Project B</c:v>
                </c:pt>
                <c:pt idx="2">
                  <c:v>Project C</c:v>
                </c:pt>
              </c:strCache>
            </c:strRef>
          </c:cat>
          <c:val>
            <c:numRef>
              <c:f>'Investment Appraisal'!$N$5:$N$7</c:f>
              <c:numCache>
                <c:formatCode>General</c:formatCode>
                <c:ptCount val="3"/>
                <c:pt idx="0">
                  <c:v>-9.68</c:v>
                </c:pt>
                <c:pt idx="1">
                  <c:v>-8.31</c:v>
                </c:pt>
                <c:pt idx="2">
                  <c:v>-2</c:v>
                </c:pt>
              </c:numCache>
            </c:numRef>
          </c:val>
          <c:extLst>
            <c:ext xmlns:c16="http://schemas.microsoft.com/office/drawing/2014/chart" uri="{C3380CC4-5D6E-409C-BE32-E72D297353CC}">
              <c16:uniqueId val="{00000000-785D-ED4B-B7A0-083F969D1C03}"/>
            </c:ext>
          </c:extLst>
        </c:ser>
        <c:dLbls>
          <c:showLegendKey val="0"/>
          <c:showVal val="0"/>
          <c:showCatName val="0"/>
          <c:showSerName val="0"/>
          <c:showPercent val="0"/>
          <c:showBubbleSize val="0"/>
        </c:dLbls>
        <c:gapWidth val="150"/>
        <c:axId val="65480854"/>
        <c:axId val="48100643"/>
      </c:barChart>
      <c:catAx>
        <c:axId val="65480854"/>
        <c:scaling>
          <c:orientation val="minMax"/>
        </c:scaling>
        <c:delete val="0"/>
        <c:axPos val="b"/>
        <c:numFmt formatCode="General"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BD"/>
          </a:p>
        </c:txPr>
        <c:crossAx val="48100643"/>
        <c:crosses val="autoZero"/>
        <c:auto val="1"/>
        <c:lblAlgn val="ctr"/>
        <c:lblOffset val="100"/>
        <c:noMultiLvlLbl val="0"/>
      </c:catAx>
      <c:valAx>
        <c:axId val="48100643"/>
        <c:scaling>
          <c:orientation val="minMax"/>
        </c:scaling>
        <c:delete val="0"/>
        <c:axPos val="l"/>
        <c:majorGridlines>
          <c:spPr>
            <a:ln w="9360">
              <a:solidFill>
                <a:srgbClr val="878787"/>
              </a:solidFill>
              <a:round/>
            </a:ln>
          </c:spPr>
        </c:majorGridlines>
        <c:title>
          <c:tx>
            <c:rich>
              <a:bodyPr rot="-5400000"/>
              <a:lstStyle/>
              <a:p>
                <a:pPr>
                  <a:defRPr sz="1000" b="1" strike="noStrike" spc="-1">
                    <a:solidFill>
                      <a:srgbClr val="000000"/>
                    </a:solidFill>
                    <a:latin typeface="Calibri"/>
                  </a:defRPr>
                </a:pPr>
                <a:r>
                  <a:rPr lang="en-GB" sz="1000" b="1" strike="noStrike" spc="-1">
                    <a:solidFill>
                      <a:srgbClr val="000000"/>
                    </a:solidFill>
                    <a:latin typeface="Calibri"/>
                  </a:rPr>
                  <a:t>£ million</a:t>
                </a:r>
              </a:p>
            </c:rich>
          </c:tx>
          <c:overlay val="0"/>
          <c:spPr>
            <a:noFill/>
            <a:ln w="0">
              <a:noFill/>
            </a:ln>
          </c:spPr>
        </c:title>
        <c:numFmt formatCode="General"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BD"/>
          </a:p>
        </c:txPr>
        <c:crossAx val="65480854"/>
        <c:crosses val="autoZero"/>
        <c:crossBetween val="between"/>
      </c:valAx>
      <c:spPr>
        <a:noFill/>
        <a:ln w="0">
          <a:noFill/>
        </a:ln>
      </c:spPr>
    </c:plotArea>
    <c:legend>
      <c:legendPos val="r"/>
      <c:overlay val="0"/>
      <c:spPr>
        <a:noFill/>
        <a:ln w="0">
          <a:noFill/>
        </a:ln>
      </c:spPr>
      <c:txPr>
        <a:bodyPr/>
        <a:lstStyle/>
        <a:p>
          <a:pPr>
            <a:defRPr sz="1000" b="0" strike="noStrike" spc="-1">
              <a:solidFill>
                <a:srgbClr val="000000"/>
              </a:solidFill>
              <a:latin typeface="Calibri"/>
            </a:defRPr>
          </a:pPr>
          <a:endParaRPr lang="en-BD"/>
        </a:p>
      </c:txPr>
    </c:legend>
    <c:plotVisOnly val="1"/>
    <c:dispBlanksAs val="gap"/>
    <c:showDLblsOverMax val="1"/>
  </c:chart>
  <c:spPr>
    <a:solidFill>
      <a:srgbClr val="FFFFFF"/>
    </a:solidFill>
    <a:ln w="9360">
      <a:solidFill>
        <a:srgbClr val="D9D9D9"/>
      </a:solidFill>
      <a:round/>
    </a:ln>
  </c:sp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a:lstStyle/>
          <a:p>
            <a:pPr>
              <a:defRPr sz="1800" b="1" strike="noStrike" spc="-1">
                <a:solidFill>
                  <a:srgbClr val="000000"/>
                </a:solidFill>
                <a:latin typeface="Calibri"/>
              </a:defRPr>
            </a:pPr>
            <a:r>
              <a:rPr lang="en-GB" sz="1800" b="1" strike="noStrike" spc="-1">
                <a:solidFill>
                  <a:srgbClr val="000000"/>
                </a:solidFill>
                <a:latin typeface="Calibri"/>
              </a:rPr>
              <a:t>Cumulative Cash Flows – Payback Visualisation (£m)</a:t>
            </a:r>
          </a:p>
        </c:rich>
      </c:tx>
      <c:overlay val="0"/>
      <c:spPr>
        <a:noFill/>
        <a:ln w="0">
          <a:noFill/>
        </a:ln>
      </c:spPr>
    </c:title>
    <c:autoTitleDeleted val="0"/>
    <c:plotArea>
      <c:layout/>
      <c:lineChart>
        <c:grouping val="standard"/>
        <c:varyColors val="0"/>
        <c:ser>
          <c:idx val="0"/>
          <c:order val="0"/>
          <c:tx>
            <c:v>Project A</c:v>
          </c:tx>
          <c:spPr>
            <a:ln w="21960">
              <a:solidFill>
                <a:srgbClr val="1F4E79"/>
              </a:solidFill>
              <a:round/>
            </a:ln>
          </c:spPr>
          <c:marker>
            <c:symbol val="circle"/>
            <c:size val="5"/>
            <c:spPr>
              <a:solidFill>
                <a:srgbClr val="1F4E79"/>
              </a:solidFill>
            </c:spPr>
          </c:marker>
          <c:dLbls>
            <c:spPr>
              <a:noFill/>
              <a:ln>
                <a:noFill/>
              </a:ln>
              <a:effectLst/>
            </c:spPr>
            <c:txPr>
              <a:bodyPr wrap="square"/>
              <a:lstStyle/>
              <a:p>
                <a:pPr>
                  <a:defRPr sz="1000" b="0" strike="noStrike" spc="-1">
                    <a:solidFill>
                      <a:srgbClr val="000000"/>
                    </a:solidFill>
                    <a:latin typeface="Arial"/>
                  </a:defRPr>
                </a:pPr>
                <a:endParaRPr lang="en-BD"/>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numRef>
              <c:f>'Investment Appraisal'!$N$22:$S$22</c:f>
              <c:numCache>
                <c:formatCode>General</c:formatCode>
                <c:ptCount val="6"/>
                <c:pt idx="0">
                  <c:v>0</c:v>
                </c:pt>
                <c:pt idx="1">
                  <c:v>1</c:v>
                </c:pt>
                <c:pt idx="2">
                  <c:v>2</c:v>
                </c:pt>
                <c:pt idx="3">
                  <c:v>3</c:v>
                </c:pt>
                <c:pt idx="4">
                  <c:v>4</c:v>
                </c:pt>
                <c:pt idx="5">
                  <c:v>5</c:v>
                </c:pt>
              </c:numCache>
            </c:numRef>
          </c:cat>
          <c:val>
            <c:numRef>
              <c:f>'Investment Appraisal'!$N$23:$S$23</c:f>
              <c:numCache>
                <c:formatCode>General</c:formatCode>
                <c:ptCount val="6"/>
                <c:pt idx="0">
                  <c:v>-50</c:v>
                </c:pt>
                <c:pt idx="1">
                  <c:v>-40</c:v>
                </c:pt>
                <c:pt idx="2">
                  <c:v>-28</c:v>
                </c:pt>
                <c:pt idx="3">
                  <c:v>-14</c:v>
                </c:pt>
                <c:pt idx="4">
                  <c:v>-4</c:v>
                </c:pt>
                <c:pt idx="5">
                  <c:v>4</c:v>
                </c:pt>
              </c:numCache>
            </c:numRef>
          </c:val>
          <c:smooth val="1"/>
          <c:extLst>
            <c:ext xmlns:c16="http://schemas.microsoft.com/office/drawing/2014/chart" uri="{C3380CC4-5D6E-409C-BE32-E72D297353CC}">
              <c16:uniqueId val="{00000000-D4C4-8748-AD87-ED1F81D7E700}"/>
            </c:ext>
          </c:extLst>
        </c:ser>
        <c:ser>
          <c:idx val="1"/>
          <c:order val="1"/>
          <c:tx>
            <c:v>Project B</c:v>
          </c:tx>
          <c:spPr>
            <a:ln w="21960">
              <a:solidFill>
                <a:srgbClr val="ED7D31"/>
              </a:solidFill>
              <a:round/>
            </a:ln>
          </c:spPr>
          <c:marker>
            <c:symbol val="circle"/>
            <c:size val="5"/>
            <c:spPr>
              <a:solidFill>
                <a:srgbClr val="ED7D31"/>
              </a:solidFill>
            </c:spPr>
          </c:marker>
          <c:dLbls>
            <c:spPr>
              <a:noFill/>
              <a:ln>
                <a:noFill/>
              </a:ln>
              <a:effectLst/>
            </c:spPr>
            <c:txPr>
              <a:bodyPr wrap="square"/>
              <a:lstStyle/>
              <a:p>
                <a:pPr>
                  <a:defRPr sz="1000" b="0" strike="noStrike" spc="-1">
                    <a:solidFill>
                      <a:srgbClr val="000000"/>
                    </a:solidFill>
                    <a:latin typeface="Arial"/>
                  </a:defRPr>
                </a:pPr>
                <a:endParaRPr lang="en-BD"/>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numRef>
              <c:f>'Investment Appraisal'!$N$22:$S$22</c:f>
              <c:numCache>
                <c:formatCode>General</c:formatCode>
                <c:ptCount val="6"/>
                <c:pt idx="0">
                  <c:v>0</c:v>
                </c:pt>
                <c:pt idx="1">
                  <c:v>1</c:v>
                </c:pt>
                <c:pt idx="2">
                  <c:v>2</c:v>
                </c:pt>
                <c:pt idx="3">
                  <c:v>3</c:v>
                </c:pt>
                <c:pt idx="4">
                  <c:v>4</c:v>
                </c:pt>
                <c:pt idx="5">
                  <c:v>5</c:v>
                </c:pt>
              </c:numCache>
            </c:numRef>
          </c:cat>
          <c:val>
            <c:numRef>
              <c:f>'Investment Appraisal'!$N$24:$S$24</c:f>
              <c:numCache>
                <c:formatCode>General</c:formatCode>
                <c:ptCount val="6"/>
                <c:pt idx="0">
                  <c:v>-50</c:v>
                </c:pt>
                <c:pt idx="1">
                  <c:v>-39</c:v>
                </c:pt>
                <c:pt idx="2">
                  <c:v>-28</c:v>
                </c:pt>
                <c:pt idx="3">
                  <c:v>-17</c:v>
                </c:pt>
                <c:pt idx="4">
                  <c:v>-6</c:v>
                </c:pt>
                <c:pt idx="5">
                  <c:v>5</c:v>
                </c:pt>
              </c:numCache>
            </c:numRef>
          </c:val>
          <c:smooth val="1"/>
          <c:extLst>
            <c:ext xmlns:c16="http://schemas.microsoft.com/office/drawing/2014/chart" uri="{C3380CC4-5D6E-409C-BE32-E72D297353CC}">
              <c16:uniqueId val="{00000001-D4C4-8748-AD87-ED1F81D7E700}"/>
            </c:ext>
          </c:extLst>
        </c:ser>
        <c:ser>
          <c:idx val="2"/>
          <c:order val="2"/>
          <c:tx>
            <c:v>Project C</c:v>
          </c:tx>
          <c:spPr>
            <a:ln w="21960">
              <a:solidFill>
                <a:srgbClr val="70AD47"/>
              </a:solidFill>
              <a:round/>
            </a:ln>
          </c:spPr>
          <c:marker>
            <c:symbol val="circle"/>
            <c:size val="5"/>
            <c:spPr>
              <a:solidFill>
                <a:srgbClr val="70AD47"/>
              </a:solidFill>
            </c:spPr>
          </c:marker>
          <c:dLbls>
            <c:spPr>
              <a:noFill/>
              <a:ln>
                <a:noFill/>
              </a:ln>
              <a:effectLst/>
            </c:spPr>
            <c:txPr>
              <a:bodyPr wrap="square"/>
              <a:lstStyle/>
              <a:p>
                <a:pPr>
                  <a:defRPr sz="1000" b="0" strike="noStrike" spc="-1">
                    <a:solidFill>
                      <a:srgbClr val="000000"/>
                    </a:solidFill>
                    <a:latin typeface="Arial"/>
                  </a:defRPr>
                </a:pPr>
                <a:endParaRPr lang="en-BD"/>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1"/>
              </c:ext>
            </c:extLst>
          </c:dLbls>
          <c:cat>
            <c:numRef>
              <c:f>'Investment Appraisal'!$N$22:$S$22</c:f>
              <c:numCache>
                <c:formatCode>General</c:formatCode>
                <c:ptCount val="6"/>
                <c:pt idx="0">
                  <c:v>0</c:v>
                </c:pt>
                <c:pt idx="1">
                  <c:v>1</c:v>
                </c:pt>
                <c:pt idx="2">
                  <c:v>2</c:v>
                </c:pt>
                <c:pt idx="3">
                  <c:v>3</c:v>
                </c:pt>
                <c:pt idx="4">
                  <c:v>4</c:v>
                </c:pt>
                <c:pt idx="5">
                  <c:v>5</c:v>
                </c:pt>
              </c:numCache>
            </c:numRef>
          </c:cat>
          <c:val>
            <c:numRef>
              <c:f>'Investment Appraisal'!$N$25:$S$25</c:f>
              <c:numCache>
                <c:formatCode>General</c:formatCode>
                <c:ptCount val="6"/>
                <c:pt idx="0">
                  <c:v>-50</c:v>
                </c:pt>
                <c:pt idx="1">
                  <c:v>-45</c:v>
                </c:pt>
                <c:pt idx="2">
                  <c:v>-35</c:v>
                </c:pt>
                <c:pt idx="3">
                  <c:v>-15</c:v>
                </c:pt>
                <c:pt idx="4">
                  <c:v>10</c:v>
                </c:pt>
                <c:pt idx="5">
                  <c:v>15</c:v>
                </c:pt>
              </c:numCache>
            </c:numRef>
          </c:val>
          <c:smooth val="1"/>
          <c:extLst>
            <c:ext xmlns:c16="http://schemas.microsoft.com/office/drawing/2014/chart" uri="{C3380CC4-5D6E-409C-BE32-E72D297353CC}">
              <c16:uniqueId val="{00000002-D4C4-8748-AD87-ED1F81D7E700}"/>
            </c:ext>
          </c:extLst>
        </c:ser>
        <c:dLbls>
          <c:showLegendKey val="0"/>
          <c:showVal val="0"/>
          <c:showCatName val="0"/>
          <c:showSerName val="0"/>
          <c:showPercent val="0"/>
          <c:showBubbleSize val="0"/>
        </c:dLbls>
        <c:hiLowLines>
          <c:spPr>
            <a:ln w="0">
              <a:noFill/>
            </a:ln>
          </c:spPr>
        </c:hiLowLines>
        <c:marker val="1"/>
        <c:smooth val="0"/>
        <c:axId val="47760434"/>
        <c:axId val="23046116"/>
      </c:lineChart>
      <c:catAx>
        <c:axId val="47760434"/>
        <c:scaling>
          <c:orientation val="minMax"/>
        </c:scaling>
        <c:delete val="0"/>
        <c:axPos val="b"/>
        <c:title>
          <c:tx>
            <c:rich>
              <a:bodyPr rot="0"/>
              <a:lstStyle/>
              <a:p>
                <a:pPr>
                  <a:defRPr sz="1000" b="1" strike="noStrike" spc="-1">
                    <a:solidFill>
                      <a:srgbClr val="000000"/>
                    </a:solidFill>
                    <a:latin typeface="Calibri"/>
                  </a:defRPr>
                </a:pPr>
                <a:r>
                  <a:rPr lang="en-GB" sz="1000" b="1" strike="noStrike" spc="-1">
                    <a:solidFill>
                      <a:srgbClr val="000000"/>
                    </a:solidFill>
                    <a:latin typeface="Calibri"/>
                  </a:rPr>
                  <a:t>Year</a:t>
                </a:r>
              </a:p>
            </c:rich>
          </c:tx>
          <c:overlay val="0"/>
          <c:spPr>
            <a:noFill/>
            <a:ln w="0">
              <a:noFill/>
            </a:ln>
          </c:spPr>
        </c:title>
        <c:numFmt formatCode="General"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BD"/>
          </a:p>
        </c:txPr>
        <c:crossAx val="23046116"/>
        <c:crosses val="autoZero"/>
        <c:auto val="1"/>
        <c:lblAlgn val="ctr"/>
        <c:lblOffset val="100"/>
        <c:noMultiLvlLbl val="0"/>
      </c:catAx>
      <c:valAx>
        <c:axId val="23046116"/>
        <c:scaling>
          <c:orientation val="minMax"/>
        </c:scaling>
        <c:delete val="0"/>
        <c:axPos val="l"/>
        <c:majorGridlines>
          <c:spPr>
            <a:ln w="9360">
              <a:solidFill>
                <a:srgbClr val="878787"/>
              </a:solidFill>
              <a:round/>
            </a:ln>
          </c:spPr>
        </c:majorGridlines>
        <c:title>
          <c:tx>
            <c:rich>
              <a:bodyPr rot="-5400000"/>
              <a:lstStyle/>
              <a:p>
                <a:pPr>
                  <a:defRPr sz="1000" b="1" strike="noStrike" spc="-1">
                    <a:solidFill>
                      <a:srgbClr val="000000"/>
                    </a:solidFill>
                    <a:latin typeface="Calibri"/>
                  </a:defRPr>
                </a:pPr>
                <a:r>
                  <a:rPr lang="en-GB" sz="1000" b="1" strike="noStrike" spc="-1">
                    <a:solidFill>
                      <a:srgbClr val="000000"/>
                    </a:solidFill>
                    <a:latin typeface="Calibri"/>
                  </a:rPr>
                  <a:t>Cumulative CF (£m)</a:t>
                </a:r>
              </a:p>
            </c:rich>
          </c:tx>
          <c:overlay val="0"/>
          <c:spPr>
            <a:noFill/>
            <a:ln w="0">
              <a:noFill/>
            </a:ln>
          </c:spPr>
        </c:title>
        <c:numFmt formatCode="General"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BD"/>
          </a:p>
        </c:txPr>
        <c:crossAx val="47760434"/>
        <c:crosses val="autoZero"/>
        <c:crossBetween val="between"/>
      </c:valAx>
      <c:spPr>
        <a:noFill/>
        <a:ln w="0">
          <a:noFill/>
        </a:ln>
      </c:spPr>
    </c:plotArea>
    <c:legend>
      <c:legendPos val="b"/>
      <c:overlay val="0"/>
      <c:spPr>
        <a:noFill/>
        <a:ln w="0">
          <a:noFill/>
        </a:ln>
      </c:spPr>
      <c:txPr>
        <a:bodyPr/>
        <a:lstStyle/>
        <a:p>
          <a:pPr>
            <a:defRPr sz="1000" b="0" strike="noStrike" spc="-1">
              <a:solidFill>
                <a:srgbClr val="000000"/>
              </a:solidFill>
              <a:latin typeface="Calibri"/>
            </a:defRPr>
          </a:pPr>
          <a:endParaRPr lang="en-BD"/>
        </a:p>
      </c:txPr>
    </c:legend>
    <c:plotVisOnly val="1"/>
    <c:dispBlanksAs val="gap"/>
    <c:showDLblsOverMax val="1"/>
  </c:chart>
  <c:spPr>
    <a:solidFill>
      <a:srgbClr val="FFFFFF"/>
    </a:solidFill>
    <a:ln w="9360">
      <a:solidFill>
        <a:srgbClr val="D9D9D9"/>
      </a:solidFill>
      <a:round/>
    </a:ln>
  </c:sp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Profitability Index by Combination</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BD"/>
        </a:p>
      </c:txPr>
    </c:title>
    <c:autoTitleDeleted val="0"/>
    <c:plotArea>
      <c:layout/>
      <c:barChart>
        <c:barDir val="bar"/>
        <c:grouping val="clustered"/>
        <c:varyColors val="0"/>
        <c:ser>
          <c:idx val="0"/>
          <c:order val="0"/>
          <c:tx>
            <c:strRef>
              <c:f>'Capital Rationing'!$I$3</c:f>
              <c:strCache>
                <c:ptCount val="1"/>
                <c:pt idx="0">
                  <c:v>PI</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BD"/>
              </a:p>
            </c:txPr>
            <c:dLblPos val="inEnd"/>
            <c:showLegendKey val="0"/>
            <c:showVal val="1"/>
            <c:showCatName val="0"/>
            <c:showSerName val="0"/>
            <c:showPercent val="0"/>
            <c:showBubbleSize val="1"/>
            <c:separator>; </c:separator>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'Capital Rationing'!$H$4:$H$10</c:f>
              <c:strCache>
                <c:ptCount val="7"/>
                <c:pt idx="0">
                  <c:v>Project C only</c:v>
                </c:pt>
                <c:pt idx="1">
                  <c:v>Project B only</c:v>
                </c:pt>
                <c:pt idx="2">
                  <c:v>Project A only</c:v>
                </c:pt>
                <c:pt idx="3">
                  <c:v>Projects B + C</c:v>
                </c:pt>
                <c:pt idx="4">
                  <c:v>Projects A + C</c:v>
                </c:pt>
                <c:pt idx="5">
                  <c:v>Projects A + B</c:v>
                </c:pt>
                <c:pt idx="6">
                  <c:v>All Three A+B+C</c:v>
                </c:pt>
              </c:strCache>
            </c:strRef>
          </c:cat>
          <c:val>
            <c:numRef>
              <c:f>'Capital Rationing'!$I$4:$I$10</c:f>
              <c:numCache>
                <c:formatCode>General</c:formatCode>
                <c:ptCount val="7"/>
                <c:pt idx="0">
                  <c:v>-0.04</c:v>
                </c:pt>
                <c:pt idx="1">
                  <c:v>-0.16600000000000001</c:v>
                </c:pt>
                <c:pt idx="2">
                  <c:v>-0.19400000000000001</c:v>
                </c:pt>
                <c:pt idx="3">
                  <c:v>-0.10299999999999999</c:v>
                </c:pt>
                <c:pt idx="4">
                  <c:v>-0.11700000000000001</c:v>
                </c:pt>
                <c:pt idx="5">
                  <c:v>-0.18</c:v>
                </c:pt>
                <c:pt idx="6">
                  <c:v>-0.13300000000000001</c:v>
                </c:pt>
              </c:numCache>
            </c:numRef>
          </c:val>
          <c:extLst>
            <c:ext xmlns:c16="http://schemas.microsoft.com/office/drawing/2014/chart" uri="{C3380CC4-5D6E-409C-BE32-E72D297353CC}">
              <c16:uniqueId val="{00000000-5EA7-D844-9162-B23B6C6BCCF4}"/>
            </c:ext>
          </c:extLst>
        </c:ser>
        <c:dLbls>
          <c:dLblPos val="inEnd"/>
          <c:showLegendKey val="0"/>
          <c:showVal val="1"/>
          <c:showCatName val="0"/>
          <c:showSerName val="0"/>
          <c:showPercent val="0"/>
          <c:showBubbleSize val="0"/>
        </c:dLbls>
        <c:gapWidth val="65"/>
        <c:axId val="19504994"/>
        <c:axId val="10410397"/>
      </c:barChart>
      <c:catAx>
        <c:axId val="19504994"/>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PI</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BD"/>
            </a:p>
          </c:txPr>
        </c:title>
        <c:numFmt formatCode="General" sourceLinked="0"/>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BD"/>
          </a:p>
        </c:txPr>
        <c:crossAx val="10410397"/>
        <c:crosses val="autoZero"/>
        <c:auto val="1"/>
        <c:lblAlgn val="ctr"/>
        <c:lblOffset val="100"/>
        <c:noMultiLvlLbl val="0"/>
      </c:catAx>
      <c:valAx>
        <c:axId val="10410397"/>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BD"/>
          </a:p>
        </c:txPr>
        <c:crossAx val="19504994"/>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BD"/>
        </a:p>
      </c:txPr>
    </c:legend>
    <c:plotVisOnly val="1"/>
    <c:dispBlanksAs val="gap"/>
    <c:showDLblsOverMax val="1"/>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BD"/>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7627</Words>
  <Characters>43478</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51003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ABDUL HAKIM</cp:lastModifiedBy>
  <cp:revision>2</cp:revision>
  <dcterms:created xsi:type="dcterms:W3CDTF">2026-04-22T17:15:00Z</dcterms:created>
  <dcterms:modified xsi:type="dcterms:W3CDTF">2026-04-22T17:15:00Z</dcterms:modified>
  <cp:category/>
</cp:coreProperties>
</file>