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9A042" w14:textId="77777777" w:rsidR="00352428" w:rsidRPr="007811BF" w:rsidRDefault="00352428" w:rsidP="00352428">
      <w:pPr>
        <w:spacing w:line="360" w:lineRule="auto"/>
        <w:jc w:val="both"/>
        <w:rPr>
          <w:rFonts w:ascii="Arial" w:hAnsi="Arial" w:cs="Arial"/>
          <w:sz w:val="22"/>
          <w:szCs w:val="22"/>
        </w:rPr>
      </w:pPr>
      <w:r w:rsidRPr="007811BF">
        <w:rPr>
          <w:rFonts w:ascii="Arial" w:hAnsi="Arial" w:cs="Arial"/>
          <w:noProof/>
          <w:sz w:val="22"/>
          <w:szCs w:val="22"/>
        </w:rPr>
        <w:drawing>
          <wp:anchor distT="0" distB="0" distL="114300" distR="114300" simplePos="0" relativeHeight="251659264" behindDoc="0" locked="0" layoutInCell="1" allowOverlap="1" wp14:anchorId="38AE2F6D" wp14:editId="0D5E4776">
            <wp:simplePos x="0" y="0"/>
            <wp:positionH relativeFrom="margin">
              <wp:align>left</wp:align>
            </wp:positionH>
            <wp:positionV relativeFrom="paragraph">
              <wp:posOffset>244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B95FA23" w14:textId="77777777" w:rsidR="00352428" w:rsidRPr="007811BF" w:rsidRDefault="00352428" w:rsidP="00352428">
      <w:pPr>
        <w:spacing w:line="360" w:lineRule="auto"/>
        <w:jc w:val="both"/>
        <w:rPr>
          <w:rFonts w:ascii="Arial" w:hAnsi="Arial" w:cs="Arial"/>
          <w:sz w:val="22"/>
          <w:szCs w:val="22"/>
        </w:rPr>
      </w:pPr>
    </w:p>
    <w:p w14:paraId="73A9FBB6" w14:textId="77777777" w:rsidR="00352428" w:rsidRPr="007811BF" w:rsidRDefault="00352428" w:rsidP="00352428">
      <w:pPr>
        <w:spacing w:line="360" w:lineRule="auto"/>
        <w:jc w:val="both"/>
        <w:rPr>
          <w:rFonts w:ascii="Arial" w:hAnsi="Arial" w:cs="Arial"/>
          <w:sz w:val="22"/>
          <w:szCs w:val="22"/>
        </w:rPr>
      </w:pPr>
    </w:p>
    <w:p w14:paraId="5B2A5DA4" w14:textId="77777777" w:rsidR="00352428" w:rsidRPr="007811BF" w:rsidRDefault="00352428" w:rsidP="00352428">
      <w:pPr>
        <w:spacing w:line="360" w:lineRule="auto"/>
        <w:jc w:val="both"/>
        <w:rPr>
          <w:rFonts w:ascii="Arial" w:hAnsi="Arial" w:cs="Arial"/>
          <w:sz w:val="22"/>
          <w:szCs w:val="22"/>
        </w:rPr>
      </w:pPr>
      <w:r w:rsidRPr="007811BF">
        <w:rPr>
          <w:rFonts w:ascii="Arial" w:hAnsi="Arial" w:cs="Arial"/>
          <w:sz w:val="22"/>
          <w:szCs w:val="22"/>
        </w:rPr>
        <w:t>Module Name</w:t>
      </w:r>
      <w:r w:rsidRPr="007811BF">
        <w:rPr>
          <w:rFonts w:ascii="Arial" w:hAnsi="Arial" w:cs="Arial"/>
          <w:sz w:val="22"/>
          <w:szCs w:val="22"/>
        </w:rPr>
        <w:tab/>
      </w:r>
      <w:r w:rsidRPr="007811BF">
        <w:rPr>
          <w:rFonts w:ascii="Arial" w:hAnsi="Arial" w:cs="Arial"/>
          <w:sz w:val="22"/>
          <w:szCs w:val="22"/>
        </w:rPr>
        <w:tab/>
        <w:t>-</w:t>
      </w:r>
      <w:r w:rsidRPr="007811BF">
        <w:rPr>
          <w:rFonts w:ascii="Arial" w:hAnsi="Arial" w:cs="Arial"/>
          <w:sz w:val="22"/>
          <w:szCs w:val="22"/>
        </w:rPr>
        <w:tab/>
        <w:t>Introduction to Health and Social Care</w:t>
      </w:r>
    </w:p>
    <w:p w14:paraId="03574568" w14:textId="77777777" w:rsidR="00352428" w:rsidRPr="007811BF" w:rsidRDefault="00352428" w:rsidP="00352428">
      <w:pPr>
        <w:spacing w:line="360" w:lineRule="auto"/>
        <w:jc w:val="both"/>
        <w:rPr>
          <w:rFonts w:ascii="Arial" w:hAnsi="Arial" w:cs="Arial"/>
          <w:sz w:val="22"/>
          <w:szCs w:val="22"/>
        </w:rPr>
      </w:pPr>
      <w:r w:rsidRPr="007811BF">
        <w:rPr>
          <w:rFonts w:ascii="Arial" w:hAnsi="Arial" w:cs="Arial"/>
          <w:sz w:val="22"/>
          <w:szCs w:val="22"/>
        </w:rPr>
        <w:t>Module Code</w:t>
      </w:r>
      <w:r w:rsidRPr="007811BF">
        <w:rPr>
          <w:rFonts w:ascii="Arial" w:hAnsi="Arial" w:cs="Arial"/>
          <w:sz w:val="22"/>
          <w:szCs w:val="22"/>
        </w:rPr>
        <w:tab/>
      </w:r>
      <w:r w:rsidRPr="007811BF">
        <w:rPr>
          <w:rFonts w:ascii="Arial" w:hAnsi="Arial" w:cs="Arial"/>
          <w:sz w:val="22"/>
          <w:szCs w:val="22"/>
        </w:rPr>
        <w:tab/>
        <w:t>-</w:t>
      </w:r>
      <w:r w:rsidRPr="007811BF">
        <w:rPr>
          <w:rFonts w:ascii="Arial" w:hAnsi="Arial" w:cs="Arial"/>
          <w:sz w:val="22"/>
          <w:szCs w:val="22"/>
        </w:rPr>
        <w:tab/>
        <w:t>LCHS4003</w:t>
      </w:r>
    </w:p>
    <w:p w14:paraId="460E5EAD" w14:textId="77777777" w:rsidR="00352428" w:rsidRPr="007811BF" w:rsidRDefault="00352428" w:rsidP="00352428">
      <w:pPr>
        <w:spacing w:line="360" w:lineRule="auto"/>
        <w:rPr>
          <w:rFonts w:ascii="Arial" w:hAnsi="Arial" w:cs="Arial"/>
          <w:sz w:val="22"/>
          <w:szCs w:val="22"/>
        </w:rPr>
      </w:pPr>
      <w:r w:rsidRPr="007811BF">
        <w:rPr>
          <w:rFonts w:ascii="Arial" w:hAnsi="Arial" w:cs="Arial"/>
          <w:sz w:val="22"/>
          <w:szCs w:val="22"/>
        </w:rPr>
        <w:t>Student Name</w:t>
      </w:r>
      <w:r w:rsidRPr="007811BF">
        <w:rPr>
          <w:rFonts w:ascii="Arial" w:hAnsi="Arial" w:cs="Arial"/>
          <w:sz w:val="22"/>
          <w:szCs w:val="22"/>
        </w:rPr>
        <w:tab/>
      </w:r>
      <w:r w:rsidRPr="007811BF">
        <w:rPr>
          <w:rFonts w:ascii="Arial" w:hAnsi="Arial" w:cs="Arial"/>
          <w:sz w:val="22"/>
          <w:szCs w:val="22"/>
        </w:rPr>
        <w:tab/>
        <w:t>-</w:t>
      </w:r>
      <w:r w:rsidRPr="007811BF">
        <w:rPr>
          <w:rFonts w:ascii="Arial" w:hAnsi="Arial" w:cs="Arial"/>
          <w:sz w:val="22"/>
          <w:szCs w:val="22"/>
        </w:rPr>
        <w:tab/>
        <w:t>Isabel Portulez</w:t>
      </w:r>
    </w:p>
    <w:p w14:paraId="30530005" w14:textId="77777777" w:rsidR="00352428" w:rsidRPr="007811BF" w:rsidRDefault="00352428" w:rsidP="00352428">
      <w:pPr>
        <w:spacing w:line="360" w:lineRule="auto"/>
        <w:rPr>
          <w:rFonts w:ascii="Arial" w:hAnsi="Arial" w:cs="Arial"/>
          <w:sz w:val="22"/>
          <w:szCs w:val="22"/>
        </w:rPr>
      </w:pPr>
      <w:r w:rsidRPr="007811BF">
        <w:rPr>
          <w:rFonts w:ascii="Arial" w:hAnsi="Arial" w:cs="Arial"/>
          <w:sz w:val="22"/>
          <w:szCs w:val="22"/>
        </w:rPr>
        <w:t>Student ID</w:t>
      </w:r>
      <w:r w:rsidRPr="007811BF">
        <w:rPr>
          <w:rFonts w:ascii="Arial" w:hAnsi="Arial" w:cs="Arial"/>
          <w:sz w:val="22"/>
          <w:szCs w:val="22"/>
        </w:rPr>
        <w:tab/>
      </w:r>
      <w:r w:rsidRPr="007811BF">
        <w:rPr>
          <w:rFonts w:ascii="Arial" w:hAnsi="Arial" w:cs="Arial"/>
          <w:sz w:val="22"/>
          <w:szCs w:val="22"/>
        </w:rPr>
        <w:tab/>
        <w:t>-</w:t>
      </w:r>
      <w:r w:rsidRPr="007811BF">
        <w:rPr>
          <w:rFonts w:ascii="Arial" w:hAnsi="Arial" w:cs="Arial"/>
          <w:sz w:val="22"/>
          <w:szCs w:val="22"/>
        </w:rPr>
        <w:tab/>
        <w:t>2510869</w:t>
      </w:r>
    </w:p>
    <w:p w14:paraId="7B348C3D" w14:textId="77777777" w:rsidR="00352428" w:rsidRPr="007811BF" w:rsidRDefault="00352428" w:rsidP="00352428">
      <w:pPr>
        <w:spacing w:line="360" w:lineRule="auto"/>
        <w:rPr>
          <w:rFonts w:ascii="Arial" w:hAnsi="Arial" w:cs="Arial"/>
          <w:sz w:val="22"/>
          <w:szCs w:val="22"/>
        </w:rPr>
      </w:pPr>
    </w:p>
    <w:p w14:paraId="58379B32" w14:textId="74E82BB1" w:rsidR="00352428" w:rsidRPr="007811BF" w:rsidRDefault="00352428" w:rsidP="00352428">
      <w:pPr>
        <w:rPr>
          <w:rFonts w:ascii="Arial" w:hAnsi="Arial" w:cs="Arial"/>
          <w:sz w:val="22"/>
          <w:szCs w:val="22"/>
        </w:rPr>
      </w:pPr>
      <w:r w:rsidRPr="007811BF">
        <w:rPr>
          <w:rFonts w:ascii="Arial" w:hAnsi="Arial" w:cs="Arial"/>
          <w:sz w:val="22"/>
          <w:szCs w:val="22"/>
        </w:rPr>
        <w:t>Lecturer’s Name</w:t>
      </w:r>
      <w:r w:rsidRPr="007811BF">
        <w:rPr>
          <w:rFonts w:ascii="Arial" w:hAnsi="Arial" w:cs="Arial"/>
          <w:sz w:val="22"/>
          <w:szCs w:val="22"/>
        </w:rPr>
        <w:tab/>
        <w:t>-</w:t>
      </w:r>
      <w:r w:rsidRPr="007811BF">
        <w:rPr>
          <w:rFonts w:ascii="Arial" w:hAnsi="Arial" w:cs="Arial"/>
          <w:sz w:val="22"/>
          <w:szCs w:val="22"/>
        </w:rPr>
        <w:tab/>
        <w:t>Ping Wu</w:t>
      </w:r>
      <w:r w:rsidRPr="007811BF">
        <w:rPr>
          <w:rFonts w:ascii="Arial" w:hAnsi="Arial" w:cs="Arial"/>
          <w:sz w:val="22"/>
          <w:szCs w:val="22"/>
        </w:rPr>
        <w:t xml:space="preserve"> </w:t>
      </w:r>
      <w:r w:rsidRPr="007811BF">
        <w:rPr>
          <w:rFonts w:ascii="Arial" w:hAnsi="Arial" w:cs="Arial"/>
          <w:sz w:val="22"/>
          <w:szCs w:val="22"/>
        </w:rPr>
        <w:br w:type="page"/>
      </w:r>
    </w:p>
    <w:sdt>
      <w:sdtPr>
        <w:rPr>
          <w:rFonts w:ascii="Arial" w:hAnsi="Arial" w:cs="Arial"/>
          <w:sz w:val="22"/>
          <w:szCs w:val="22"/>
        </w:rPr>
        <w:id w:val="-1466198829"/>
        <w:docPartObj>
          <w:docPartGallery w:val="Table of Contents"/>
          <w:docPartUnique/>
        </w:docPartObj>
      </w:sdtPr>
      <w:sdtEndPr>
        <w:rPr>
          <w:rFonts w:eastAsiaTheme="minorHAnsi"/>
          <w:b/>
          <w:bCs/>
          <w:color w:val="auto"/>
          <w:kern w:val="2"/>
          <w:lang w:eastAsia="en-US"/>
          <w14:ligatures w14:val="standardContextual"/>
        </w:rPr>
      </w:sdtEndPr>
      <w:sdtContent>
        <w:p w14:paraId="39B31621" w14:textId="76707BE4" w:rsidR="00352428" w:rsidRPr="007811BF" w:rsidRDefault="00352428" w:rsidP="00352428">
          <w:pPr>
            <w:pStyle w:val="TOCHeading"/>
            <w:jc w:val="center"/>
            <w:rPr>
              <w:rFonts w:ascii="Arial" w:hAnsi="Arial" w:cs="Arial"/>
              <w:sz w:val="22"/>
              <w:szCs w:val="22"/>
            </w:rPr>
          </w:pPr>
          <w:r w:rsidRPr="007811BF">
            <w:rPr>
              <w:rFonts w:ascii="Arial" w:hAnsi="Arial" w:cs="Arial"/>
              <w:sz w:val="22"/>
              <w:szCs w:val="22"/>
            </w:rPr>
            <w:t>Contents</w:t>
          </w:r>
        </w:p>
        <w:p w14:paraId="0214F51C" w14:textId="77777777" w:rsidR="007811BF" w:rsidRPr="007811BF" w:rsidRDefault="007811BF" w:rsidP="007811BF">
          <w:pPr>
            <w:rPr>
              <w:rFonts w:ascii="Arial" w:hAnsi="Arial" w:cs="Arial"/>
              <w:sz w:val="22"/>
              <w:szCs w:val="22"/>
              <w:lang w:eastAsia="en-GB"/>
            </w:rPr>
          </w:pPr>
        </w:p>
        <w:p w14:paraId="6FE37BB2" w14:textId="022CFAC5" w:rsidR="00352428" w:rsidRPr="007811BF" w:rsidRDefault="00352428">
          <w:pPr>
            <w:pStyle w:val="TOC1"/>
            <w:tabs>
              <w:tab w:val="right" w:leader="dot" w:pos="9016"/>
            </w:tabs>
            <w:rPr>
              <w:rFonts w:ascii="Arial" w:hAnsi="Arial" w:cs="Arial"/>
              <w:noProof/>
              <w:sz w:val="22"/>
              <w:szCs w:val="22"/>
            </w:rPr>
          </w:pPr>
          <w:r w:rsidRPr="007811BF">
            <w:rPr>
              <w:rFonts w:ascii="Arial" w:hAnsi="Arial" w:cs="Arial"/>
              <w:sz w:val="22"/>
              <w:szCs w:val="22"/>
            </w:rPr>
            <w:fldChar w:fldCharType="begin"/>
          </w:r>
          <w:r w:rsidRPr="007811BF">
            <w:rPr>
              <w:rFonts w:ascii="Arial" w:hAnsi="Arial" w:cs="Arial"/>
              <w:sz w:val="22"/>
              <w:szCs w:val="22"/>
            </w:rPr>
            <w:instrText xml:space="preserve"> TOC \o "1-3" \h \z \u </w:instrText>
          </w:r>
          <w:r w:rsidRPr="007811BF">
            <w:rPr>
              <w:rFonts w:ascii="Arial" w:hAnsi="Arial" w:cs="Arial"/>
              <w:sz w:val="22"/>
              <w:szCs w:val="22"/>
            </w:rPr>
            <w:fldChar w:fldCharType="separate"/>
          </w:r>
          <w:hyperlink w:anchor="_Toc227845168" w:history="1">
            <w:r w:rsidRPr="007811BF">
              <w:rPr>
                <w:rStyle w:val="Hyperlink"/>
                <w:rFonts w:ascii="Arial" w:hAnsi="Arial" w:cs="Arial"/>
                <w:noProof/>
                <w:sz w:val="22"/>
                <w:szCs w:val="22"/>
              </w:rPr>
              <w:t>Introduction</w:t>
            </w:r>
            <w:r w:rsidRPr="007811BF">
              <w:rPr>
                <w:rFonts w:ascii="Arial" w:hAnsi="Arial" w:cs="Arial"/>
                <w:noProof/>
                <w:webHidden/>
                <w:sz w:val="22"/>
                <w:szCs w:val="22"/>
              </w:rPr>
              <w:tab/>
            </w:r>
            <w:r w:rsidRPr="007811BF">
              <w:rPr>
                <w:rFonts w:ascii="Arial" w:hAnsi="Arial" w:cs="Arial"/>
                <w:noProof/>
                <w:webHidden/>
                <w:sz w:val="22"/>
                <w:szCs w:val="22"/>
              </w:rPr>
              <w:fldChar w:fldCharType="begin"/>
            </w:r>
            <w:r w:rsidRPr="007811BF">
              <w:rPr>
                <w:rFonts w:ascii="Arial" w:hAnsi="Arial" w:cs="Arial"/>
                <w:noProof/>
                <w:webHidden/>
                <w:sz w:val="22"/>
                <w:szCs w:val="22"/>
              </w:rPr>
              <w:instrText xml:space="preserve"> PAGEREF _Toc227845168 \h </w:instrText>
            </w:r>
            <w:r w:rsidRPr="007811BF">
              <w:rPr>
                <w:rFonts w:ascii="Arial" w:hAnsi="Arial" w:cs="Arial"/>
                <w:noProof/>
                <w:webHidden/>
                <w:sz w:val="22"/>
                <w:szCs w:val="22"/>
              </w:rPr>
            </w:r>
            <w:r w:rsidRPr="007811BF">
              <w:rPr>
                <w:rFonts w:ascii="Arial" w:hAnsi="Arial" w:cs="Arial"/>
                <w:noProof/>
                <w:webHidden/>
                <w:sz w:val="22"/>
                <w:szCs w:val="22"/>
              </w:rPr>
              <w:fldChar w:fldCharType="separate"/>
            </w:r>
            <w:r w:rsidRPr="007811BF">
              <w:rPr>
                <w:rFonts w:ascii="Arial" w:hAnsi="Arial" w:cs="Arial"/>
                <w:noProof/>
                <w:webHidden/>
                <w:sz w:val="22"/>
                <w:szCs w:val="22"/>
              </w:rPr>
              <w:t>3</w:t>
            </w:r>
            <w:r w:rsidRPr="007811BF">
              <w:rPr>
                <w:rFonts w:ascii="Arial" w:hAnsi="Arial" w:cs="Arial"/>
                <w:noProof/>
                <w:webHidden/>
                <w:sz w:val="22"/>
                <w:szCs w:val="22"/>
              </w:rPr>
              <w:fldChar w:fldCharType="end"/>
            </w:r>
          </w:hyperlink>
        </w:p>
        <w:p w14:paraId="050D41B8" w14:textId="2CC0820D" w:rsidR="00352428" w:rsidRPr="007811BF" w:rsidRDefault="00352428">
          <w:pPr>
            <w:pStyle w:val="TOC1"/>
            <w:tabs>
              <w:tab w:val="right" w:leader="dot" w:pos="9016"/>
            </w:tabs>
            <w:rPr>
              <w:rFonts w:ascii="Arial" w:hAnsi="Arial" w:cs="Arial"/>
              <w:noProof/>
              <w:sz w:val="22"/>
              <w:szCs w:val="22"/>
            </w:rPr>
          </w:pPr>
          <w:hyperlink w:anchor="_Toc227845169" w:history="1">
            <w:r w:rsidRPr="007811BF">
              <w:rPr>
                <w:rStyle w:val="Hyperlink"/>
                <w:rFonts w:ascii="Arial" w:hAnsi="Arial" w:cs="Arial"/>
                <w:noProof/>
                <w:sz w:val="22"/>
                <w:szCs w:val="22"/>
              </w:rPr>
              <w:t>1. Effective Communication in Mr Ahmed’s Care</w:t>
            </w:r>
            <w:r w:rsidRPr="007811BF">
              <w:rPr>
                <w:rFonts w:ascii="Arial" w:hAnsi="Arial" w:cs="Arial"/>
                <w:noProof/>
                <w:webHidden/>
                <w:sz w:val="22"/>
                <w:szCs w:val="22"/>
              </w:rPr>
              <w:tab/>
            </w:r>
            <w:r w:rsidRPr="007811BF">
              <w:rPr>
                <w:rFonts w:ascii="Arial" w:hAnsi="Arial" w:cs="Arial"/>
                <w:noProof/>
                <w:webHidden/>
                <w:sz w:val="22"/>
                <w:szCs w:val="22"/>
              </w:rPr>
              <w:fldChar w:fldCharType="begin"/>
            </w:r>
            <w:r w:rsidRPr="007811BF">
              <w:rPr>
                <w:rFonts w:ascii="Arial" w:hAnsi="Arial" w:cs="Arial"/>
                <w:noProof/>
                <w:webHidden/>
                <w:sz w:val="22"/>
                <w:szCs w:val="22"/>
              </w:rPr>
              <w:instrText xml:space="preserve"> PAGEREF _Toc227845169 \h </w:instrText>
            </w:r>
            <w:r w:rsidRPr="007811BF">
              <w:rPr>
                <w:rFonts w:ascii="Arial" w:hAnsi="Arial" w:cs="Arial"/>
                <w:noProof/>
                <w:webHidden/>
                <w:sz w:val="22"/>
                <w:szCs w:val="22"/>
              </w:rPr>
            </w:r>
            <w:r w:rsidRPr="007811BF">
              <w:rPr>
                <w:rFonts w:ascii="Arial" w:hAnsi="Arial" w:cs="Arial"/>
                <w:noProof/>
                <w:webHidden/>
                <w:sz w:val="22"/>
                <w:szCs w:val="22"/>
              </w:rPr>
              <w:fldChar w:fldCharType="separate"/>
            </w:r>
            <w:r w:rsidRPr="007811BF">
              <w:rPr>
                <w:rFonts w:ascii="Arial" w:hAnsi="Arial" w:cs="Arial"/>
                <w:noProof/>
                <w:webHidden/>
                <w:sz w:val="22"/>
                <w:szCs w:val="22"/>
              </w:rPr>
              <w:t>3</w:t>
            </w:r>
            <w:r w:rsidRPr="007811BF">
              <w:rPr>
                <w:rFonts w:ascii="Arial" w:hAnsi="Arial" w:cs="Arial"/>
                <w:noProof/>
                <w:webHidden/>
                <w:sz w:val="22"/>
                <w:szCs w:val="22"/>
              </w:rPr>
              <w:fldChar w:fldCharType="end"/>
            </w:r>
          </w:hyperlink>
        </w:p>
        <w:p w14:paraId="689EF29A" w14:textId="6326F144" w:rsidR="00352428" w:rsidRPr="007811BF" w:rsidRDefault="00352428">
          <w:pPr>
            <w:pStyle w:val="TOC1"/>
            <w:tabs>
              <w:tab w:val="right" w:leader="dot" w:pos="9016"/>
            </w:tabs>
            <w:rPr>
              <w:rFonts w:ascii="Arial" w:hAnsi="Arial" w:cs="Arial"/>
              <w:noProof/>
              <w:sz w:val="22"/>
              <w:szCs w:val="22"/>
            </w:rPr>
          </w:pPr>
          <w:hyperlink w:anchor="_Toc227845170" w:history="1">
            <w:r w:rsidRPr="007811BF">
              <w:rPr>
                <w:rStyle w:val="Hyperlink"/>
                <w:rFonts w:ascii="Arial" w:hAnsi="Arial" w:cs="Arial"/>
                <w:noProof/>
                <w:sz w:val="22"/>
                <w:szCs w:val="22"/>
              </w:rPr>
              <w:t>2. Administrative Skills and Record Keeping</w:t>
            </w:r>
            <w:r w:rsidRPr="007811BF">
              <w:rPr>
                <w:rFonts w:ascii="Arial" w:hAnsi="Arial" w:cs="Arial"/>
                <w:noProof/>
                <w:webHidden/>
                <w:sz w:val="22"/>
                <w:szCs w:val="22"/>
              </w:rPr>
              <w:tab/>
            </w:r>
            <w:r w:rsidRPr="007811BF">
              <w:rPr>
                <w:rFonts w:ascii="Arial" w:hAnsi="Arial" w:cs="Arial"/>
                <w:noProof/>
                <w:webHidden/>
                <w:sz w:val="22"/>
                <w:szCs w:val="22"/>
              </w:rPr>
              <w:fldChar w:fldCharType="begin"/>
            </w:r>
            <w:r w:rsidRPr="007811BF">
              <w:rPr>
                <w:rFonts w:ascii="Arial" w:hAnsi="Arial" w:cs="Arial"/>
                <w:noProof/>
                <w:webHidden/>
                <w:sz w:val="22"/>
                <w:szCs w:val="22"/>
              </w:rPr>
              <w:instrText xml:space="preserve"> PAGEREF _Toc227845170 \h </w:instrText>
            </w:r>
            <w:r w:rsidRPr="007811BF">
              <w:rPr>
                <w:rFonts w:ascii="Arial" w:hAnsi="Arial" w:cs="Arial"/>
                <w:noProof/>
                <w:webHidden/>
                <w:sz w:val="22"/>
                <w:szCs w:val="22"/>
              </w:rPr>
            </w:r>
            <w:r w:rsidRPr="007811BF">
              <w:rPr>
                <w:rFonts w:ascii="Arial" w:hAnsi="Arial" w:cs="Arial"/>
                <w:noProof/>
                <w:webHidden/>
                <w:sz w:val="22"/>
                <w:szCs w:val="22"/>
              </w:rPr>
              <w:fldChar w:fldCharType="separate"/>
            </w:r>
            <w:r w:rsidRPr="007811BF">
              <w:rPr>
                <w:rFonts w:ascii="Arial" w:hAnsi="Arial" w:cs="Arial"/>
                <w:noProof/>
                <w:webHidden/>
                <w:sz w:val="22"/>
                <w:szCs w:val="22"/>
              </w:rPr>
              <w:t>4</w:t>
            </w:r>
            <w:r w:rsidRPr="007811BF">
              <w:rPr>
                <w:rFonts w:ascii="Arial" w:hAnsi="Arial" w:cs="Arial"/>
                <w:noProof/>
                <w:webHidden/>
                <w:sz w:val="22"/>
                <w:szCs w:val="22"/>
              </w:rPr>
              <w:fldChar w:fldCharType="end"/>
            </w:r>
          </w:hyperlink>
        </w:p>
        <w:p w14:paraId="34CDF814" w14:textId="4AB5508B" w:rsidR="00352428" w:rsidRPr="007811BF" w:rsidRDefault="00352428">
          <w:pPr>
            <w:pStyle w:val="TOC1"/>
            <w:tabs>
              <w:tab w:val="right" w:leader="dot" w:pos="9016"/>
            </w:tabs>
            <w:rPr>
              <w:rFonts w:ascii="Arial" w:hAnsi="Arial" w:cs="Arial"/>
              <w:noProof/>
              <w:sz w:val="22"/>
              <w:szCs w:val="22"/>
            </w:rPr>
          </w:pPr>
          <w:hyperlink w:anchor="_Toc227845171" w:history="1">
            <w:r w:rsidRPr="007811BF">
              <w:rPr>
                <w:rStyle w:val="Hyperlink"/>
                <w:rFonts w:ascii="Arial" w:hAnsi="Arial" w:cs="Arial"/>
                <w:noProof/>
                <w:sz w:val="22"/>
                <w:szCs w:val="22"/>
              </w:rPr>
              <w:t>3. Collaborative Working in Mr Ahmed’s Care</w:t>
            </w:r>
            <w:r w:rsidRPr="007811BF">
              <w:rPr>
                <w:rFonts w:ascii="Arial" w:hAnsi="Arial" w:cs="Arial"/>
                <w:noProof/>
                <w:webHidden/>
                <w:sz w:val="22"/>
                <w:szCs w:val="22"/>
              </w:rPr>
              <w:tab/>
            </w:r>
            <w:r w:rsidRPr="007811BF">
              <w:rPr>
                <w:rFonts w:ascii="Arial" w:hAnsi="Arial" w:cs="Arial"/>
                <w:noProof/>
                <w:webHidden/>
                <w:sz w:val="22"/>
                <w:szCs w:val="22"/>
              </w:rPr>
              <w:fldChar w:fldCharType="begin"/>
            </w:r>
            <w:r w:rsidRPr="007811BF">
              <w:rPr>
                <w:rFonts w:ascii="Arial" w:hAnsi="Arial" w:cs="Arial"/>
                <w:noProof/>
                <w:webHidden/>
                <w:sz w:val="22"/>
                <w:szCs w:val="22"/>
              </w:rPr>
              <w:instrText xml:space="preserve"> PAGEREF _Toc227845171 \h </w:instrText>
            </w:r>
            <w:r w:rsidRPr="007811BF">
              <w:rPr>
                <w:rFonts w:ascii="Arial" w:hAnsi="Arial" w:cs="Arial"/>
                <w:noProof/>
                <w:webHidden/>
                <w:sz w:val="22"/>
                <w:szCs w:val="22"/>
              </w:rPr>
            </w:r>
            <w:r w:rsidRPr="007811BF">
              <w:rPr>
                <w:rFonts w:ascii="Arial" w:hAnsi="Arial" w:cs="Arial"/>
                <w:noProof/>
                <w:webHidden/>
                <w:sz w:val="22"/>
                <w:szCs w:val="22"/>
              </w:rPr>
              <w:fldChar w:fldCharType="separate"/>
            </w:r>
            <w:r w:rsidRPr="007811BF">
              <w:rPr>
                <w:rFonts w:ascii="Arial" w:hAnsi="Arial" w:cs="Arial"/>
                <w:noProof/>
                <w:webHidden/>
                <w:sz w:val="22"/>
                <w:szCs w:val="22"/>
              </w:rPr>
              <w:t>5</w:t>
            </w:r>
            <w:r w:rsidRPr="007811BF">
              <w:rPr>
                <w:rFonts w:ascii="Arial" w:hAnsi="Arial" w:cs="Arial"/>
                <w:noProof/>
                <w:webHidden/>
                <w:sz w:val="22"/>
                <w:szCs w:val="22"/>
              </w:rPr>
              <w:fldChar w:fldCharType="end"/>
            </w:r>
          </w:hyperlink>
        </w:p>
        <w:p w14:paraId="5CB2F3F3" w14:textId="2845958F" w:rsidR="00352428" w:rsidRPr="007811BF" w:rsidRDefault="00352428">
          <w:pPr>
            <w:pStyle w:val="TOC1"/>
            <w:tabs>
              <w:tab w:val="right" w:leader="dot" w:pos="9016"/>
            </w:tabs>
            <w:rPr>
              <w:rFonts w:ascii="Arial" w:hAnsi="Arial" w:cs="Arial"/>
              <w:noProof/>
              <w:sz w:val="22"/>
              <w:szCs w:val="22"/>
            </w:rPr>
          </w:pPr>
          <w:hyperlink w:anchor="_Toc227845172" w:history="1">
            <w:r w:rsidRPr="007811BF">
              <w:rPr>
                <w:rStyle w:val="Hyperlink"/>
                <w:rFonts w:ascii="Arial" w:hAnsi="Arial" w:cs="Arial"/>
                <w:noProof/>
                <w:sz w:val="22"/>
                <w:szCs w:val="22"/>
              </w:rPr>
              <w:t>Conclusion</w:t>
            </w:r>
            <w:r w:rsidRPr="007811BF">
              <w:rPr>
                <w:rFonts w:ascii="Arial" w:hAnsi="Arial" w:cs="Arial"/>
                <w:noProof/>
                <w:webHidden/>
                <w:sz w:val="22"/>
                <w:szCs w:val="22"/>
              </w:rPr>
              <w:tab/>
            </w:r>
            <w:r w:rsidRPr="007811BF">
              <w:rPr>
                <w:rFonts w:ascii="Arial" w:hAnsi="Arial" w:cs="Arial"/>
                <w:noProof/>
                <w:webHidden/>
                <w:sz w:val="22"/>
                <w:szCs w:val="22"/>
              </w:rPr>
              <w:fldChar w:fldCharType="begin"/>
            </w:r>
            <w:r w:rsidRPr="007811BF">
              <w:rPr>
                <w:rFonts w:ascii="Arial" w:hAnsi="Arial" w:cs="Arial"/>
                <w:noProof/>
                <w:webHidden/>
                <w:sz w:val="22"/>
                <w:szCs w:val="22"/>
              </w:rPr>
              <w:instrText xml:space="preserve"> PAGEREF _Toc227845172 \h </w:instrText>
            </w:r>
            <w:r w:rsidRPr="007811BF">
              <w:rPr>
                <w:rFonts w:ascii="Arial" w:hAnsi="Arial" w:cs="Arial"/>
                <w:noProof/>
                <w:webHidden/>
                <w:sz w:val="22"/>
                <w:szCs w:val="22"/>
              </w:rPr>
            </w:r>
            <w:r w:rsidRPr="007811BF">
              <w:rPr>
                <w:rFonts w:ascii="Arial" w:hAnsi="Arial" w:cs="Arial"/>
                <w:noProof/>
                <w:webHidden/>
                <w:sz w:val="22"/>
                <w:szCs w:val="22"/>
              </w:rPr>
              <w:fldChar w:fldCharType="separate"/>
            </w:r>
            <w:r w:rsidRPr="007811BF">
              <w:rPr>
                <w:rFonts w:ascii="Arial" w:hAnsi="Arial" w:cs="Arial"/>
                <w:noProof/>
                <w:webHidden/>
                <w:sz w:val="22"/>
                <w:szCs w:val="22"/>
              </w:rPr>
              <w:t>6</w:t>
            </w:r>
            <w:r w:rsidRPr="007811BF">
              <w:rPr>
                <w:rFonts w:ascii="Arial" w:hAnsi="Arial" w:cs="Arial"/>
                <w:noProof/>
                <w:webHidden/>
                <w:sz w:val="22"/>
                <w:szCs w:val="22"/>
              </w:rPr>
              <w:fldChar w:fldCharType="end"/>
            </w:r>
          </w:hyperlink>
        </w:p>
        <w:p w14:paraId="5845A591" w14:textId="30B89983" w:rsidR="00352428" w:rsidRPr="007811BF" w:rsidRDefault="00352428">
          <w:pPr>
            <w:pStyle w:val="TOC1"/>
            <w:tabs>
              <w:tab w:val="right" w:leader="dot" w:pos="9016"/>
            </w:tabs>
            <w:rPr>
              <w:rFonts w:ascii="Arial" w:hAnsi="Arial" w:cs="Arial"/>
              <w:noProof/>
              <w:sz w:val="22"/>
              <w:szCs w:val="22"/>
            </w:rPr>
          </w:pPr>
          <w:hyperlink w:anchor="_Toc227845173" w:history="1">
            <w:r w:rsidRPr="007811BF">
              <w:rPr>
                <w:rStyle w:val="Hyperlink"/>
                <w:rFonts w:ascii="Arial" w:hAnsi="Arial" w:cs="Arial"/>
                <w:noProof/>
                <w:sz w:val="22"/>
                <w:szCs w:val="22"/>
              </w:rPr>
              <w:t>Reference</w:t>
            </w:r>
            <w:r w:rsidRPr="007811BF">
              <w:rPr>
                <w:rFonts w:ascii="Arial" w:hAnsi="Arial" w:cs="Arial"/>
                <w:noProof/>
                <w:webHidden/>
                <w:sz w:val="22"/>
                <w:szCs w:val="22"/>
              </w:rPr>
              <w:tab/>
            </w:r>
            <w:r w:rsidRPr="007811BF">
              <w:rPr>
                <w:rFonts w:ascii="Arial" w:hAnsi="Arial" w:cs="Arial"/>
                <w:noProof/>
                <w:webHidden/>
                <w:sz w:val="22"/>
                <w:szCs w:val="22"/>
              </w:rPr>
              <w:fldChar w:fldCharType="begin"/>
            </w:r>
            <w:r w:rsidRPr="007811BF">
              <w:rPr>
                <w:rFonts w:ascii="Arial" w:hAnsi="Arial" w:cs="Arial"/>
                <w:noProof/>
                <w:webHidden/>
                <w:sz w:val="22"/>
                <w:szCs w:val="22"/>
              </w:rPr>
              <w:instrText xml:space="preserve"> PAGEREF _Toc227845173 \h </w:instrText>
            </w:r>
            <w:r w:rsidRPr="007811BF">
              <w:rPr>
                <w:rFonts w:ascii="Arial" w:hAnsi="Arial" w:cs="Arial"/>
                <w:noProof/>
                <w:webHidden/>
                <w:sz w:val="22"/>
                <w:szCs w:val="22"/>
              </w:rPr>
            </w:r>
            <w:r w:rsidRPr="007811BF">
              <w:rPr>
                <w:rFonts w:ascii="Arial" w:hAnsi="Arial" w:cs="Arial"/>
                <w:noProof/>
                <w:webHidden/>
                <w:sz w:val="22"/>
                <w:szCs w:val="22"/>
              </w:rPr>
              <w:fldChar w:fldCharType="separate"/>
            </w:r>
            <w:r w:rsidRPr="007811BF">
              <w:rPr>
                <w:rFonts w:ascii="Arial" w:hAnsi="Arial" w:cs="Arial"/>
                <w:noProof/>
                <w:webHidden/>
                <w:sz w:val="22"/>
                <w:szCs w:val="22"/>
              </w:rPr>
              <w:t>6</w:t>
            </w:r>
            <w:r w:rsidRPr="007811BF">
              <w:rPr>
                <w:rFonts w:ascii="Arial" w:hAnsi="Arial" w:cs="Arial"/>
                <w:noProof/>
                <w:webHidden/>
                <w:sz w:val="22"/>
                <w:szCs w:val="22"/>
              </w:rPr>
              <w:fldChar w:fldCharType="end"/>
            </w:r>
          </w:hyperlink>
        </w:p>
        <w:p w14:paraId="2664D299" w14:textId="34E5FEE6" w:rsidR="00352428" w:rsidRPr="007811BF" w:rsidRDefault="00352428">
          <w:pPr>
            <w:rPr>
              <w:rFonts w:ascii="Arial" w:hAnsi="Arial" w:cs="Arial"/>
              <w:sz w:val="22"/>
              <w:szCs w:val="22"/>
            </w:rPr>
          </w:pPr>
          <w:r w:rsidRPr="007811BF">
            <w:rPr>
              <w:rFonts w:ascii="Arial" w:hAnsi="Arial" w:cs="Arial"/>
              <w:b/>
              <w:bCs/>
              <w:sz w:val="22"/>
              <w:szCs w:val="22"/>
            </w:rPr>
            <w:fldChar w:fldCharType="end"/>
          </w:r>
        </w:p>
      </w:sdtContent>
    </w:sdt>
    <w:p w14:paraId="3304AF07" w14:textId="77777777" w:rsidR="00352428" w:rsidRPr="007811BF" w:rsidRDefault="00352428">
      <w:pPr>
        <w:rPr>
          <w:rFonts w:ascii="Arial" w:eastAsiaTheme="majorEastAsia" w:hAnsi="Arial" w:cs="Arial"/>
          <w:color w:val="0F4761" w:themeColor="accent1" w:themeShade="BF"/>
          <w:sz w:val="22"/>
          <w:szCs w:val="22"/>
        </w:rPr>
      </w:pPr>
      <w:r w:rsidRPr="007811BF">
        <w:rPr>
          <w:rFonts w:ascii="Arial" w:hAnsi="Arial" w:cs="Arial"/>
          <w:sz w:val="22"/>
          <w:szCs w:val="22"/>
        </w:rPr>
        <w:br w:type="page"/>
      </w:r>
    </w:p>
    <w:p w14:paraId="49F614CE" w14:textId="147DA3E1" w:rsidR="00352428" w:rsidRPr="007811BF" w:rsidRDefault="00352428" w:rsidP="00352428">
      <w:pPr>
        <w:pStyle w:val="Heading1"/>
        <w:rPr>
          <w:rFonts w:ascii="Arial" w:hAnsi="Arial" w:cs="Arial"/>
          <w:sz w:val="22"/>
          <w:szCs w:val="22"/>
        </w:rPr>
      </w:pPr>
      <w:bookmarkStart w:id="0" w:name="_Toc227845168"/>
      <w:r w:rsidRPr="007811BF">
        <w:rPr>
          <w:rFonts w:ascii="Arial" w:hAnsi="Arial" w:cs="Arial"/>
          <w:sz w:val="22"/>
          <w:szCs w:val="22"/>
        </w:rPr>
        <w:lastRenderedPageBreak/>
        <w:t>Introduction</w:t>
      </w:r>
      <w:bookmarkEnd w:id="0"/>
    </w:p>
    <w:p w14:paraId="00890645"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Delivering safe and effective care in the community is rarely straightforward, particularly when individuals have complex needs and rely on input from several professionals (Glasby and Dickinson, 2014). Mr Ahmed’s situation reflects this reality. Following a stroke, he not only faces physical and communication challenges but also depends on coordinated support from a domiciliary care agency and a wider multidisciplinary team (NICE, 2023). The reported missed care visit highlights how easily </w:t>
      </w:r>
      <w:proofErr w:type="gramStart"/>
      <w:r w:rsidRPr="00352428">
        <w:rPr>
          <w:rFonts w:ascii="Arial" w:hAnsi="Arial" w:cs="Arial"/>
          <w:sz w:val="22"/>
          <w:szCs w:val="22"/>
        </w:rPr>
        <w:t>gaps</w:t>
      </w:r>
      <w:proofErr w:type="gramEnd"/>
      <w:r w:rsidRPr="00352428">
        <w:rPr>
          <w:rFonts w:ascii="Arial" w:hAnsi="Arial" w:cs="Arial"/>
          <w:sz w:val="22"/>
          <w:szCs w:val="22"/>
        </w:rPr>
        <w:t xml:space="preserve"> in care can emerge, even within structured systems (CQC, 2022).</w:t>
      </w:r>
    </w:p>
    <w:p w14:paraId="06D9D9D9" w14:textId="0A23A500" w:rsidR="00352428" w:rsidRPr="007811BF" w:rsidRDefault="00352428" w:rsidP="00352428">
      <w:pPr>
        <w:spacing w:line="360" w:lineRule="auto"/>
        <w:jc w:val="both"/>
        <w:rPr>
          <w:rFonts w:ascii="Arial" w:hAnsi="Arial" w:cs="Arial"/>
          <w:sz w:val="22"/>
          <w:szCs w:val="22"/>
        </w:rPr>
      </w:pPr>
      <w:r w:rsidRPr="00352428">
        <w:rPr>
          <w:rFonts w:ascii="Arial" w:hAnsi="Arial" w:cs="Arial"/>
          <w:sz w:val="22"/>
          <w:szCs w:val="22"/>
        </w:rPr>
        <w:t>This report explores three key aspects of his care. It begins by examining communication, with particular attention to language barriers and the need to adapt interactions in line with the Equality Act 2010 (Equality Act, 2010). It then considers the role of administrative practice, focusing on record keeping and the responsibilities outlined in the Data Protection Act 2018 (Department of Health and Social Care, 2018). Finally, it looks at collaborative working, recognising both its importance and the practical difficulties that can arise when multiple services are involved (NHS England, 2022).</w:t>
      </w:r>
    </w:p>
    <w:p w14:paraId="6300786F" w14:textId="4E97BB8D" w:rsidR="00352428" w:rsidRPr="007811BF" w:rsidRDefault="00352428" w:rsidP="00352428">
      <w:pPr>
        <w:pStyle w:val="Heading1"/>
        <w:rPr>
          <w:rFonts w:ascii="Arial" w:hAnsi="Arial" w:cs="Arial"/>
          <w:sz w:val="22"/>
          <w:szCs w:val="22"/>
        </w:rPr>
      </w:pPr>
      <w:bookmarkStart w:id="1" w:name="_Toc227845169"/>
      <w:r w:rsidRPr="007811BF">
        <w:rPr>
          <w:rFonts w:ascii="Arial" w:hAnsi="Arial" w:cs="Arial"/>
          <w:sz w:val="22"/>
          <w:szCs w:val="22"/>
        </w:rPr>
        <w:t>1. Effective Communication in Mr Ahmed’s Care</w:t>
      </w:r>
      <w:bookmarkEnd w:id="1"/>
    </w:p>
    <w:p w14:paraId="24191E5B"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Communication is often described as a basic skill in health and social care, yet in practice it is one of the areas where things most frequently go wrong (Silverman, Kurtz and Draper, 2013). In Mr Ahmed’s case, communication is made more complex by two main factors: his limited use of English and the possible effects of his recent stroke on speech and understanding (NICE, 2023). These challenges increase the risk of important information—such as medication instructions or care routines—not being fully understood.</w:t>
      </w:r>
    </w:p>
    <w:p w14:paraId="72AE4F57" w14:textId="73F067E6"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The Equality Act 2010 requires care providers to make reasonable </w:t>
      </w:r>
      <w:r w:rsidRPr="007811BF">
        <w:rPr>
          <w:rFonts w:ascii="Arial" w:hAnsi="Arial" w:cs="Arial"/>
          <w:sz w:val="22"/>
          <w:szCs w:val="22"/>
        </w:rPr>
        <w:t>adjustments,</w:t>
      </w:r>
      <w:r w:rsidRPr="00352428">
        <w:rPr>
          <w:rFonts w:ascii="Arial" w:hAnsi="Arial" w:cs="Arial"/>
          <w:sz w:val="22"/>
          <w:szCs w:val="22"/>
        </w:rPr>
        <w:t xml:space="preserve"> so individuals are not placed at a disadvantage (Equality Act, 2010). In theory, this should mean adapting communication to suit Mr Ahmed’s needs. However, services sometimes rely heavily on family members, as seen with his wife acting as an informal interpreter. While this can be helpful, it is not always ideal. Family members may unintentionally filter information or make assumptions, which can limit Mr Ahmed’s direct involvement in his own care (NMC, 2018). A more balanced approach would involve professional interpretation support alongside family input, helping to maintain both clarity and independence.</w:t>
      </w:r>
    </w:p>
    <w:p w14:paraId="2426A4FC"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The Shannon and Weaver model helps explain how communication can break down in situations like this (Shannon and Weaver, 1949). It highlights the idea of “noise,” which interferes with the message being understood. For Mr Ahmed, this noise is not just language difference, but also medical terminology, time pressure, and possible cognitive fatigue </w:t>
      </w:r>
      <w:r w:rsidRPr="00352428">
        <w:rPr>
          <w:rFonts w:ascii="Arial" w:hAnsi="Arial" w:cs="Arial"/>
          <w:sz w:val="22"/>
          <w:szCs w:val="22"/>
        </w:rPr>
        <w:lastRenderedPageBreak/>
        <w:t>following his stroke. For example, if a care worker explains medication quickly using unfamiliar terms, the message may not be fully absorbed. This suggests that improving communication is not only about translation but also about simplifying language, slowing down interactions, and confirming understanding (Silverman, Kurtz and Draper, 2013).</w:t>
      </w:r>
    </w:p>
    <w:p w14:paraId="79940C12"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In practice, there is often an assumption that patients understand more than they </w:t>
      </w:r>
      <w:proofErr w:type="gramStart"/>
      <w:r w:rsidRPr="00352428">
        <w:rPr>
          <w:rFonts w:ascii="Arial" w:hAnsi="Arial" w:cs="Arial"/>
          <w:sz w:val="22"/>
          <w:szCs w:val="22"/>
        </w:rPr>
        <w:t>actually do</w:t>
      </w:r>
      <w:proofErr w:type="gramEnd"/>
      <w:r w:rsidRPr="00352428">
        <w:rPr>
          <w:rFonts w:ascii="Arial" w:hAnsi="Arial" w:cs="Arial"/>
          <w:sz w:val="22"/>
          <w:szCs w:val="22"/>
        </w:rPr>
        <w:t>. Asking simple questions like “Do you understand?” may not be enough, as individuals may agree even when unsure. A more effective approach is the teach-back method, where Mr Ahmed is encouraged to repeat information in his own words. This provides a clearer indication of whether communication has been successful (NMC, 2018).</w:t>
      </w:r>
    </w:p>
    <w:p w14:paraId="3F9FF50B"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The involvement of the speech and language therapist is another important aspect. However, their recommendations are only effective if they are consistently applied by all members of the care team. If domiciliary carers are unaware of or do not follow these strategies, the benefits become limited. This reflects a wider issue in practice, where communication strategies are not always shared effectively across teams (Glasby and Dickinson, 2014).</w:t>
      </w:r>
    </w:p>
    <w:p w14:paraId="356C8597" w14:textId="63E60390" w:rsidR="00352428" w:rsidRPr="007811BF" w:rsidRDefault="00352428" w:rsidP="00352428">
      <w:pPr>
        <w:spacing w:line="360" w:lineRule="auto"/>
        <w:jc w:val="both"/>
        <w:rPr>
          <w:rFonts w:ascii="Arial" w:hAnsi="Arial" w:cs="Arial"/>
          <w:sz w:val="22"/>
          <w:szCs w:val="22"/>
        </w:rPr>
      </w:pPr>
      <w:r w:rsidRPr="00352428">
        <w:rPr>
          <w:rFonts w:ascii="Arial" w:hAnsi="Arial" w:cs="Arial"/>
          <w:sz w:val="22"/>
          <w:szCs w:val="22"/>
        </w:rPr>
        <w:t>Overall, effective communication in Mr Ahmed’s care requires more than basic interaction. It involves adapting to his individual needs, being aware of legal responsibilities, and ensuring consistency across professionals. Without this, even small misunderstandings can lead to more serious issues, such as missed medication or reduced patient involvement.</w:t>
      </w:r>
    </w:p>
    <w:p w14:paraId="432C7FEA" w14:textId="4AB01DD3" w:rsidR="00352428" w:rsidRPr="007811BF" w:rsidRDefault="00352428" w:rsidP="00352428">
      <w:pPr>
        <w:pStyle w:val="Heading1"/>
        <w:rPr>
          <w:rFonts w:ascii="Arial" w:hAnsi="Arial" w:cs="Arial"/>
          <w:sz w:val="22"/>
          <w:szCs w:val="22"/>
        </w:rPr>
      </w:pPr>
      <w:bookmarkStart w:id="2" w:name="_Toc227845170"/>
      <w:r w:rsidRPr="007811BF">
        <w:rPr>
          <w:rFonts w:ascii="Arial" w:hAnsi="Arial" w:cs="Arial"/>
          <w:sz w:val="22"/>
          <w:szCs w:val="22"/>
        </w:rPr>
        <w:t>2. Administrative Skills and Record Keeping</w:t>
      </w:r>
      <w:bookmarkEnd w:id="2"/>
    </w:p>
    <w:p w14:paraId="1D33FA11"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Administrative tasks in health and social care are sometimes overlooked, yet they play a critical role in ensuring that care is delivered safely and consistently (CQC, 2022). The missed domiciliary visit in Mr Ahmed’s case is a clear example of how administrative failures can directly affect patient outcomes. Rather than being a minor issue, it highlights a potential breakdown in the systems designed to organise and monitor care delivery.</w:t>
      </w:r>
    </w:p>
    <w:p w14:paraId="6E0D31A5"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Record keeping is central to this process. Accurate and up-to-date records allow different professionals to stay informed about a patient’s condition and care needs (NMC, 2018). In Mr Ahmed’s situation, this includes details about medication schedules, visit times, and any changes in his health. However, in practice, record keeping is not always as thorough as it should be. Time constraints, workload pressures, and reliance on routine can result in incomplete or delayed entries, which increases the risk of errors.</w:t>
      </w:r>
    </w:p>
    <w:p w14:paraId="0B366E1F"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The Data Protection Act 2018 sets out clear guidelines on how personal information should be handled (Department of Health and Social Care, 2018). It requires that data is used lawfully, kept secure, and only shared when necessary. While these principles are widely recognised, applying them in day-to-day practice can be more challenging. For example, sharing </w:t>
      </w:r>
      <w:r w:rsidRPr="00352428">
        <w:rPr>
          <w:rFonts w:ascii="Arial" w:hAnsi="Arial" w:cs="Arial"/>
          <w:sz w:val="22"/>
          <w:szCs w:val="22"/>
        </w:rPr>
        <w:lastRenderedPageBreak/>
        <w:t>information between the GP, district nurse, and care agency must be carefully managed to ensure that relevant details are communicated without breaching confidentiality (ICO, 2023).</w:t>
      </w:r>
    </w:p>
    <w:p w14:paraId="422B5362"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Accuracy is one of the key principles of data protection, yet it is not always consistently achieved. There can be a tendency to rely on previous entries or assumptions rather than recording real-time observations. In a case like Mr Ahmed’s, this could lead to outdated information being used, which may affect decision-making. The missed visit also raises questions about whether systems for tracking and confirming care delivery were effectively used.</w:t>
      </w:r>
    </w:p>
    <w:p w14:paraId="132AB251"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Regulatory frameworks such as those set by the Care Quality Commission place strong emphasis on accountability (CQC, 2022). The investigation into the missed visit will likely assess whether appropriate systems were in place and whether staff followed them correctly. This reflects the wider expectation that care providers should not only deliver services but also demonstrate how they ensure safety and reliability.</w:t>
      </w:r>
    </w:p>
    <w:p w14:paraId="68078D7D"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While digital systems have improved efficiency in many settings, they are not without limitations. Technical issues, lack of training, or over-reliance on automated processes can still lead to gaps in care. This suggests that administrative competence is not just about using systems, but about maintaining attention to detail and taking responsibility for accuracy.</w:t>
      </w:r>
    </w:p>
    <w:p w14:paraId="16180543" w14:textId="30EF358C" w:rsidR="00352428" w:rsidRPr="007811BF" w:rsidRDefault="00352428" w:rsidP="00352428">
      <w:pPr>
        <w:spacing w:line="360" w:lineRule="auto"/>
        <w:jc w:val="both"/>
        <w:rPr>
          <w:rFonts w:ascii="Arial" w:hAnsi="Arial" w:cs="Arial"/>
          <w:sz w:val="22"/>
          <w:szCs w:val="22"/>
        </w:rPr>
      </w:pPr>
      <w:r w:rsidRPr="00352428">
        <w:rPr>
          <w:rFonts w:ascii="Arial" w:hAnsi="Arial" w:cs="Arial"/>
          <w:sz w:val="22"/>
          <w:szCs w:val="22"/>
        </w:rPr>
        <w:t>In this context, administrative skills should be seen as an essential part of care rather than a separate task. Strengthening these processes can help prevent incidents like the missed visit and support more consistent, reliable care delivery.</w:t>
      </w:r>
    </w:p>
    <w:p w14:paraId="7780DA2C" w14:textId="2279D48E" w:rsidR="00352428" w:rsidRPr="007811BF" w:rsidRDefault="00352428" w:rsidP="00352428">
      <w:pPr>
        <w:pStyle w:val="Heading1"/>
        <w:rPr>
          <w:rFonts w:ascii="Arial" w:hAnsi="Arial" w:cs="Arial"/>
          <w:sz w:val="22"/>
          <w:szCs w:val="22"/>
        </w:rPr>
      </w:pPr>
      <w:bookmarkStart w:id="3" w:name="_Toc227845171"/>
      <w:r w:rsidRPr="007811BF">
        <w:rPr>
          <w:rFonts w:ascii="Arial" w:hAnsi="Arial" w:cs="Arial"/>
          <w:sz w:val="22"/>
          <w:szCs w:val="22"/>
        </w:rPr>
        <w:t>3. Collaborative Working in Mr Ahmed’s Care</w:t>
      </w:r>
      <w:bookmarkEnd w:id="3"/>
    </w:p>
    <w:p w14:paraId="253ED248"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Collaboration between professionals is essential in cases like Mr Ahmed’s, where care needs are complex and ongoing (Glasby and Dickinson, 2014). The involvement of a GP, district nurse, domiciliary carers, and a speech and language therapist provides a broad range of expertise. However, simply having multiple professionals involved does not guarantee effective teamwork.</w:t>
      </w:r>
    </w:p>
    <w:p w14:paraId="7615D737"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One important factor in successful collaboration is clear communication. Shared care plans and regular updates help ensure that everyone is working towards the same goals (NHS England, 2022). For example, if the speech and language therapist recommends specific communication techniques, these need to be understood and applied by domiciliary care staff. Without this consistency, the impact of specialist input is reduced.</w:t>
      </w:r>
    </w:p>
    <w:p w14:paraId="3EEE48A0"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Another key aspect is role clarity. When each professional understands their responsibilities, there is less risk of duplication or gaps in care. However, in practice, roles can sometimes </w:t>
      </w:r>
      <w:r w:rsidRPr="00352428">
        <w:rPr>
          <w:rFonts w:ascii="Arial" w:hAnsi="Arial" w:cs="Arial"/>
          <w:sz w:val="22"/>
          <w:szCs w:val="22"/>
        </w:rPr>
        <w:lastRenderedPageBreak/>
        <w:t>overlap or become unclear, particularly in busy community settings. This can lead to confusion and reduce efficiency.</w:t>
      </w:r>
    </w:p>
    <w:p w14:paraId="5664EE7A"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There are also practical challenges to collaboration. Differences in working hours, organisational priorities, and access to information systems can all limit communication between professionals. The missed domiciliary visit may partly reflect these wider system issues rather than a single point of failure (CQC, 2022).</w:t>
      </w:r>
    </w:p>
    <w:p w14:paraId="791D9BAE"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Strategies such as structured communication tools and regular multidisciplinary meetings can help improve coordination. Equally important is creating an environment where staff feel comfortable raising concerns and sharing information.</w:t>
      </w:r>
    </w:p>
    <w:p w14:paraId="58C7356B" w14:textId="5F17D910" w:rsidR="00352428" w:rsidRPr="007811BF" w:rsidRDefault="00352428" w:rsidP="00352428">
      <w:pPr>
        <w:spacing w:line="360" w:lineRule="auto"/>
        <w:jc w:val="both"/>
        <w:rPr>
          <w:rFonts w:ascii="Arial" w:hAnsi="Arial" w:cs="Arial"/>
          <w:sz w:val="22"/>
          <w:szCs w:val="22"/>
        </w:rPr>
      </w:pPr>
      <w:r w:rsidRPr="00352428">
        <w:rPr>
          <w:rFonts w:ascii="Arial" w:hAnsi="Arial" w:cs="Arial"/>
          <w:sz w:val="22"/>
          <w:szCs w:val="22"/>
        </w:rPr>
        <w:t>Overall, collaborative working is not something that happens automatically. It requires ongoing effort, clear systems, and a willingness from all professionals to work together in a consistent and coordinated way.</w:t>
      </w:r>
    </w:p>
    <w:p w14:paraId="4371D5E0" w14:textId="764371EB" w:rsidR="00352428" w:rsidRPr="007811BF" w:rsidRDefault="00352428" w:rsidP="00352428">
      <w:pPr>
        <w:pStyle w:val="Heading1"/>
        <w:rPr>
          <w:rFonts w:ascii="Arial" w:hAnsi="Arial" w:cs="Arial"/>
          <w:sz w:val="22"/>
          <w:szCs w:val="22"/>
        </w:rPr>
      </w:pPr>
      <w:bookmarkStart w:id="4" w:name="_Toc227845172"/>
      <w:r w:rsidRPr="007811BF">
        <w:rPr>
          <w:rFonts w:ascii="Arial" w:hAnsi="Arial" w:cs="Arial"/>
          <w:sz w:val="22"/>
          <w:szCs w:val="22"/>
        </w:rPr>
        <w:t>Conclusion</w:t>
      </w:r>
      <w:bookmarkEnd w:id="4"/>
    </w:p>
    <w:p w14:paraId="0126DB47"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Mr Ahmed’s case brings into focus how closely communication, administration, and teamwork are linked in everyday care practice. Each element plays a distinct role, yet none operates in isolation (Glasby and Dickinson, 2014). Where communication is not fully adapted to a patient’s needs, misunderstandings can occur, particularly in situations involving language differences or post-stroke difficulties (NICE, 2023). Legal frameworks such as the Equality Act 2010 reinforce the expectation that these barriers should be addressed rather than overlooked (Equality Act, 2010).</w:t>
      </w:r>
    </w:p>
    <w:p w14:paraId="4AB6F1A8"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At the same time, the missed domiciliary visit demonstrates how administrative weaknesses can translate directly into risks for the individual (CQC, 2022). Accurate records and clear systems are essential for maintaining continuity and accountability (NMC, 2018). Collaborative working offers a way to strengthen care delivery, but it is not without its challenges, especially when coordination across services is limited.</w:t>
      </w:r>
    </w:p>
    <w:p w14:paraId="6761A314" w14:textId="77777777" w:rsidR="00352428" w:rsidRPr="007811BF" w:rsidRDefault="00352428" w:rsidP="00352428">
      <w:pPr>
        <w:spacing w:line="360" w:lineRule="auto"/>
        <w:jc w:val="both"/>
        <w:rPr>
          <w:rFonts w:ascii="Arial" w:hAnsi="Arial" w:cs="Arial"/>
          <w:sz w:val="22"/>
          <w:szCs w:val="22"/>
        </w:rPr>
      </w:pPr>
      <w:r w:rsidRPr="00352428">
        <w:rPr>
          <w:rFonts w:ascii="Arial" w:hAnsi="Arial" w:cs="Arial"/>
          <w:sz w:val="22"/>
          <w:szCs w:val="22"/>
        </w:rPr>
        <w:t>Overall, the case highlights the importance of consistency in practice, where small gaps can have wider consequences if left unaddressed.</w:t>
      </w:r>
    </w:p>
    <w:p w14:paraId="5AA1A8B3" w14:textId="77777777" w:rsidR="007811BF" w:rsidRPr="007811BF" w:rsidRDefault="007811BF" w:rsidP="00352428">
      <w:pPr>
        <w:spacing w:line="360" w:lineRule="auto"/>
        <w:jc w:val="both"/>
        <w:rPr>
          <w:rFonts w:ascii="Arial" w:hAnsi="Arial" w:cs="Arial"/>
          <w:sz w:val="22"/>
          <w:szCs w:val="22"/>
        </w:rPr>
      </w:pPr>
    </w:p>
    <w:p w14:paraId="378A2982" w14:textId="77777777" w:rsidR="007811BF" w:rsidRPr="00352428" w:rsidRDefault="007811BF" w:rsidP="00352428">
      <w:pPr>
        <w:spacing w:line="360" w:lineRule="auto"/>
        <w:jc w:val="both"/>
        <w:rPr>
          <w:rFonts w:ascii="Arial" w:hAnsi="Arial" w:cs="Arial"/>
          <w:sz w:val="22"/>
          <w:szCs w:val="22"/>
        </w:rPr>
      </w:pPr>
    </w:p>
    <w:p w14:paraId="62DBC168" w14:textId="47362696" w:rsidR="00352428" w:rsidRPr="007811BF" w:rsidRDefault="00352428" w:rsidP="00352428">
      <w:pPr>
        <w:pStyle w:val="Heading1"/>
        <w:rPr>
          <w:rFonts w:ascii="Arial" w:hAnsi="Arial" w:cs="Arial"/>
          <w:sz w:val="22"/>
          <w:szCs w:val="22"/>
        </w:rPr>
      </w:pPr>
      <w:bookmarkStart w:id="5" w:name="_Toc227845173"/>
      <w:r w:rsidRPr="007811BF">
        <w:rPr>
          <w:rFonts w:ascii="Arial" w:hAnsi="Arial" w:cs="Arial"/>
          <w:sz w:val="22"/>
          <w:szCs w:val="22"/>
        </w:rPr>
        <w:lastRenderedPageBreak/>
        <w:t>Reference</w:t>
      </w:r>
      <w:bookmarkEnd w:id="5"/>
    </w:p>
    <w:p w14:paraId="516F0449" w14:textId="4258C71F"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Care Quality Commission (CQC) (2022) </w:t>
      </w:r>
      <w:r w:rsidRPr="00352428">
        <w:rPr>
          <w:rFonts w:ascii="Arial" w:hAnsi="Arial" w:cs="Arial"/>
          <w:i/>
          <w:iCs/>
          <w:sz w:val="22"/>
          <w:szCs w:val="22"/>
        </w:rPr>
        <w:t>Fundamental standards</w:t>
      </w:r>
      <w:r w:rsidRPr="00352428">
        <w:rPr>
          <w:rFonts w:ascii="Arial" w:hAnsi="Arial" w:cs="Arial"/>
          <w:sz w:val="22"/>
          <w:szCs w:val="22"/>
        </w:rPr>
        <w:t xml:space="preserve">. Available at: </w:t>
      </w:r>
      <w:hyperlink r:id="rId9" w:tgtFrame="_new" w:history="1">
        <w:r w:rsidRPr="00352428">
          <w:rPr>
            <w:rStyle w:val="Hyperlink"/>
            <w:rFonts w:ascii="Arial" w:hAnsi="Arial" w:cs="Arial"/>
            <w:sz w:val="22"/>
            <w:szCs w:val="22"/>
          </w:rPr>
          <w:t>https://www.cqc.org.uk/what-we-do/how-we-do-our-job/fundamental-standards</w:t>
        </w:r>
      </w:hyperlink>
      <w:r w:rsidRPr="00352428">
        <w:rPr>
          <w:rFonts w:ascii="Arial" w:hAnsi="Arial" w:cs="Arial"/>
          <w:sz w:val="22"/>
          <w:szCs w:val="22"/>
        </w:rPr>
        <w:t xml:space="preserve"> (Accessed: 22 April 2026).</w:t>
      </w:r>
    </w:p>
    <w:p w14:paraId="2B043837"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Department of Health and Social Care (2018) </w:t>
      </w:r>
      <w:r w:rsidRPr="00352428">
        <w:rPr>
          <w:rFonts w:ascii="Arial" w:hAnsi="Arial" w:cs="Arial"/>
          <w:i/>
          <w:iCs/>
          <w:sz w:val="22"/>
          <w:szCs w:val="22"/>
        </w:rPr>
        <w:t>Data Protection Act 2018</w:t>
      </w:r>
      <w:r w:rsidRPr="00352428">
        <w:rPr>
          <w:rFonts w:ascii="Arial" w:hAnsi="Arial" w:cs="Arial"/>
          <w:sz w:val="22"/>
          <w:szCs w:val="22"/>
        </w:rPr>
        <w:t xml:space="preserve">. Available at: </w:t>
      </w:r>
      <w:hyperlink r:id="rId10" w:tgtFrame="_new" w:history="1">
        <w:r w:rsidRPr="00352428">
          <w:rPr>
            <w:rStyle w:val="Hyperlink"/>
            <w:rFonts w:ascii="Arial" w:hAnsi="Arial" w:cs="Arial"/>
            <w:sz w:val="22"/>
            <w:szCs w:val="22"/>
          </w:rPr>
          <w:t>https://www.gov.uk/data-protection</w:t>
        </w:r>
      </w:hyperlink>
      <w:r w:rsidRPr="00352428">
        <w:rPr>
          <w:rFonts w:ascii="Arial" w:hAnsi="Arial" w:cs="Arial"/>
          <w:sz w:val="22"/>
          <w:szCs w:val="22"/>
        </w:rPr>
        <w:t xml:space="preserve"> (Accessed: 22 April 2026).</w:t>
      </w:r>
    </w:p>
    <w:p w14:paraId="5BED6BB2"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Equality Act (2010) </w:t>
      </w:r>
      <w:r w:rsidRPr="00352428">
        <w:rPr>
          <w:rFonts w:ascii="Arial" w:hAnsi="Arial" w:cs="Arial"/>
          <w:i/>
          <w:iCs/>
          <w:sz w:val="22"/>
          <w:szCs w:val="22"/>
        </w:rPr>
        <w:t>Equality Act 2010</w:t>
      </w:r>
      <w:r w:rsidRPr="00352428">
        <w:rPr>
          <w:rFonts w:ascii="Arial" w:hAnsi="Arial" w:cs="Arial"/>
          <w:sz w:val="22"/>
          <w:szCs w:val="22"/>
        </w:rPr>
        <w:t xml:space="preserve">. Available at: </w:t>
      </w:r>
      <w:hyperlink r:id="rId11" w:tgtFrame="_new" w:history="1">
        <w:r w:rsidRPr="00352428">
          <w:rPr>
            <w:rStyle w:val="Hyperlink"/>
            <w:rFonts w:ascii="Arial" w:hAnsi="Arial" w:cs="Arial"/>
            <w:sz w:val="22"/>
            <w:szCs w:val="22"/>
          </w:rPr>
          <w:t>https://www.legislation.gov.uk/ukpga/2010/15/contents</w:t>
        </w:r>
      </w:hyperlink>
      <w:r w:rsidRPr="00352428">
        <w:rPr>
          <w:rFonts w:ascii="Arial" w:hAnsi="Arial" w:cs="Arial"/>
          <w:sz w:val="22"/>
          <w:szCs w:val="22"/>
        </w:rPr>
        <w:t xml:space="preserve"> (Accessed: 22 April 2026).</w:t>
      </w:r>
    </w:p>
    <w:p w14:paraId="3E498413"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Glasby, J. and Dickinson, H. (2014) </w:t>
      </w:r>
      <w:r w:rsidRPr="00352428">
        <w:rPr>
          <w:rFonts w:ascii="Arial" w:hAnsi="Arial" w:cs="Arial"/>
          <w:i/>
          <w:iCs/>
          <w:sz w:val="22"/>
          <w:szCs w:val="22"/>
        </w:rPr>
        <w:t>Partnership working in health and social care</w:t>
      </w:r>
      <w:r w:rsidRPr="00352428">
        <w:rPr>
          <w:rFonts w:ascii="Arial" w:hAnsi="Arial" w:cs="Arial"/>
          <w:sz w:val="22"/>
          <w:szCs w:val="22"/>
        </w:rPr>
        <w:t>. Bristol: Policy Press.</w:t>
      </w:r>
    </w:p>
    <w:p w14:paraId="255CA2C6"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Information Commissioner’s Office (ICO) (2023) </w:t>
      </w:r>
      <w:r w:rsidRPr="00352428">
        <w:rPr>
          <w:rFonts w:ascii="Arial" w:hAnsi="Arial" w:cs="Arial"/>
          <w:i/>
          <w:iCs/>
          <w:sz w:val="22"/>
          <w:szCs w:val="22"/>
        </w:rPr>
        <w:t>Guide to the UK GDPR</w:t>
      </w:r>
      <w:r w:rsidRPr="00352428">
        <w:rPr>
          <w:rFonts w:ascii="Arial" w:hAnsi="Arial" w:cs="Arial"/>
          <w:sz w:val="22"/>
          <w:szCs w:val="22"/>
        </w:rPr>
        <w:t>. Available at: https://ico.org.uk/for-organisations/guide-to-data-protection/ (Accessed: 22 April 2026).</w:t>
      </w:r>
    </w:p>
    <w:p w14:paraId="6DDD3F8C"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National Institute for Health and Care Excellence (NICE) (2023) </w:t>
      </w:r>
      <w:r w:rsidRPr="00352428">
        <w:rPr>
          <w:rFonts w:ascii="Arial" w:hAnsi="Arial" w:cs="Arial"/>
          <w:i/>
          <w:iCs/>
          <w:sz w:val="22"/>
          <w:szCs w:val="22"/>
        </w:rPr>
        <w:t>Stroke rehabilitation in adults</w:t>
      </w:r>
      <w:r w:rsidRPr="00352428">
        <w:rPr>
          <w:rFonts w:ascii="Arial" w:hAnsi="Arial" w:cs="Arial"/>
          <w:sz w:val="22"/>
          <w:szCs w:val="22"/>
        </w:rPr>
        <w:t xml:space="preserve">. Available at: </w:t>
      </w:r>
      <w:hyperlink r:id="rId12" w:tgtFrame="_new" w:history="1">
        <w:r w:rsidRPr="00352428">
          <w:rPr>
            <w:rStyle w:val="Hyperlink"/>
            <w:rFonts w:ascii="Arial" w:hAnsi="Arial" w:cs="Arial"/>
            <w:sz w:val="22"/>
            <w:szCs w:val="22"/>
          </w:rPr>
          <w:t>https://www.nice.org.uk/guidance/ng236</w:t>
        </w:r>
      </w:hyperlink>
      <w:r w:rsidRPr="00352428">
        <w:rPr>
          <w:rFonts w:ascii="Arial" w:hAnsi="Arial" w:cs="Arial"/>
          <w:sz w:val="22"/>
          <w:szCs w:val="22"/>
        </w:rPr>
        <w:t xml:space="preserve"> (Accessed: 22 April 2026).</w:t>
      </w:r>
    </w:p>
    <w:p w14:paraId="5BDBD1D9"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NHS England (2022) </w:t>
      </w:r>
      <w:r w:rsidRPr="00352428">
        <w:rPr>
          <w:rFonts w:ascii="Arial" w:hAnsi="Arial" w:cs="Arial"/>
          <w:i/>
          <w:iCs/>
          <w:sz w:val="22"/>
          <w:szCs w:val="22"/>
        </w:rPr>
        <w:t>Working in multidisciplinary teams</w:t>
      </w:r>
      <w:r w:rsidRPr="00352428">
        <w:rPr>
          <w:rFonts w:ascii="Arial" w:hAnsi="Arial" w:cs="Arial"/>
          <w:sz w:val="22"/>
          <w:szCs w:val="22"/>
        </w:rPr>
        <w:t xml:space="preserve">. Available at: </w:t>
      </w:r>
      <w:hyperlink r:id="rId13" w:tgtFrame="_new" w:history="1">
        <w:r w:rsidRPr="00352428">
          <w:rPr>
            <w:rStyle w:val="Hyperlink"/>
            <w:rFonts w:ascii="Arial" w:hAnsi="Arial" w:cs="Arial"/>
            <w:sz w:val="22"/>
            <w:szCs w:val="22"/>
          </w:rPr>
          <w:t>https://www.england.nhs.uk</w:t>
        </w:r>
      </w:hyperlink>
      <w:r w:rsidRPr="00352428">
        <w:rPr>
          <w:rFonts w:ascii="Arial" w:hAnsi="Arial" w:cs="Arial"/>
          <w:sz w:val="22"/>
          <w:szCs w:val="22"/>
        </w:rPr>
        <w:t xml:space="preserve"> (Accessed: 22 April 2026).</w:t>
      </w:r>
    </w:p>
    <w:p w14:paraId="1B0E5291"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Nursing and Midwifery Council (NMC) (2018) </w:t>
      </w:r>
      <w:r w:rsidRPr="00352428">
        <w:rPr>
          <w:rFonts w:ascii="Arial" w:hAnsi="Arial" w:cs="Arial"/>
          <w:i/>
          <w:iCs/>
          <w:sz w:val="22"/>
          <w:szCs w:val="22"/>
        </w:rPr>
        <w:t>The Code: Professional standards of practice and behaviour for nurses, midwives and nursing associates</w:t>
      </w:r>
      <w:r w:rsidRPr="00352428">
        <w:rPr>
          <w:rFonts w:ascii="Arial" w:hAnsi="Arial" w:cs="Arial"/>
          <w:sz w:val="22"/>
          <w:szCs w:val="22"/>
        </w:rPr>
        <w:t xml:space="preserve">. Available at: </w:t>
      </w:r>
      <w:hyperlink r:id="rId14" w:tgtFrame="_new" w:history="1">
        <w:r w:rsidRPr="00352428">
          <w:rPr>
            <w:rStyle w:val="Hyperlink"/>
            <w:rFonts w:ascii="Arial" w:hAnsi="Arial" w:cs="Arial"/>
            <w:sz w:val="22"/>
            <w:szCs w:val="22"/>
          </w:rPr>
          <w:t>https://www.nmc.org.uk/standards/code/</w:t>
        </w:r>
      </w:hyperlink>
      <w:r w:rsidRPr="00352428">
        <w:rPr>
          <w:rFonts w:ascii="Arial" w:hAnsi="Arial" w:cs="Arial"/>
          <w:sz w:val="22"/>
          <w:szCs w:val="22"/>
        </w:rPr>
        <w:t xml:space="preserve"> (Accessed: 22 April 2026).</w:t>
      </w:r>
    </w:p>
    <w:p w14:paraId="0F824B43"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Royal College of Physicians (2023) </w:t>
      </w:r>
      <w:r w:rsidRPr="00352428">
        <w:rPr>
          <w:rFonts w:ascii="Arial" w:hAnsi="Arial" w:cs="Arial"/>
          <w:i/>
          <w:iCs/>
          <w:sz w:val="22"/>
          <w:szCs w:val="22"/>
        </w:rPr>
        <w:t>National clinical guideline for stroke</w:t>
      </w:r>
      <w:r w:rsidRPr="00352428">
        <w:rPr>
          <w:rFonts w:ascii="Arial" w:hAnsi="Arial" w:cs="Arial"/>
          <w:sz w:val="22"/>
          <w:szCs w:val="22"/>
        </w:rPr>
        <w:t xml:space="preserve">. Available at: </w:t>
      </w:r>
      <w:hyperlink r:id="rId15" w:tgtFrame="_new" w:history="1">
        <w:r w:rsidRPr="00352428">
          <w:rPr>
            <w:rStyle w:val="Hyperlink"/>
            <w:rFonts w:ascii="Arial" w:hAnsi="Arial" w:cs="Arial"/>
            <w:sz w:val="22"/>
            <w:szCs w:val="22"/>
          </w:rPr>
          <w:t>https://www.rcplondon.ac.uk/guidelines-policy/stroke-guidelines</w:t>
        </w:r>
      </w:hyperlink>
      <w:r w:rsidRPr="00352428">
        <w:rPr>
          <w:rFonts w:ascii="Arial" w:hAnsi="Arial" w:cs="Arial"/>
          <w:sz w:val="22"/>
          <w:szCs w:val="22"/>
        </w:rPr>
        <w:t xml:space="preserve"> (Accessed: 22 April 2026).</w:t>
      </w:r>
    </w:p>
    <w:p w14:paraId="148E00DD"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Shannon, C.E. and Weaver, W. (1949) </w:t>
      </w:r>
      <w:r w:rsidRPr="00352428">
        <w:rPr>
          <w:rFonts w:ascii="Arial" w:hAnsi="Arial" w:cs="Arial"/>
          <w:i/>
          <w:iCs/>
          <w:sz w:val="22"/>
          <w:szCs w:val="22"/>
        </w:rPr>
        <w:t>The mathematical theory of communication</w:t>
      </w:r>
      <w:r w:rsidRPr="00352428">
        <w:rPr>
          <w:rFonts w:ascii="Arial" w:hAnsi="Arial" w:cs="Arial"/>
          <w:sz w:val="22"/>
          <w:szCs w:val="22"/>
        </w:rPr>
        <w:t>. Urbana: University of Illinois Press.</w:t>
      </w:r>
    </w:p>
    <w:p w14:paraId="26C3E89E" w14:textId="77777777" w:rsidR="00352428" w:rsidRPr="00352428" w:rsidRDefault="00352428" w:rsidP="00352428">
      <w:pPr>
        <w:spacing w:line="360" w:lineRule="auto"/>
        <w:jc w:val="both"/>
        <w:rPr>
          <w:rFonts w:ascii="Arial" w:hAnsi="Arial" w:cs="Arial"/>
          <w:sz w:val="22"/>
          <w:szCs w:val="22"/>
        </w:rPr>
      </w:pPr>
      <w:r w:rsidRPr="00352428">
        <w:rPr>
          <w:rFonts w:ascii="Arial" w:hAnsi="Arial" w:cs="Arial"/>
          <w:sz w:val="22"/>
          <w:szCs w:val="22"/>
        </w:rPr>
        <w:t xml:space="preserve">Silverman, J., Kurtz, S. and Draper, J. (2013) </w:t>
      </w:r>
      <w:r w:rsidRPr="00352428">
        <w:rPr>
          <w:rFonts w:ascii="Arial" w:hAnsi="Arial" w:cs="Arial"/>
          <w:i/>
          <w:iCs/>
          <w:sz w:val="22"/>
          <w:szCs w:val="22"/>
        </w:rPr>
        <w:t>Skills for communicating with patients</w:t>
      </w:r>
      <w:r w:rsidRPr="00352428">
        <w:rPr>
          <w:rFonts w:ascii="Arial" w:hAnsi="Arial" w:cs="Arial"/>
          <w:sz w:val="22"/>
          <w:szCs w:val="22"/>
        </w:rPr>
        <w:t xml:space="preserve">. 3rd </w:t>
      </w:r>
      <w:proofErr w:type="spellStart"/>
      <w:r w:rsidRPr="00352428">
        <w:rPr>
          <w:rFonts w:ascii="Arial" w:hAnsi="Arial" w:cs="Arial"/>
          <w:sz w:val="22"/>
          <w:szCs w:val="22"/>
        </w:rPr>
        <w:t>edn</w:t>
      </w:r>
      <w:proofErr w:type="spellEnd"/>
      <w:r w:rsidRPr="00352428">
        <w:rPr>
          <w:rFonts w:ascii="Arial" w:hAnsi="Arial" w:cs="Arial"/>
          <w:sz w:val="22"/>
          <w:szCs w:val="22"/>
        </w:rPr>
        <w:t>. London: Radcliffe Publishing.</w:t>
      </w:r>
    </w:p>
    <w:p w14:paraId="089CAC6F" w14:textId="77777777" w:rsidR="00352428" w:rsidRPr="007811BF" w:rsidRDefault="00352428" w:rsidP="00352428">
      <w:pPr>
        <w:spacing w:line="360" w:lineRule="auto"/>
        <w:jc w:val="both"/>
        <w:rPr>
          <w:rFonts w:ascii="Arial" w:hAnsi="Arial" w:cs="Arial"/>
          <w:sz w:val="22"/>
          <w:szCs w:val="22"/>
        </w:rPr>
      </w:pPr>
    </w:p>
    <w:sectPr w:rsidR="00352428" w:rsidRPr="007811B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3CC9FA" w14:textId="77777777" w:rsidR="00AF1B2A" w:rsidRDefault="00AF1B2A" w:rsidP="007811BF">
      <w:pPr>
        <w:spacing w:after="0" w:line="240" w:lineRule="auto"/>
      </w:pPr>
      <w:r>
        <w:separator/>
      </w:r>
    </w:p>
  </w:endnote>
  <w:endnote w:type="continuationSeparator" w:id="0">
    <w:p w14:paraId="77330B2E" w14:textId="77777777" w:rsidR="00AF1B2A" w:rsidRDefault="00AF1B2A" w:rsidP="00781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8982472"/>
      <w:docPartObj>
        <w:docPartGallery w:val="Page Numbers (Bottom of Page)"/>
        <w:docPartUnique/>
      </w:docPartObj>
    </w:sdtPr>
    <w:sdtContent>
      <w:p w14:paraId="2B7B0469" w14:textId="22207289" w:rsidR="007811BF" w:rsidRDefault="007811BF">
        <w:pPr>
          <w:pStyle w:val="Footer"/>
          <w:jc w:val="right"/>
        </w:pPr>
        <w:r>
          <w:fldChar w:fldCharType="begin"/>
        </w:r>
        <w:r>
          <w:instrText>PAGE   \* MERGEFORMAT</w:instrText>
        </w:r>
        <w:r>
          <w:fldChar w:fldCharType="separate"/>
        </w:r>
        <w:r>
          <w:t>2</w:t>
        </w:r>
        <w:r>
          <w:fldChar w:fldCharType="end"/>
        </w:r>
      </w:p>
    </w:sdtContent>
  </w:sdt>
  <w:p w14:paraId="6A2D5FC3" w14:textId="77777777" w:rsidR="007811BF" w:rsidRDefault="00781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2666A" w14:textId="77777777" w:rsidR="00AF1B2A" w:rsidRDefault="00AF1B2A" w:rsidP="007811BF">
      <w:pPr>
        <w:spacing w:after="0" w:line="240" w:lineRule="auto"/>
      </w:pPr>
      <w:r>
        <w:separator/>
      </w:r>
    </w:p>
  </w:footnote>
  <w:footnote w:type="continuationSeparator" w:id="0">
    <w:p w14:paraId="49E7E853" w14:textId="77777777" w:rsidR="00AF1B2A" w:rsidRDefault="00AF1B2A" w:rsidP="007811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428"/>
    <w:rsid w:val="00352428"/>
    <w:rsid w:val="006D550D"/>
    <w:rsid w:val="007811BF"/>
    <w:rsid w:val="00AF1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98282"/>
  <w15:chartTrackingRefBased/>
  <w15:docId w15:val="{5FB71886-516B-41E0-BE61-8D585F0BE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4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4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4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4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4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4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4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4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4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4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4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4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4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4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4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4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4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428"/>
    <w:rPr>
      <w:rFonts w:eastAsiaTheme="majorEastAsia" w:cstheme="majorBidi"/>
      <w:color w:val="272727" w:themeColor="text1" w:themeTint="D8"/>
    </w:rPr>
  </w:style>
  <w:style w:type="paragraph" w:styleId="Title">
    <w:name w:val="Title"/>
    <w:basedOn w:val="Normal"/>
    <w:next w:val="Normal"/>
    <w:link w:val="TitleChar"/>
    <w:uiPriority w:val="10"/>
    <w:qFormat/>
    <w:rsid w:val="003524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4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4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4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428"/>
    <w:pPr>
      <w:spacing w:before="160"/>
      <w:jc w:val="center"/>
    </w:pPr>
    <w:rPr>
      <w:i/>
      <w:iCs/>
      <w:color w:val="404040" w:themeColor="text1" w:themeTint="BF"/>
    </w:rPr>
  </w:style>
  <w:style w:type="character" w:customStyle="1" w:styleId="QuoteChar">
    <w:name w:val="Quote Char"/>
    <w:basedOn w:val="DefaultParagraphFont"/>
    <w:link w:val="Quote"/>
    <w:uiPriority w:val="29"/>
    <w:rsid w:val="00352428"/>
    <w:rPr>
      <w:i/>
      <w:iCs/>
      <w:color w:val="404040" w:themeColor="text1" w:themeTint="BF"/>
    </w:rPr>
  </w:style>
  <w:style w:type="paragraph" w:styleId="ListParagraph">
    <w:name w:val="List Paragraph"/>
    <w:basedOn w:val="Normal"/>
    <w:uiPriority w:val="34"/>
    <w:qFormat/>
    <w:rsid w:val="00352428"/>
    <w:pPr>
      <w:ind w:left="720"/>
      <w:contextualSpacing/>
    </w:pPr>
  </w:style>
  <w:style w:type="character" w:styleId="IntenseEmphasis">
    <w:name w:val="Intense Emphasis"/>
    <w:basedOn w:val="DefaultParagraphFont"/>
    <w:uiPriority w:val="21"/>
    <w:qFormat/>
    <w:rsid w:val="00352428"/>
    <w:rPr>
      <w:i/>
      <w:iCs/>
      <w:color w:val="0F4761" w:themeColor="accent1" w:themeShade="BF"/>
    </w:rPr>
  </w:style>
  <w:style w:type="paragraph" w:styleId="IntenseQuote">
    <w:name w:val="Intense Quote"/>
    <w:basedOn w:val="Normal"/>
    <w:next w:val="Normal"/>
    <w:link w:val="IntenseQuoteChar"/>
    <w:uiPriority w:val="30"/>
    <w:qFormat/>
    <w:rsid w:val="003524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428"/>
    <w:rPr>
      <w:i/>
      <w:iCs/>
      <w:color w:val="0F4761" w:themeColor="accent1" w:themeShade="BF"/>
    </w:rPr>
  </w:style>
  <w:style w:type="character" w:styleId="IntenseReference">
    <w:name w:val="Intense Reference"/>
    <w:basedOn w:val="DefaultParagraphFont"/>
    <w:uiPriority w:val="32"/>
    <w:qFormat/>
    <w:rsid w:val="00352428"/>
    <w:rPr>
      <w:b/>
      <w:bCs/>
      <w:smallCaps/>
      <w:color w:val="0F4761" w:themeColor="accent1" w:themeShade="BF"/>
      <w:spacing w:val="5"/>
    </w:rPr>
  </w:style>
  <w:style w:type="character" w:styleId="Hyperlink">
    <w:name w:val="Hyperlink"/>
    <w:basedOn w:val="DefaultParagraphFont"/>
    <w:uiPriority w:val="99"/>
    <w:unhideWhenUsed/>
    <w:rsid w:val="00352428"/>
    <w:rPr>
      <w:color w:val="467886" w:themeColor="hyperlink"/>
      <w:u w:val="single"/>
    </w:rPr>
  </w:style>
  <w:style w:type="character" w:styleId="UnresolvedMention">
    <w:name w:val="Unresolved Mention"/>
    <w:basedOn w:val="DefaultParagraphFont"/>
    <w:uiPriority w:val="99"/>
    <w:semiHidden/>
    <w:unhideWhenUsed/>
    <w:rsid w:val="00352428"/>
    <w:rPr>
      <w:color w:val="605E5C"/>
      <w:shd w:val="clear" w:color="auto" w:fill="E1DFDD"/>
    </w:rPr>
  </w:style>
  <w:style w:type="paragraph" w:styleId="TOCHeading">
    <w:name w:val="TOC Heading"/>
    <w:basedOn w:val="Heading1"/>
    <w:next w:val="Normal"/>
    <w:uiPriority w:val="39"/>
    <w:unhideWhenUsed/>
    <w:qFormat/>
    <w:rsid w:val="0035242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52428"/>
    <w:pPr>
      <w:spacing w:after="100"/>
    </w:pPr>
  </w:style>
  <w:style w:type="paragraph" w:styleId="Header">
    <w:name w:val="header"/>
    <w:basedOn w:val="Normal"/>
    <w:link w:val="HeaderChar"/>
    <w:uiPriority w:val="99"/>
    <w:unhideWhenUsed/>
    <w:rsid w:val="00781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1BF"/>
  </w:style>
  <w:style w:type="paragraph" w:styleId="Footer">
    <w:name w:val="footer"/>
    <w:basedOn w:val="Normal"/>
    <w:link w:val="FooterChar"/>
    <w:uiPriority w:val="99"/>
    <w:unhideWhenUsed/>
    <w:rsid w:val="00781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23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hyperlink" Target="https://www.rcplondon.ac.uk/guidelines-policy/stroke-guidelines" TargetMode="External"/><Relationship Id="rId10" Type="http://schemas.openxmlformats.org/officeDocument/2006/relationships/hyperlink" Target="https://www.gov.uk/data-protection" TargetMode="External"/><Relationship Id="rId4" Type="http://schemas.openxmlformats.org/officeDocument/2006/relationships/webSettings" Target="webSettings.xml"/><Relationship Id="rId9" Type="http://schemas.openxmlformats.org/officeDocument/2006/relationships/hyperlink" Target="https://www.cqc.org.uk/what-we-do/how-we-do-our-job/fundamental-standards"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02607E-59BA-4C3D-95B3-D8FEEC346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2004</Words>
  <Characters>11426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Portulez</dc:creator>
  <cp:keywords/>
  <dc:description/>
  <cp:lastModifiedBy>Isabel Portulez</cp:lastModifiedBy>
  <cp:revision>1</cp:revision>
  <dcterms:created xsi:type="dcterms:W3CDTF">2026-04-23T12:49:00Z</dcterms:created>
  <dcterms:modified xsi:type="dcterms:W3CDTF">2026-04-23T13:03:00Z</dcterms:modified>
</cp:coreProperties>
</file>