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41F4" w:rsidRDefault="00F25F21" w:rsidP="00F25F21">
      <w:pPr>
        <w:spacing w:line="288" w:lineRule="auto"/>
        <w:rPr>
          <w:b/>
          <w:sz w:val="28"/>
          <w:szCs w:val="28"/>
        </w:rPr>
      </w:pPr>
      <w:r w:rsidRPr="00F25F21">
        <w:rPr>
          <w:b/>
          <w:sz w:val="28"/>
          <w:szCs w:val="28"/>
        </w:rPr>
        <w:t>LAND IS POWER</w:t>
      </w:r>
    </w:p>
    <w:p w:rsidR="00F25F21" w:rsidRDefault="00F25F21" w:rsidP="00F25F21">
      <w:pPr>
        <w:spacing w:line="288" w:lineRule="auto"/>
        <w:rPr>
          <w:b/>
          <w:sz w:val="28"/>
          <w:szCs w:val="28"/>
        </w:rPr>
      </w:pPr>
    </w:p>
    <w:p w:rsidR="00F25F21" w:rsidRDefault="00F25F21" w:rsidP="00F25F21">
      <w:pPr>
        <w:spacing w:line="288" w:lineRule="auto"/>
        <w:rPr>
          <w:sz w:val="28"/>
          <w:szCs w:val="28"/>
        </w:rPr>
      </w:pPr>
      <w:r>
        <w:rPr>
          <w:sz w:val="28"/>
          <w:szCs w:val="28"/>
        </w:rPr>
        <w:t>One of the first questions one might like to ask about élites is how they were distinguished. This is a big question, and largely beyond the remit of this module. However we can say that in medieval society land was at the basis of wealth and power. The giving of land was a source of patronage. In Anglo-Saxon society, as records of land grant and land tenure become more plentiful we get a picture of a society in which land was held in return for service, either service in the fyrd (army), or for the building of bridges or burhs. In the wake of the Norman Conquest land tenure became more formalised as military tenure. Land was held of the king for knight service by his barons, or tenants in chief, who owed him a certain number of knights for the army. In time these barons subinfeudated their lands, so that knights held of them. All these processes may be documented in records called CHARTERS.</w:t>
      </w:r>
    </w:p>
    <w:p w:rsidR="00F25F21" w:rsidRDefault="00F25F21" w:rsidP="00F25F21">
      <w:pPr>
        <w:spacing w:line="288" w:lineRule="auto"/>
        <w:rPr>
          <w:sz w:val="28"/>
          <w:szCs w:val="28"/>
        </w:rPr>
      </w:pPr>
    </w:p>
    <w:p w:rsidR="00C16346" w:rsidRDefault="00F25F21" w:rsidP="00F25F21">
      <w:pPr>
        <w:spacing w:line="288" w:lineRule="auto"/>
        <w:rPr>
          <w:sz w:val="28"/>
          <w:szCs w:val="28"/>
        </w:rPr>
      </w:pPr>
      <w:r>
        <w:rPr>
          <w:sz w:val="28"/>
          <w:szCs w:val="28"/>
        </w:rPr>
        <w:t xml:space="preserve">The twelfth century was an important period in the development of government in England, and records of government increased in both number and type. As the period of military conquest passed into a more settled phase, the holding of land might be signified by other services, not just military. Moreover the king developed further rights of jurisdiction over his tenants in chief. He could control inheritance to baronies, and the marriage of widows and heiresses, as well as wardship of underage heirs. All these rights are </w:t>
      </w:r>
      <w:r w:rsidR="00C16346">
        <w:rPr>
          <w:sz w:val="28"/>
          <w:szCs w:val="28"/>
        </w:rPr>
        <w:t>reflected in an ever increasing royal bureaucracy and the records it produced.</w:t>
      </w:r>
    </w:p>
    <w:p w:rsidR="00C16346" w:rsidRDefault="00C16346" w:rsidP="00F25F21">
      <w:pPr>
        <w:spacing w:line="288" w:lineRule="auto"/>
        <w:rPr>
          <w:sz w:val="28"/>
          <w:szCs w:val="28"/>
        </w:rPr>
      </w:pPr>
    </w:p>
    <w:p w:rsidR="00C16346" w:rsidRDefault="00C16346" w:rsidP="00F25F21">
      <w:pPr>
        <w:spacing w:line="288" w:lineRule="auto"/>
        <w:rPr>
          <w:sz w:val="28"/>
          <w:szCs w:val="28"/>
        </w:rPr>
      </w:pPr>
      <w:r>
        <w:rPr>
          <w:sz w:val="28"/>
          <w:szCs w:val="28"/>
        </w:rPr>
        <w:t>Some of these records, such as the proof of age associated with the inquest into inheritance, and whether heirs were of age to inherit, are explored in the accompanying powerpoint, ‘Land is Power’.</w:t>
      </w:r>
    </w:p>
    <w:p w:rsidR="00C16346" w:rsidRDefault="00C16346" w:rsidP="00F25F21">
      <w:pPr>
        <w:spacing w:line="288" w:lineRule="auto"/>
        <w:rPr>
          <w:sz w:val="28"/>
          <w:szCs w:val="28"/>
        </w:rPr>
      </w:pPr>
    </w:p>
    <w:p w:rsidR="00C16346" w:rsidRDefault="00C16346" w:rsidP="00F25F21">
      <w:pPr>
        <w:spacing w:line="288" w:lineRule="auto"/>
        <w:rPr>
          <w:sz w:val="28"/>
          <w:szCs w:val="28"/>
        </w:rPr>
      </w:pPr>
      <w:r>
        <w:rPr>
          <w:sz w:val="28"/>
          <w:szCs w:val="28"/>
        </w:rPr>
        <w:t xml:space="preserve">The other issue that is explored in some detail in this powerpoint presentation is the transfer of land through charters. Charters survive in their thousands and hundreds of thousands. They may survive as original charters – the original that was drawn up at the time of the transaction – or in later copies. Later copies were often brought together for safekeeping in books known as </w:t>
      </w:r>
      <w:r>
        <w:rPr>
          <w:sz w:val="28"/>
          <w:szCs w:val="28"/>
        </w:rPr>
        <w:lastRenderedPageBreak/>
        <w:t>cartularies. The difference between the two for the researcher is explored towards the end of the powerpoint.</w:t>
      </w:r>
    </w:p>
    <w:p w:rsidR="00C16346" w:rsidRDefault="00C16346" w:rsidP="00F25F21">
      <w:pPr>
        <w:spacing w:line="288" w:lineRule="auto"/>
        <w:rPr>
          <w:sz w:val="28"/>
          <w:szCs w:val="28"/>
        </w:rPr>
      </w:pPr>
    </w:p>
    <w:p w:rsidR="00C16346" w:rsidRDefault="00C16346" w:rsidP="00F25F21">
      <w:pPr>
        <w:spacing w:line="288" w:lineRule="auto"/>
        <w:rPr>
          <w:sz w:val="28"/>
          <w:szCs w:val="28"/>
        </w:rPr>
      </w:pPr>
      <w:r>
        <w:rPr>
          <w:sz w:val="28"/>
          <w:szCs w:val="28"/>
        </w:rPr>
        <w:t>The research potential of charters is great – and you may think about some of these issues as you explore the powerpoint and the reading.</w:t>
      </w:r>
    </w:p>
    <w:p w:rsidR="00BE7C03" w:rsidRDefault="00BE7C03" w:rsidP="00F25F21">
      <w:pPr>
        <w:spacing w:line="288" w:lineRule="auto"/>
        <w:rPr>
          <w:sz w:val="28"/>
          <w:szCs w:val="28"/>
        </w:rPr>
      </w:pPr>
    </w:p>
    <w:p w:rsidR="00BE7C03" w:rsidRDefault="00BE7C03" w:rsidP="00F25F21">
      <w:pPr>
        <w:spacing w:line="288" w:lineRule="auto"/>
        <w:rPr>
          <w:sz w:val="28"/>
          <w:szCs w:val="28"/>
        </w:rPr>
      </w:pPr>
      <w:r>
        <w:rPr>
          <w:sz w:val="28"/>
          <w:szCs w:val="28"/>
        </w:rPr>
        <w:t>I’ve added a couple of websites, with reading, which might be useful.</w:t>
      </w:r>
    </w:p>
    <w:p w:rsidR="00C16346" w:rsidRDefault="00C16346" w:rsidP="00F25F21">
      <w:pPr>
        <w:spacing w:line="288" w:lineRule="auto"/>
        <w:rPr>
          <w:sz w:val="28"/>
          <w:szCs w:val="28"/>
        </w:rPr>
      </w:pPr>
    </w:p>
    <w:p w:rsidR="00F25F21" w:rsidRPr="00F25F21" w:rsidRDefault="00C16346" w:rsidP="00F25F21">
      <w:pPr>
        <w:spacing w:line="288" w:lineRule="auto"/>
        <w:rPr>
          <w:sz w:val="28"/>
          <w:szCs w:val="28"/>
        </w:rPr>
      </w:pPr>
      <w:r>
        <w:rPr>
          <w:sz w:val="28"/>
          <w:szCs w:val="28"/>
        </w:rPr>
        <w:t xml:space="preserve"> </w:t>
      </w:r>
    </w:p>
    <w:sectPr w:rsidR="00F25F21" w:rsidRPr="00F25F21"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F25F21"/>
    <w:rsid w:val="001763B5"/>
    <w:rsid w:val="00415E53"/>
    <w:rsid w:val="00723695"/>
    <w:rsid w:val="00BE7C03"/>
    <w:rsid w:val="00C16346"/>
    <w:rsid w:val="00C741F4"/>
    <w:rsid w:val="00F25F2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41F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2</Pages>
  <Words>363</Words>
  <Characters>2070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3</cp:revision>
  <dcterms:created xsi:type="dcterms:W3CDTF">2012-10-16T13:59:00Z</dcterms:created>
  <dcterms:modified xsi:type="dcterms:W3CDTF">2012-10-16T14:25:00Z</dcterms:modified>
</cp:coreProperties>
</file>