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2CDE9C" w14:textId="0C6D072A" w:rsidR="000743D9" w:rsidRDefault="007B20E3" w:rsidP="000743D9">
      <w:pPr>
        <w:pStyle w:val="Heading1"/>
        <w:spacing w:line="360" w:lineRule="auto"/>
      </w:pPr>
      <w:r>
        <w:t>From Whom</w:t>
      </w:r>
      <w:r w:rsidR="00E208F3">
        <w:t>: The Meaning of Narrative Fiction</w:t>
      </w:r>
    </w:p>
    <w:p w14:paraId="78A03F49" w14:textId="26A14647" w:rsidR="000743D9" w:rsidRPr="000743D9" w:rsidRDefault="000743D9" w:rsidP="000743D9">
      <w:pPr>
        <w:jc w:val="center"/>
        <w:rPr>
          <w:sz w:val="22"/>
          <w:szCs w:val="22"/>
        </w:rPr>
      </w:pPr>
      <w:r w:rsidRPr="000743D9">
        <w:rPr>
          <w:sz w:val="22"/>
          <w:szCs w:val="22"/>
        </w:rPr>
        <w:t>An Essay by Eden</w:t>
      </w:r>
    </w:p>
    <w:p w14:paraId="78FA5672" w14:textId="496758D5" w:rsidR="00AB5F1E" w:rsidRDefault="002C7484" w:rsidP="00C85A4D">
      <w:pPr>
        <w:jc w:val="both"/>
      </w:pPr>
      <w:r>
        <w:t>When</w:t>
      </w:r>
      <w:r w:rsidR="00FB43FD">
        <w:t xml:space="preserve"> one refers to meaning in a narrative piece of work, be them an author or a reader, </w:t>
      </w:r>
      <w:r w:rsidR="00C8297A">
        <w:t xml:space="preserve">they often refer to what </w:t>
      </w:r>
      <w:r w:rsidR="007462A8">
        <w:t xml:space="preserve">the work </w:t>
      </w:r>
      <w:r w:rsidR="00C8297A">
        <w:t xml:space="preserve">is trying to say, what it wants to tell the reader in its subtext. </w:t>
      </w:r>
      <w:r w:rsidR="003B26F7">
        <w:t xml:space="preserve">However, this concept of meaning can be easily </w:t>
      </w:r>
      <w:r w:rsidR="007B070F">
        <w:t>confused</w:t>
      </w:r>
      <w:r w:rsidR="00F70FDD">
        <w:t xml:space="preserve"> and the ways in which we define a narrative work can differ depending on who we are, our experiences, the interpretation of intention by the author and the text itself</w:t>
      </w:r>
      <w:r w:rsidR="00590B3B">
        <w:t>. It becomes increasingly difficult to track who or what truly dictates the meaning of a tex</w:t>
      </w:r>
      <w:r w:rsidR="00523854">
        <w:t>t</w:t>
      </w:r>
      <w:r w:rsidR="003E11C9">
        <w:t>, and to what extent they each contribute</w:t>
      </w:r>
      <w:r w:rsidR="00523854">
        <w:t xml:space="preserve">. In this essay, I will discuss the three major contributors of meaning, </w:t>
      </w:r>
      <w:r w:rsidR="009F04EB">
        <w:t>the writer, the reader’s experience, and the language and structure use</w:t>
      </w:r>
      <w:r w:rsidR="00AD585C">
        <w:t>d</w:t>
      </w:r>
      <w:r w:rsidR="009F04EB">
        <w:t>,</w:t>
      </w:r>
      <w:r w:rsidR="00AB5F1E">
        <w:t xml:space="preserve"> through Chinua Achebe’s </w:t>
      </w:r>
      <w:r w:rsidR="00ED047E">
        <w:t>‘</w:t>
      </w:r>
      <w:r w:rsidR="00ED1C23">
        <w:t>Things Fall Apart.</w:t>
      </w:r>
      <w:r w:rsidR="00ED047E">
        <w:t>’</w:t>
      </w:r>
    </w:p>
    <w:p w14:paraId="15180AA1" w14:textId="1135EC05" w:rsidR="00D7529B" w:rsidRDefault="00AD23F9" w:rsidP="00C85A4D">
      <w:pPr>
        <w:jc w:val="both"/>
      </w:pPr>
      <w:r>
        <w:t xml:space="preserve">From an outside perspective, it would be a common </w:t>
      </w:r>
      <w:r w:rsidR="009656CA">
        <w:t>consideration</w:t>
      </w:r>
      <w:r>
        <w:t xml:space="preserve"> that the writer himself woul</w:t>
      </w:r>
      <w:r w:rsidR="00ED047E">
        <w:t xml:space="preserve">d contribute most to how a narrative work is defined, and they would be right to consider such a thing but only to a certain extent. </w:t>
      </w:r>
      <w:r w:rsidR="009656CA">
        <w:t xml:space="preserve">In </w:t>
      </w:r>
      <w:r w:rsidR="00A0240E">
        <w:t xml:space="preserve">their book, </w:t>
      </w:r>
      <w:r w:rsidR="000568C9">
        <w:t>‘</w:t>
      </w:r>
      <w:r w:rsidR="000568C9" w:rsidRPr="000568C9">
        <w:t>An Introduction to Literature, Criticism and Theory</w:t>
      </w:r>
      <w:r w:rsidR="000568C9">
        <w:t xml:space="preserve">,’ </w:t>
      </w:r>
      <w:r w:rsidR="00492238">
        <w:t>Andrew Bennett and Nicholas Royle consider the author a</w:t>
      </w:r>
      <w:r w:rsidR="00C7316E">
        <w:t xml:space="preserve">s a </w:t>
      </w:r>
      <w:r w:rsidR="00D234BA">
        <w:t>‘</w:t>
      </w:r>
      <w:r w:rsidR="003A024B">
        <w:t>an absent presence</w:t>
      </w:r>
      <w:r w:rsidR="00D234BA">
        <w:t>’</w:t>
      </w:r>
      <w:r w:rsidR="003A024B">
        <w:t xml:space="preserve"> in a narrative text.</w:t>
      </w:r>
      <w:r w:rsidR="00D234BA">
        <w:rPr>
          <w:rStyle w:val="FootnoteReference"/>
        </w:rPr>
        <w:footnoteReference w:id="1"/>
      </w:r>
      <w:r w:rsidR="00761ACB">
        <w:t xml:space="preserve"> The quote summarises the role of the author quite succinctly in such a sense; he </w:t>
      </w:r>
      <w:r w:rsidR="00B86CA4">
        <w:t>allows himself to be seen through the narrative but only in moderation</w:t>
      </w:r>
      <w:r w:rsidR="0055064E">
        <w:t xml:space="preserve">, in </w:t>
      </w:r>
      <w:r w:rsidR="00F5287B">
        <w:t xml:space="preserve">the experiences we as readers can only interpret as his own, in the cultures and </w:t>
      </w:r>
      <w:r w:rsidR="00276F44">
        <w:t>lives he interprets on the page</w:t>
      </w:r>
      <w:r w:rsidR="00B86CA4">
        <w:t xml:space="preserve">. </w:t>
      </w:r>
      <w:r w:rsidR="001B341A">
        <w:t>Chinua Achebe wrote ‘Things Fall Apart’ with his own culture, both pre and post colonisation, in mind</w:t>
      </w:r>
      <w:r w:rsidR="00E45FF8">
        <w:t xml:space="preserve">, and his intimate knowledge is exposed in the </w:t>
      </w:r>
      <w:r w:rsidR="00AB6CE3">
        <w:t>both the text and subtext</w:t>
      </w:r>
      <w:r w:rsidR="00E45FF8">
        <w:t xml:space="preserve"> throughout the book. </w:t>
      </w:r>
      <w:r w:rsidR="005C1A43">
        <w:t>When exploring the novel, Achebe does not insert himself into the narrative, but his own influences, his own culture</w:t>
      </w:r>
      <w:r w:rsidR="006B08FB">
        <w:t>,</w:t>
      </w:r>
      <w:r w:rsidR="005C1A43">
        <w:t xml:space="preserve"> </w:t>
      </w:r>
      <w:r w:rsidR="006B08FB">
        <w:t>spill onto the pag</w:t>
      </w:r>
      <w:r w:rsidR="00C86687">
        <w:t>e; we have a silent conversation with him</w:t>
      </w:r>
      <w:r w:rsidR="00307F1C">
        <w:t xml:space="preserve"> about his personal identity and how he used it in his work</w:t>
      </w:r>
      <w:r w:rsidR="001B03FE">
        <w:t>. He embodies the ‘absent presence’ Bennett and Royle discuss</w:t>
      </w:r>
      <w:r w:rsidR="006669C4">
        <w:t xml:space="preserve"> for he is </w:t>
      </w:r>
      <w:r w:rsidR="005A3D04">
        <w:t>there,</w:t>
      </w:r>
      <w:r w:rsidR="006669C4">
        <w:t xml:space="preserve"> but we are unable to see him, perhaps not until we look </w:t>
      </w:r>
      <w:r w:rsidR="006669C4">
        <w:lastRenderedPageBreak/>
        <w:t xml:space="preserve">closely </w:t>
      </w:r>
      <w:r w:rsidR="005B6EF9">
        <w:t>at</w:t>
      </w:r>
      <w:r w:rsidR="006669C4">
        <w:t xml:space="preserve"> both the text and Achebe’s history</w:t>
      </w:r>
      <w:r w:rsidR="006216FE">
        <w:t xml:space="preserve">. </w:t>
      </w:r>
      <w:r w:rsidR="00903E6C">
        <w:t xml:space="preserve">Achebe had intentions with this </w:t>
      </w:r>
      <w:r w:rsidR="00065E67">
        <w:t>concept to flesh out the meaning of ‘Things Fall Apart,’ for without the intimate details of the Ibo, we as readers would lack the contex</w:t>
      </w:r>
      <w:r w:rsidR="00017551">
        <w:t xml:space="preserve">t of the novel itself, the context which we must rely on to comprehend Achebe’s message. </w:t>
      </w:r>
      <w:r w:rsidR="000E4E6C">
        <w:t xml:space="preserve">At </w:t>
      </w:r>
      <w:r w:rsidR="00440232">
        <w:t>least one of those messages</w:t>
      </w:r>
      <w:r w:rsidR="00DC7206">
        <w:t xml:space="preserve"> </w:t>
      </w:r>
      <w:r w:rsidR="000628A9">
        <w:t xml:space="preserve">Achebe was stitching together </w:t>
      </w:r>
      <w:r w:rsidR="00440232">
        <w:t>was that the Ibo</w:t>
      </w:r>
      <w:r w:rsidR="0032386A">
        <w:t>,</w:t>
      </w:r>
      <w:r w:rsidR="00DC7206">
        <w:t xml:space="preserve"> and by extension </w:t>
      </w:r>
      <w:r w:rsidR="000A02F8">
        <w:t xml:space="preserve">other </w:t>
      </w:r>
      <w:r w:rsidR="00DC7206">
        <w:t xml:space="preserve">African </w:t>
      </w:r>
      <w:r w:rsidR="004C3B35">
        <w:t xml:space="preserve">cultures, </w:t>
      </w:r>
      <w:r w:rsidR="00406CC2">
        <w:t>are</w:t>
      </w:r>
      <w:r w:rsidR="00592FEA">
        <w:t xml:space="preserve"> no less different to Europeans.</w:t>
      </w:r>
      <w:r w:rsidR="000E4E6C">
        <w:t xml:space="preserve"> </w:t>
      </w:r>
      <w:r w:rsidR="000A02F8">
        <w:t>Correlations</w:t>
      </w:r>
      <w:r w:rsidR="000E4E6C">
        <w:t xml:space="preserve"> </w:t>
      </w:r>
      <w:r w:rsidR="00FD08A3">
        <w:t>between</w:t>
      </w:r>
      <w:r w:rsidR="000E4E6C">
        <w:t xml:space="preserve"> the Ibo culture Achebe describes, from the huge emphasis on wrestling, the </w:t>
      </w:r>
      <w:r w:rsidR="009611C0">
        <w:t>Gods,</w:t>
      </w:r>
      <w:r w:rsidR="000E4E6C">
        <w:t xml:space="preserve"> and the spiritual world beyond</w:t>
      </w:r>
      <w:r w:rsidR="00FD08A3">
        <w:t>, and Ancient Greece, who had many of the same perceptions of life</w:t>
      </w:r>
      <w:r w:rsidR="000A02F8">
        <w:t>, are established throughout the text</w:t>
      </w:r>
      <w:r w:rsidR="00FD08A3">
        <w:t xml:space="preserve">. Achebe was not only essential for the existence of the text itself, but the </w:t>
      </w:r>
      <w:r w:rsidR="00C87363">
        <w:t xml:space="preserve">way meaning is derived. However, </w:t>
      </w:r>
      <w:r w:rsidR="00D7529B">
        <w:t>other</w:t>
      </w:r>
      <w:r w:rsidR="000A02F8">
        <w:t xml:space="preserve"> critics</w:t>
      </w:r>
      <w:r w:rsidR="00C87363">
        <w:t xml:space="preserve"> </w:t>
      </w:r>
      <w:r w:rsidR="00D7529B">
        <w:t>are more inclined to disagree that the author is essential at all to deriving meaning</w:t>
      </w:r>
      <w:r w:rsidR="00D61D42">
        <w:t xml:space="preserve"> from narrative fiction. </w:t>
      </w:r>
      <w:r w:rsidR="00A878CC">
        <w:t xml:space="preserve">Further reading of Bennett and Royle’s book </w:t>
      </w:r>
      <w:r w:rsidR="005855A2">
        <w:t xml:space="preserve">exposes their concept that the author is not an author at all. They go so far as to say the author we consider is </w:t>
      </w:r>
      <w:r w:rsidR="00E05E30">
        <w:t>a ‘personal projection</w:t>
      </w:r>
      <w:r w:rsidR="00903E86">
        <w:t>.</w:t>
      </w:r>
      <w:r w:rsidR="00E05E30">
        <w:t>’</w:t>
      </w:r>
      <w:r w:rsidR="00A20426">
        <w:rPr>
          <w:rStyle w:val="FootnoteReference"/>
        </w:rPr>
        <w:footnoteReference w:id="2"/>
      </w:r>
      <w:r w:rsidR="00903E86">
        <w:t xml:space="preserve"> That the author himself is a reflection of our expectations</w:t>
      </w:r>
      <w:r w:rsidR="00C12757">
        <w:t xml:space="preserve">. </w:t>
      </w:r>
      <w:r w:rsidR="00C04DFE">
        <w:t xml:space="preserve">When a </w:t>
      </w:r>
      <w:r w:rsidR="00F77E5C">
        <w:t>critic</w:t>
      </w:r>
      <w:r w:rsidR="00C04DFE">
        <w:t xml:space="preserve"> considers a narrative work’s meaning, </w:t>
      </w:r>
      <w:r w:rsidR="00F77E5C">
        <w:t>they</w:t>
      </w:r>
      <w:r w:rsidR="00C04DFE">
        <w:t xml:space="preserve"> ask if that is what the author ‘intended</w:t>
      </w:r>
      <w:r w:rsidR="00F77E5C">
        <w:t>.</w:t>
      </w:r>
      <w:r w:rsidR="00C04DFE">
        <w:t>’</w:t>
      </w:r>
      <w:r w:rsidR="00F77E5C">
        <w:t xml:space="preserve"> </w:t>
      </w:r>
      <w:r w:rsidR="00B579BA">
        <w:t xml:space="preserve">This leads into the concept of the Intentional Fallacy, proposed by </w:t>
      </w:r>
      <w:r w:rsidR="001736B4">
        <w:t>Beardsley and Wimsatt</w:t>
      </w:r>
      <w:r w:rsidR="000F0786">
        <w:t xml:space="preserve">, in which the author’s </w:t>
      </w:r>
      <w:r w:rsidR="00D46121">
        <w:t>intentions are irrelevant when judging the success</w:t>
      </w:r>
      <w:r w:rsidR="001C65A7">
        <w:t xml:space="preserve"> of their work</w:t>
      </w:r>
      <w:r w:rsidR="00147B40">
        <w:t xml:space="preserve">. </w:t>
      </w:r>
      <w:r w:rsidR="001C39FE">
        <w:t>Many people, both critics and hobbyist readers alike, consider that once an author’s work is put out in the world, the author no longer has autonomy over it; inferring something that is not there in the text is invalid, whether you created that text or not</w:t>
      </w:r>
      <w:r w:rsidR="00AB33AE">
        <w:t xml:space="preserve">, allowing the text more power </w:t>
      </w:r>
      <w:r w:rsidR="002B4164">
        <w:t>over</w:t>
      </w:r>
      <w:r w:rsidR="00AB33AE">
        <w:t xml:space="preserve"> its creator</w:t>
      </w:r>
      <w:r w:rsidR="001C39FE">
        <w:t xml:space="preserve">. </w:t>
      </w:r>
      <w:r w:rsidR="009B04AE">
        <w:t>So,</w:t>
      </w:r>
      <w:r w:rsidR="003849D9">
        <w:t xml:space="preserve"> while that author remains present in the narrative, </w:t>
      </w:r>
      <w:r w:rsidR="00DE26F5">
        <w:t>he is</w:t>
      </w:r>
      <w:r w:rsidR="003849D9">
        <w:t xml:space="preserve"> nothing more than a Charon</w:t>
      </w:r>
      <w:r w:rsidR="000E654A">
        <w:t xml:space="preserve"> </w:t>
      </w:r>
      <w:r w:rsidR="009B04AE">
        <w:t xml:space="preserve">with </w:t>
      </w:r>
      <w:r w:rsidR="000E654A">
        <w:t>little autonomy beyond what is expected</w:t>
      </w:r>
      <w:r w:rsidR="00DE26F5">
        <w:t xml:space="preserve"> of him</w:t>
      </w:r>
      <w:r w:rsidR="000E654A">
        <w:t>.</w:t>
      </w:r>
      <w:r w:rsidR="00371173">
        <w:t xml:space="preserve"> </w:t>
      </w:r>
      <w:r w:rsidR="0043180F">
        <w:t>So,</w:t>
      </w:r>
      <w:r w:rsidR="00371173">
        <w:t xml:space="preserve"> if the author has no autonomy </w:t>
      </w:r>
      <w:r w:rsidR="00996BBC">
        <w:t>over</w:t>
      </w:r>
      <w:r w:rsidR="0043180F">
        <w:t xml:space="preserve"> </w:t>
      </w:r>
      <w:r w:rsidR="002C6154">
        <w:t>defining</w:t>
      </w:r>
      <w:r w:rsidR="0043180F">
        <w:t xml:space="preserve"> </w:t>
      </w:r>
      <w:r w:rsidR="00371173">
        <w:t>hi</w:t>
      </w:r>
      <w:r w:rsidR="002471AC">
        <w:t>s own work</w:t>
      </w:r>
      <w:r w:rsidR="00371173">
        <w:t>, who does?</w:t>
      </w:r>
    </w:p>
    <w:p w14:paraId="1BE08359" w14:textId="4B3E2DFF" w:rsidR="00435833" w:rsidRDefault="008F5146" w:rsidP="00797F47">
      <w:pPr>
        <w:tabs>
          <w:tab w:val="left" w:pos="5427"/>
        </w:tabs>
        <w:jc w:val="both"/>
      </w:pPr>
      <w:r>
        <w:t>When observ</w:t>
      </w:r>
      <w:r w:rsidR="00B156EE">
        <w:t>ing the relationship between the author and the reader, it is considered to some a collaboration</w:t>
      </w:r>
      <w:r w:rsidR="00621C97">
        <w:t xml:space="preserve"> where the author supplies an </w:t>
      </w:r>
      <w:r w:rsidR="008C70E7">
        <w:t>idea,</w:t>
      </w:r>
      <w:r w:rsidR="00621C97">
        <w:t xml:space="preserve"> and the reader takes on the </w:t>
      </w:r>
      <w:r w:rsidR="008C70E7">
        <w:t xml:space="preserve">role of its investigator, </w:t>
      </w:r>
      <w:r w:rsidR="005616D6">
        <w:t>its</w:t>
      </w:r>
      <w:r w:rsidR="008C70E7">
        <w:t xml:space="preserve"> barrister, who takes the authors concept as some form of gospel</w:t>
      </w:r>
      <w:r w:rsidR="00BD21BA">
        <w:t xml:space="preserve"> to level his </w:t>
      </w:r>
      <w:r w:rsidR="00BD21BA">
        <w:lastRenderedPageBreak/>
        <w:t xml:space="preserve">point. </w:t>
      </w:r>
      <w:r w:rsidR="002805D4">
        <w:t>They meet, according to Wayne C. Booth, but they don’t speak</w:t>
      </w:r>
      <w:r w:rsidR="00A56D9C">
        <w:rPr>
          <w:rStyle w:val="FootnoteReference"/>
        </w:rPr>
        <w:footnoteReference w:id="3"/>
      </w:r>
      <w:r w:rsidR="002805D4">
        <w:t>. They have a cold</w:t>
      </w:r>
      <w:r w:rsidR="00A56D9C">
        <w:t>, unfeeling relationship</w:t>
      </w:r>
      <w:r w:rsidR="005616D6">
        <w:t xml:space="preserve"> yet </w:t>
      </w:r>
      <w:r w:rsidR="00300B69">
        <w:t>some</w:t>
      </w:r>
      <w:r w:rsidR="005616D6">
        <w:t xml:space="preserve"> form of understanding</w:t>
      </w:r>
      <w:r w:rsidR="00300B69">
        <w:t xml:space="preserve"> simultaneously</w:t>
      </w:r>
      <w:r w:rsidR="005616D6">
        <w:t xml:space="preserve">. </w:t>
      </w:r>
      <w:r w:rsidR="009C7C19">
        <w:t xml:space="preserve">However, </w:t>
      </w:r>
      <w:r w:rsidR="00E36FC9">
        <w:t xml:space="preserve">in Wimsatt and Beardsley’s </w:t>
      </w:r>
      <w:r w:rsidR="00A136E0">
        <w:t xml:space="preserve">theory on the Intentional Fallacy, the reader is instead observed to dissociate himself from the author entirely; </w:t>
      </w:r>
      <w:r w:rsidR="0088199D">
        <w:t xml:space="preserve">the interpretation is not </w:t>
      </w:r>
      <w:r w:rsidR="00490F35">
        <w:t>for the author</w:t>
      </w:r>
      <w:r w:rsidR="0088199D">
        <w:t xml:space="preserve"> </w:t>
      </w:r>
      <w:r w:rsidR="00490F35">
        <w:t>but</w:t>
      </w:r>
      <w:r w:rsidR="0088199D">
        <w:t xml:space="preserve"> the reader</w:t>
      </w:r>
      <w:r w:rsidR="00243853">
        <w:t xml:space="preserve"> himself</w:t>
      </w:r>
      <w:r w:rsidR="0088199D">
        <w:t xml:space="preserve">. </w:t>
      </w:r>
      <w:r w:rsidR="00BB7D39">
        <w:t xml:space="preserve">But this dissociation can easily make a reader falter in his comprehension of the text, thus introducing the implied reader. The implied reader is a term coined by Wayne C. Booth </w:t>
      </w:r>
      <w:r w:rsidR="00746E28">
        <w:t xml:space="preserve">that suggests the intended, model reader for a writer’s novel; </w:t>
      </w:r>
      <w:r w:rsidR="003F1914">
        <w:t>the implied reader is the reader who understands, as intimately as he is able, the concept</w:t>
      </w:r>
      <w:r w:rsidR="000E5039">
        <w:t xml:space="preserve">s and intentions carried out by the </w:t>
      </w:r>
      <w:r w:rsidR="009D6B6B">
        <w:t>narrative</w:t>
      </w:r>
      <w:r w:rsidR="003C1B76">
        <w:t>.</w:t>
      </w:r>
      <w:r w:rsidR="000E5039">
        <w:t xml:space="preserve"> He understands the cultural and periodic contexts</w:t>
      </w:r>
      <w:r w:rsidR="00D3286E">
        <w:t xml:space="preserve">; he is the most ideal audience. But he is also not completely realistic. Chinua Achebe’s </w:t>
      </w:r>
      <w:r w:rsidR="00FE01E2">
        <w:t>implied reader would have a depth of knowledge on the cultural aspects of the Ibo, understand the nuance between gender and formulate an approximate, if not accurate, in</w:t>
      </w:r>
      <w:r w:rsidR="00007645">
        <w:t xml:space="preserve">terpretation of Achebe’s message. Achebe, however, seemed to understand the nuance between readers and cultures, particularly the Western audience he was intending to </w:t>
      </w:r>
      <w:r w:rsidR="00874DE3">
        <w:t xml:space="preserve">attract, and he created models of intelligibility throughout the novel, if we return to the Ancient Greek </w:t>
      </w:r>
      <w:r w:rsidR="00C956A7">
        <w:t xml:space="preserve">parallels observed throughout the </w:t>
      </w:r>
      <w:r w:rsidR="00B516D1">
        <w:t xml:space="preserve">book </w:t>
      </w:r>
      <w:r w:rsidR="00C956A7">
        <w:t xml:space="preserve">or the various passages in which </w:t>
      </w:r>
      <w:r w:rsidR="005D3116">
        <w:t>the narrator</w:t>
      </w:r>
      <w:r w:rsidR="00C956A7">
        <w:t xml:space="preserve"> helps the reader understand the Ibo’s traditions</w:t>
      </w:r>
      <w:r w:rsidR="00102D73">
        <w:rPr>
          <w:rStyle w:val="FootnoteReference"/>
        </w:rPr>
        <w:footnoteReference w:id="4"/>
      </w:r>
      <w:r w:rsidR="005D3116">
        <w:t>. One person’s interpretation of ‘Things Fall Apart’ will never completely correlate with another’s</w:t>
      </w:r>
      <w:r w:rsidR="00AF7981">
        <w:t xml:space="preserve"> </w:t>
      </w:r>
      <w:r w:rsidR="00867FD8">
        <w:t>and</w:t>
      </w:r>
      <w:r w:rsidR="00FE5AE8">
        <w:t>,</w:t>
      </w:r>
      <w:r w:rsidR="00867FD8">
        <w:t xml:space="preserve"> while</w:t>
      </w:r>
      <w:r w:rsidR="00AF7981">
        <w:t xml:space="preserve"> that is up to subjectivit</w:t>
      </w:r>
      <w:r w:rsidR="00204EBF">
        <w:t>y</w:t>
      </w:r>
      <w:r w:rsidR="00127554">
        <w:t xml:space="preserve">, the narration projects a second, mind-changing perspective that may carry on with readers who previously had little or a </w:t>
      </w:r>
      <w:r w:rsidR="005A14C1">
        <w:t>much</w:t>
      </w:r>
      <w:r w:rsidR="00127554">
        <w:t xml:space="preserve"> different, much more harmful misconception</w:t>
      </w:r>
      <w:r w:rsidR="00AF7981">
        <w:t xml:space="preserve">. </w:t>
      </w:r>
      <w:r w:rsidR="00CE4AE5">
        <w:t>“</w:t>
      </w:r>
      <w:r w:rsidR="00D4277D">
        <w:t>The reader,</w:t>
      </w:r>
      <w:r w:rsidR="00CE4AE5">
        <w:t>”</w:t>
      </w:r>
      <w:r w:rsidR="00D4277D">
        <w:t xml:space="preserve"> Shlomith Rimmon-Keenan writes, </w:t>
      </w:r>
      <w:r w:rsidR="00CE4AE5">
        <w:t>“</w:t>
      </w:r>
      <w:r w:rsidR="00D4277D">
        <w:t xml:space="preserve">Is thus both an image </w:t>
      </w:r>
      <w:r w:rsidR="00CE4AE5">
        <w:t>of a certain competence brought to the text and a structuring of such a competence within the text.”</w:t>
      </w:r>
      <w:r w:rsidR="003F27AF">
        <w:rPr>
          <w:rStyle w:val="FootnoteReference"/>
        </w:rPr>
        <w:footnoteReference w:id="5"/>
      </w:r>
      <w:r w:rsidR="00CE4AE5">
        <w:t xml:space="preserve"> </w:t>
      </w:r>
      <w:r w:rsidR="00435833" w:rsidRPr="00435833">
        <w:t xml:space="preserve">Not only does the </w:t>
      </w:r>
      <w:r w:rsidR="00435833" w:rsidRPr="00435833">
        <w:lastRenderedPageBreak/>
        <w:t xml:space="preserve">expectancy of comprehension </w:t>
      </w:r>
      <w:r w:rsidR="00901ABA">
        <w:t>of</w:t>
      </w:r>
      <w:r w:rsidR="00435833" w:rsidRPr="00435833">
        <w:t xml:space="preserve"> a reader expand, but so too do the lessons it can teach, and the reader, while reliant on the text and its narrative, has a broad stretch of freedom with which to experiment with his hypotheses. </w:t>
      </w:r>
      <w:r w:rsidR="00CF7929">
        <w:t xml:space="preserve">The reader is perhaps the most powerful dictator of </w:t>
      </w:r>
      <w:r w:rsidR="009B6049">
        <w:t xml:space="preserve">meaning in a narrative piece for, through these theories, he becomes in charge of </w:t>
      </w:r>
      <w:r w:rsidR="00666511">
        <w:t xml:space="preserve">its direction; the death of the author is the emergence of the reader, and the reader </w:t>
      </w:r>
      <w:r w:rsidR="003D7F14">
        <w:t>is</w:t>
      </w:r>
      <w:r w:rsidR="00666511">
        <w:t xml:space="preserve"> </w:t>
      </w:r>
      <w:r w:rsidR="003D7F14">
        <w:t>his secondary creator.</w:t>
      </w:r>
      <w:r w:rsidR="00C365E4">
        <w:t xml:space="preserve"> The only thing that can rival this is the power of the text, </w:t>
      </w:r>
      <w:r w:rsidR="00435833">
        <w:t xml:space="preserve">the facet that can dictate even the </w:t>
      </w:r>
      <w:r w:rsidR="00E33F94">
        <w:t>reader</w:t>
      </w:r>
      <w:r w:rsidR="005F378D">
        <w:t>’</w:t>
      </w:r>
      <w:r w:rsidR="00E33F94">
        <w:t>s interpretation of a narrative.</w:t>
      </w:r>
      <w:r w:rsidR="00AF64BF">
        <w:t xml:space="preserve"> </w:t>
      </w:r>
    </w:p>
    <w:p w14:paraId="223A1D85" w14:textId="4171B9AE" w:rsidR="00435833" w:rsidRDefault="00E62CDB" w:rsidP="00E032CB">
      <w:pPr>
        <w:jc w:val="both"/>
      </w:pPr>
      <w:r>
        <w:t>Under consid</w:t>
      </w:r>
      <w:r w:rsidR="00651954">
        <w:t>e</w:t>
      </w:r>
      <w:r>
        <w:t xml:space="preserve">ration, a critic </w:t>
      </w:r>
      <w:r w:rsidR="001B6668">
        <w:t xml:space="preserve">may feel inclined to connect </w:t>
      </w:r>
      <w:r>
        <w:t>the text</w:t>
      </w:r>
      <w:r w:rsidR="001B6668">
        <w:t xml:space="preserve"> with the </w:t>
      </w:r>
      <w:r w:rsidR="00F322AE">
        <w:t>writer</w:t>
      </w:r>
      <w:r w:rsidR="001B6668">
        <w:t xml:space="preserve">, for who directs the current of the text but the writer himself? But the text is a forked </w:t>
      </w:r>
      <w:r w:rsidR="00A7783E">
        <w:t xml:space="preserve">stream, a system of streams in fact, </w:t>
      </w:r>
      <w:r w:rsidR="0018274B">
        <w:t xml:space="preserve">connecting </w:t>
      </w:r>
      <w:r w:rsidR="00A7783E">
        <w:t>to the very essence of meaning</w:t>
      </w:r>
      <w:r w:rsidR="00700AF5">
        <w:t xml:space="preserve"> which </w:t>
      </w:r>
      <w:r w:rsidR="00AF6662">
        <w:t xml:space="preserve">betrays the writer and eludes the reader. </w:t>
      </w:r>
      <w:r w:rsidR="005F66B5">
        <w:t xml:space="preserve">It is easy for a writer to misinterpret his own work, much like the reader </w:t>
      </w:r>
      <w:r w:rsidR="00DF490E">
        <w:t>observing from a second standpoint, but the text stands firm in its resolve</w:t>
      </w:r>
      <w:r w:rsidR="00DB64EE">
        <w:t xml:space="preserve">. </w:t>
      </w:r>
      <w:r w:rsidR="00102D73">
        <w:t xml:space="preserve">From the very way Chinua Achebe’s text offers insight into the role of women in the Ibo, </w:t>
      </w:r>
      <w:r w:rsidR="00E815B9">
        <w:t>the language used when in reference to these women</w:t>
      </w:r>
      <w:r w:rsidR="00104D31">
        <w:t xml:space="preserve">, </w:t>
      </w:r>
      <w:r w:rsidR="00084A25">
        <w:t xml:space="preserve">and </w:t>
      </w:r>
      <w:r w:rsidR="00E66F86">
        <w:t xml:space="preserve">how women and womanly attributes dictate, through Okonkwo, </w:t>
      </w:r>
      <w:r w:rsidR="00995E0D">
        <w:t xml:space="preserve">the way the story progresses and the narrative is portrayed, </w:t>
      </w:r>
      <w:r w:rsidR="0029299F">
        <w:t>anyone can infer that femininity is a central theme</w:t>
      </w:r>
      <w:r w:rsidR="00084A25">
        <w:t>, a defining theme in ‘Things Fall Apart.’</w:t>
      </w:r>
      <w:r w:rsidR="00084A25">
        <w:rPr>
          <w:rStyle w:val="FootnoteReference"/>
        </w:rPr>
        <w:footnoteReference w:id="6"/>
      </w:r>
      <w:r w:rsidR="00084A25">
        <w:t xml:space="preserve"> </w:t>
      </w:r>
      <w:r w:rsidR="008C35F7">
        <w:t xml:space="preserve">The text is dictated by femininity, and it’s irrefutably obvious in the text. Unlike the author or the </w:t>
      </w:r>
      <w:r w:rsidR="005237A7">
        <w:t>reader, the text doesn’t lie, it can’t lie</w:t>
      </w:r>
      <w:r w:rsidR="002049AC">
        <w:t>. What is there is simply there</w:t>
      </w:r>
      <w:r w:rsidR="003C2410">
        <w:t xml:space="preserve">, and it is there in its </w:t>
      </w:r>
      <w:r w:rsidR="00055E5D">
        <w:t xml:space="preserve">inherent </w:t>
      </w:r>
      <w:r w:rsidR="003C2410">
        <w:t>specification.</w:t>
      </w:r>
      <w:r w:rsidR="00055E5D">
        <w:t xml:space="preserve"> </w:t>
      </w:r>
      <w:r w:rsidR="003066F3">
        <w:t>Some</w:t>
      </w:r>
      <w:r w:rsidR="00177022">
        <w:t xml:space="preserve"> </w:t>
      </w:r>
      <w:r w:rsidR="00C1192A">
        <w:t xml:space="preserve">see </w:t>
      </w:r>
      <w:r w:rsidR="003066F3">
        <w:t>the text</w:t>
      </w:r>
      <w:r w:rsidR="00C1192A">
        <w:t xml:space="preserve"> as</w:t>
      </w:r>
      <w:r w:rsidR="00177022">
        <w:t xml:space="preserve"> a marriage between the </w:t>
      </w:r>
      <w:r w:rsidR="00C1192A">
        <w:t xml:space="preserve">author’s intention and the reader’s interpretation. </w:t>
      </w:r>
      <w:r w:rsidR="00A25D98">
        <w:t>The text is the birth of meaning</w:t>
      </w:r>
      <w:r w:rsidR="00752C2D">
        <w:t xml:space="preserve"> in narrative work; </w:t>
      </w:r>
      <w:r w:rsidR="00721C32">
        <w:t xml:space="preserve">the author is a subject of intentional </w:t>
      </w:r>
      <w:r w:rsidR="003A7809">
        <w:t>fallacy;</w:t>
      </w:r>
      <w:r w:rsidR="00767E1E">
        <w:t xml:space="preserve"> the reader sees what is there and </w:t>
      </w:r>
      <w:r w:rsidR="003A7809">
        <w:t>infers</w:t>
      </w:r>
      <w:r w:rsidR="00896567">
        <w:t xml:space="preserve"> what</w:t>
      </w:r>
      <w:r w:rsidR="00767E1E">
        <w:t xml:space="preserve"> he wants to see</w:t>
      </w:r>
      <w:r w:rsidR="003A7809">
        <w:t xml:space="preserve"> based on his own ideas</w:t>
      </w:r>
      <w:r w:rsidR="003C40FA">
        <w:t xml:space="preserve">; the text, to reiterate, is </w:t>
      </w:r>
      <w:r w:rsidR="009845B9">
        <w:t>straightforward, uncomplicated</w:t>
      </w:r>
      <w:r w:rsidR="00896567">
        <w:t>;</w:t>
      </w:r>
      <w:r w:rsidR="009845B9">
        <w:t xml:space="preserve"> </w:t>
      </w:r>
      <w:r w:rsidR="003066F3">
        <w:t>its</w:t>
      </w:r>
      <w:r w:rsidR="00E85B0B">
        <w:t xml:space="preserve"> intention to mislead is only temporary</w:t>
      </w:r>
      <w:r w:rsidR="003F49EB">
        <w:t xml:space="preserve">. </w:t>
      </w:r>
      <w:r w:rsidR="00EA270F">
        <w:t xml:space="preserve">When considering plot </w:t>
      </w:r>
      <w:r w:rsidR="00E85B0B">
        <w:t>in regard to</w:t>
      </w:r>
      <w:r w:rsidR="00EA270F">
        <w:t xml:space="preserve"> text and story, it becomes imperative to, too, understand organisation in the text</w:t>
      </w:r>
      <w:r w:rsidR="00926B37">
        <w:t xml:space="preserve"> which reinforces and heavily impacts the understanding of one’s </w:t>
      </w:r>
      <w:r w:rsidR="00926B37">
        <w:lastRenderedPageBreak/>
        <w:t>interpretation of events and thus his interpretation of the story itself</w:t>
      </w:r>
      <w:r w:rsidR="00AB030B">
        <w:t xml:space="preserve">. Temporality becomes essential to the comprehension of text, and </w:t>
      </w:r>
      <w:r w:rsidR="00923A37">
        <w:t>plot</w:t>
      </w:r>
      <w:r w:rsidR="00AB030B">
        <w:t xml:space="preserve"> </w:t>
      </w:r>
      <w:r w:rsidR="009845B9">
        <w:t>impacts its order</w:t>
      </w:r>
      <w:r w:rsidR="00926B37">
        <w:t xml:space="preserve">. </w:t>
      </w:r>
      <w:r w:rsidR="00571445">
        <w:t xml:space="preserve">Shlomith Rimmon-Keenan </w:t>
      </w:r>
      <w:r w:rsidR="009845B9">
        <w:t>defines time in the context of narrative fiction as ‘the relationship of chronology between story and text.’</w:t>
      </w:r>
      <w:r w:rsidR="009845B9">
        <w:rPr>
          <w:rStyle w:val="FootnoteReference"/>
        </w:rPr>
        <w:footnoteReference w:id="7"/>
      </w:r>
      <w:r w:rsidR="00E85B0B">
        <w:t xml:space="preserve"> </w:t>
      </w:r>
      <w:r w:rsidR="00923A37">
        <w:t xml:space="preserve">To consider this point </w:t>
      </w:r>
      <w:r w:rsidR="00D17ACC">
        <w:t>through</w:t>
      </w:r>
      <w:r w:rsidR="00923A37">
        <w:t xml:space="preserve"> Achebe’s ‘Things Fall Apart,’ </w:t>
      </w:r>
      <w:r w:rsidR="00E93368">
        <w:t>if the novel was told chronologically, the meaning and its impact would dim</w:t>
      </w:r>
      <w:r w:rsidR="00D17ACC">
        <w:t>;</w:t>
      </w:r>
      <w:r w:rsidR="00E93368">
        <w:t xml:space="preserve"> the text uses even the most mundane </w:t>
      </w:r>
      <w:r w:rsidR="00C3740A">
        <w:t>critical concepts such as structure</w:t>
      </w:r>
      <w:r w:rsidR="00CB3333">
        <w:t xml:space="preserve"> </w:t>
      </w:r>
      <w:r w:rsidR="00D264C7">
        <w:t xml:space="preserve">to </w:t>
      </w:r>
      <w:r w:rsidR="00FE40D6">
        <w:t>strengthen the point it tries to make</w:t>
      </w:r>
      <w:r w:rsidR="00D264C7">
        <w:t xml:space="preserve">. </w:t>
      </w:r>
      <w:r w:rsidR="00FE40D6">
        <w:t xml:space="preserve">If one removed the distinction between the Ibo’s tendency towards oral storytelling and </w:t>
      </w:r>
      <w:r w:rsidR="00E56F00">
        <w:t xml:space="preserve">what we know as traditional prose, </w:t>
      </w:r>
      <w:r w:rsidR="00D17ACC">
        <w:t xml:space="preserve">for example, </w:t>
      </w:r>
      <w:r w:rsidR="00E56F00">
        <w:t xml:space="preserve">how would a reader truly ascertain the themes the novel discusses? </w:t>
      </w:r>
      <w:r w:rsidR="00D17ACC">
        <w:t xml:space="preserve">If we eliminated the intentional correlation between </w:t>
      </w:r>
      <w:r w:rsidR="0081699B">
        <w:t xml:space="preserve">the Ibo and the Ancient Greeks that is established through its language, through its delays and its </w:t>
      </w:r>
      <w:r w:rsidR="007263CB">
        <w:t>emphasis, through the analeps</w:t>
      </w:r>
      <w:r w:rsidR="00A20897">
        <w:t>e</w:t>
      </w:r>
      <w:r w:rsidR="007263CB">
        <w:t>s in the first page alone, where would the reader, the author, and the story itself go?</w:t>
      </w:r>
      <w:r w:rsidR="00C46403">
        <w:rPr>
          <w:rStyle w:val="FootnoteReference"/>
        </w:rPr>
        <w:footnoteReference w:id="8"/>
      </w:r>
      <w:r w:rsidR="007263CB">
        <w:t xml:space="preserve"> Folktales are chronological, they are simple and as simple as their meanings, but to </w:t>
      </w:r>
      <w:r w:rsidR="00C46403">
        <w:t>enforce those same rules onto a novel like ‘Things Fall Apart</w:t>
      </w:r>
      <w:r w:rsidR="00295D7D">
        <w:t xml:space="preserve">’ removes any chance </w:t>
      </w:r>
      <w:r w:rsidR="00A20897">
        <w:t>of</w:t>
      </w:r>
      <w:r w:rsidR="00295D7D">
        <w:t xml:space="preserve"> exploration</w:t>
      </w:r>
      <w:r w:rsidR="00BE4CD1">
        <w:t xml:space="preserve">, and it </w:t>
      </w:r>
      <w:r w:rsidR="002A2229">
        <w:t>becomes difficult to find the sequence of events</w:t>
      </w:r>
      <w:r w:rsidR="00295D7D">
        <w:t xml:space="preserve">. </w:t>
      </w:r>
      <w:r w:rsidR="00323CDD">
        <w:t xml:space="preserve">Wayne C. Booth </w:t>
      </w:r>
      <w:r w:rsidR="006B262B">
        <w:t>states</w:t>
      </w:r>
      <w:r w:rsidR="00E032CB">
        <w:t xml:space="preserve"> that one of the ‘most obviously artificial devices of the storyteller is the trick of going beneath the surface of the action to obtain a reliable view of a character's mind and heart.’ This could, too, be applied to the text</w:t>
      </w:r>
      <w:r w:rsidR="003D6695">
        <w:t xml:space="preserve">; the language and structure of a piece of narrative work can only truly capture the reader’s ‘mind and heart’ </w:t>
      </w:r>
      <w:r w:rsidR="000A7813">
        <w:t>if it contradicts chronology. In the end, the text</w:t>
      </w:r>
      <w:r w:rsidR="00E22202">
        <w:t xml:space="preserve"> and </w:t>
      </w:r>
      <w:r w:rsidR="0053189A">
        <w:t>its</w:t>
      </w:r>
      <w:r w:rsidR="00E22202">
        <w:t xml:space="preserve"> structure </w:t>
      </w:r>
      <w:r w:rsidR="007A698F">
        <w:t>are</w:t>
      </w:r>
      <w:r w:rsidR="00E22202">
        <w:t xml:space="preserve"> there to </w:t>
      </w:r>
      <w:proofErr w:type="gramStart"/>
      <w:r w:rsidR="00E22202">
        <w:t>open up</w:t>
      </w:r>
      <w:proofErr w:type="gramEnd"/>
      <w:r w:rsidR="00E22202">
        <w:t xml:space="preserve"> avenues for both the reader and the writer himself</w:t>
      </w:r>
      <w:r w:rsidR="007A698F">
        <w:t xml:space="preserve">, </w:t>
      </w:r>
      <w:r w:rsidR="00E22202">
        <w:t xml:space="preserve">to explore concepts </w:t>
      </w:r>
      <w:r w:rsidR="005E6ED7">
        <w:t xml:space="preserve">that may have slipped through the cracks in the process of </w:t>
      </w:r>
      <w:r w:rsidR="00203FB9">
        <w:t>writing, consequently correlating the text to a canvas for its writer to paint on and its reader to critique.</w:t>
      </w:r>
    </w:p>
    <w:p w14:paraId="0E95F22F" w14:textId="0F287A7A" w:rsidR="00503113" w:rsidRDefault="00F37EDB" w:rsidP="006B6F45">
      <w:pPr>
        <w:jc w:val="both"/>
      </w:pPr>
      <w:r>
        <w:t xml:space="preserve">When a narrative work is created to say something, that is to define itself through a fictitious lens, it comes from a variety of sources that ultimately lends itself to the reader, gives </w:t>
      </w:r>
      <w:r>
        <w:lastRenderedPageBreak/>
        <w:t xml:space="preserve">consideration to the writer, and </w:t>
      </w:r>
      <w:r w:rsidR="005146BF">
        <w:t xml:space="preserve">is, in theory, complicit in the text. </w:t>
      </w:r>
      <w:r w:rsidR="008A3240">
        <w:t xml:space="preserve">Each facet offers part of itself to formulate meaning, as </w:t>
      </w:r>
      <w:r w:rsidR="0053189A">
        <w:t>one perspective vastly differs</w:t>
      </w:r>
      <w:r w:rsidR="009F1D29">
        <w:t xml:space="preserve"> from another. </w:t>
      </w:r>
      <w:r w:rsidR="00797F47">
        <w:t xml:space="preserve">Therefore, meaning can truly be explored through the concept of subjectivity with the text </w:t>
      </w:r>
      <w:r w:rsidR="009F1D29">
        <w:t>as a compass</w:t>
      </w:r>
      <w:r w:rsidR="00797F47">
        <w:t>.</w:t>
      </w:r>
      <w:r w:rsidR="00AF64BF">
        <w:t xml:space="preserve"> </w:t>
      </w:r>
      <w:r w:rsidR="0051755C">
        <w:t xml:space="preserve">Achebe’s work, for example, offers various perspectives from various forms of life, even with its text. </w:t>
      </w:r>
      <w:r w:rsidR="007B4220">
        <w:t>Hamlet’s</w:t>
      </w:r>
      <w:r w:rsidR="0051755C">
        <w:t xml:space="preserve"> text has been disputed for centuries. </w:t>
      </w:r>
      <w:r w:rsidR="007B4220">
        <w:t>So many novels have a variety of contradicting interpretations, straying even from the author</w:t>
      </w:r>
      <w:r w:rsidR="00033196">
        <w:t>’</w:t>
      </w:r>
      <w:r w:rsidR="007B4220">
        <w:t xml:space="preserve">s view himself, </w:t>
      </w:r>
      <w:r w:rsidR="004956BE">
        <w:t xml:space="preserve">but does that mean we should discount another’s interpretation of </w:t>
      </w:r>
      <w:r w:rsidR="00203FB9">
        <w:t>these works</w:t>
      </w:r>
      <w:r w:rsidR="004956BE">
        <w:t xml:space="preserve"> if it is backed by </w:t>
      </w:r>
      <w:r w:rsidR="00E668E0">
        <w:t xml:space="preserve">the </w:t>
      </w:r>
      <w:r w:rsidR="00557B2F">
        <w:t>language, even that subtextual</w:t>
      </w:r>
      <w:r w:rsidR="00E668E0">
        <w:t xml:space="preserve"> </w:t>
      </w:r>
      <w:r w:rsidR="00557B2F">
        <w:t>second language</w:t>
      </w:r>
      <w:r w:rsidR="00203FB9">
        <w:t>,</w:t>
      </w:r>
      <w:r w:rsidR="00557B2F">
        <w:t xml:space="preserve"> </w:t>
      </w:r>
      <w:r w:rsidR="00E668E0">
        <w:t>itself?</w:t>
      </w:r>
      <w:r w:rsidR="00203FB9">
        <w:t xml:space="preserve"> </w:t>
      </w:r>
    </w:p>
    <w:p w14:paraId="7B39E42C" w14:textId="77777777" w:rsidR="006B6F45" w:rsidRDefault="006B6F45" w:rsidP="006B6F45">
      <w:pPr>
        <w:jc w:val="both"/>
      </w:pPr>
    </w:p>
    <w:p w14:paraId="2477F75F" w14:textId="77777777" w:rsidR="00033196" w:rsidRDefault="00033196" w:rsidP="006B6F45">
      <w:pPr>
        <w:jc w:val="both"/>
      </w:pPr>
    </w:p>
    <w:p w14:paraId="6C5EC927" w14:textId="6CA72D34" w:rsidR="005B207E" w:rsidRDefault="005B207E" w:rsidP="005B207E">
      <w:pPr>
        <w:pStyle w:val="Heading1"/>
      </w:pPr>
      <w:r>
        <w:t>Bibliography:</w:t>
      </w:r>
    </w:p>
    <w:p w14:paraId="1DF366A7" w14:textId="2BE074F5" w:rsidR="00B43BBA" w:rsidRDefault="00BD0DE2" w:rsidP="00BD0DE2">
      <w:r w:rsidRPr="00BD0DE2">
        <w:t xml:space="preserve">Andrew Bennett and Nicholas Royle, </w:t>
      </w:r>
      <w:r w:rsidRPr="00B43BBA">
        <w:rPr>
          <w:i/>
          <w:iCs/>
        </w:rPr>
        <w:t>An Introduction to Literature, Criticism and Theory</w:t>
      </w:r>
      <w:r w:rsidRPr="00BD0DE2">
        <w:t>, 5th edition. (London: Routledge, 2016)</w:t>
      </w:r>
    </w:p>
    <w:p w14:paraId="39EAF1EB" w14:textId="725D230E" w:rsidR="00B43BBA" w:rsidRDefault="00B43BBA" w:rsidP="00BD0DE2">
      <w:r>
        <w:t xml:space="preserve">Chinua Achebe, </w:t>
      </w:r>
      <w:r w:rsidRPr="00B43BBA">
        <w:rPr>
          <w:i/>
          <w:iCs/>
        </w:rPr>
        <w:t>Things Fall Apart</w:t>
      </w:r>
      <w:r>
        <w:t xml:space="preserve">, </w:t>
      </w:r>
      <w:r>
        <w:t>(London: Penguin Classics, 2006)</w:t>
      </w:r>
    </w:p>
    <w:p w14:paraId="43F78D98" w14:textId="6127770B" w:rsidR="00DC42AB" w:rsidRDefault="00624179" w:rsidP="00BD0DE2">
      <w:r>
        <w:t xml:space="preserve">Frank Lentriccia and Thomas </w:t>
      </w:r>
      <w:r w:rsidR="004C6166">
        <w:t xml:space="preserve">McLaughlin, </w:t>
      </w:r>
      <w:r w:rsidR="004C6166" w:rsidRPr="004C6166">
        <w:t>Critical Terms for Literary Study</w:t>
      </w:r>
      <w:r w:rsidR="004C6166">
        <w:t>, 2</w:t>
      </w:r>
      <w:r w:rsidR="004C6166" w:rsidRPr="004C6166">
        <w:rPr>
          <w:vertAlign w:val="superscript"/>
        </w:rPr>
        <w:t>nd</w:t>
      </w:r>
      <w:r w:rsidR="004C6166">
        <w:t xml:space="preserve"> edition (</w:t>
      </w:r>
      <w:r w:rsidR="00F602C3">
        <w:t>University of Chicago Press, 1995)</w:t>
      </w:r>
      <w:r>
        <w:t xml:space="preserve"> </w:t>
      </w:r>
    </w:p>
    <w:p w14:paraId="55D7745C" w14:textId="5BE66A47" w:rsidR="00E950B0" w:rsidRDefault="00E950B0" w:rsidP="00BD0DE2">
      <w:r>
        <w:t xml:space="preserve">Gerard Genette, </w:t>
      </w:r>
      <w:r w:rsidR="009F70D2" w:rsidRPr="009F70D2">
        <w:rPr>
          <w:i/>
          <w:iCs/>
        </w:rPr>
        <w:t>On Narrative Discourse</w:t>
      </w:r>
      <w:r w:rsidR="009F70D2">
        <w:t xml:space="preserve">, </w:t>
      </w:r>
      <w:r w:rsidR="00D332D3">
        <w:t xml:space="preserve">translated by Jane E. Lewin (Ithaca, New York: </w:t>
      </w:r>
      <w:r w:rsidR="002944C0">
        <w:t xml:space="preserve">Cornell University Press, </w:t>
      </w:r>
      <w:r w:rsidR="00A04156">
        <w:t>1980)</w:t>
      </w:r>
    </w:p>
    <w:p w14:paraId="0BB2BC8D" w14:textId="51E5A7A4" w:rsidR="00B43BBA" w:rsidRDefault="00B43BBA" w:rsidP="00BD0DE2">
      <w:r>
        <w:t xml:space="preserve">Roland Barthes, “Death of the Author,” </w:t>
      </w:r>
      <w:r w:rsidRPr="00E950B0">
        <w:rPr>
          <w:i/>
          <w:iCs/>
        </w:rPr>
        <w:t>Image</w:t>
      </w:r>
      <w:r w:rsidR="00E950B0" w:rsidRPr="00E950B0">
        <w:rPr>
          <w:i/>
          <w:iCs/>
        </w:rPr>
        <w:t>, Music, Text</w:t>
      </w:r>
      <w:r w:rsidR="00E950B0">
        <w:t>. Translated by S. Heath (London: Fontana, 1977)</w:t>
      </w:r>
    </w:p>
    <w:p w14:paraId="7D8C02B9" w14:textId="77777777" w:rsidR="005D15C4" w:rsidRDefault="00B43BBA" w:rsidP="00BD0DE2">
      <w:pPr>
        <w:rPr>
          <w:rFonts w:ascii="Calisto MT" w:hAnsi="Calisto MT"/>
          <w:color w:val="000000"/>
          <w:spacing w:val="-3"/>
          <w:sz w:val="22"/>
          <w:szCs w:val="22"/>
        </w:rPr>
      </w:pPr>
      <w:r>
        <w:t xml:space="preserve">Shlomith Rimmon-Keenan, </w:t>
      </w:r>
      <w:r w:rsidRPr="00A67CE7">
        <w:rPr>
          <w:i/>
          <w:iCs/>
        </w:rPr>
        <w:t>Narrative Fiction: Contemporary Poetics,</w:t>
      </w:r>
      <w:r>
        <w:t xml:space="preserve"> New Accents series, 2</w:t>
      </w:r>
      <w:r w:rsidRPr="009C4FCA">
        <w:rPr>
          <w:vertAlign w:val="superscript"/>
        </w:rPr>
        <w:t>nd</w:t>
      </w:r>
      <w:r>
        <w:t xml:space="preserve"> edition (London: Routledge, 2002)</w:t>
      </w:r>
      <w:r w:rsidR="005D15C4" w:rsidRPr="005D15C4">
        <w:rPr>
          <w:rFonts w:ascii="Calisto MT" w:hAnsi="Calisto MT"/>
          <w:color w:val="000000"/>
          <w:spacing w:val="-3"/>
          <w:sz w:val="22"/>
          <w:szCs w:val="22"/>
        </w:rPr>
        <w:t xml:space="preserve"> </w:t>
      </w:r>
    </w:p>
    <w:p w14:paraId="6B85B413" w14:textId="0DB96FF6" w:rsidR="005D15C4" w:rsidRPr="006B6F45" w:rsidRDefault="005D15C4" w:rsidP="00BD0DE2">
      <w:pPr>
        <w:rPr>
          <w:sz w:val="28"/>
          <w:szCs w:val="28"/>
        </w:rPr>
      </w:pPr>
      <w:r w:rsidRPr="006B6F45">
        <w:rPr>
          <w:color w:val="000000"/>
          <w:spacing w:val="-3"/>
        </w:rPr>
        <w:lastRenderedPageBreak/>
        <w:t xml:space="preserve">Todorov, Tzvetan, </w:t>
      </w:r>
      <w:r w:rsidRPr="006B6F45">
        <w:rPr>
          <w:i/>
          <w:iCs/>
          <w:color w:val="000000"/>
          <w:spacing w:val="-3"/>
        </w:rPr>
        <w:t>The Poetics of Prose</w:t>
      </w:r>
      <w:r w:rsidRPr="006B6F45">
        <w:rPr>
          <w:color w:val="000000"/>
          <w:spacing w:val="-3"/>
        </w:rPr>
        <w:t> (</w:t>
      </w:r>
      <w:r w:rsidR="008E1268">
        <w:rPr>
          <w:color w:val="000000"/>
          <w:spacing w:val="-3"/>
        </w:rPr>
        <w:t>Ithaca, New York:</w:t>
      </w:r>
      <w:r w:rsidRPr="006B6F45">
        <w:rPr>
          <w:color w:val="000000"/>
          <w:spacing w:val="-3"/>
        </w:rPr>
        <w:t xml:space="preserve"> Cornell University Press, 1977)</w:t>
      </w:r>
    </w:p>
    <w:p w14:paraId="4861FDE8" w14:textId="72568206" w:rsidR="00B43BBA" w:rsidRPr="005B207E" w:rsidRDefault="00B43BBA" w:rsidP="00BD0DE2">
      <w:r>
        <w:t xml:space="preserve">Wayne C. Booth, “The Uses of Authorial Silence.” </w:t>
      </w:r>
      <w:r w:rsidRPr="00A52485">
        <w:rPr>
          <w:i/>
          <w:iCs/>
        </w:rPr>
        <w:t>Rhetoric of Fiction</w:t>
      </w:r>
      <w:r>
        <w:t>, 2</w:t>
      </w:r>
      <w:r w:rsidRPr="00125248">
        <w:rPr>
          <w:vertAlign w:val="superscript"/>
        </w:rPr>
        <w:t>nd</w:t>
      </w:r>
      <w:r>
        <w:t xml:space="preserve"> edition (</w:t>
      </w:r>
      <w:r w:rsidRPr="003F610B">
        <w:t>The University of Chicago</w:t>
      </w:r>
      <w:r>
        <w:t>, 1983)</w:t>
      </w:r>
    </w:p>
    <w:sectPr w:rsidR="00B43BBA" w:rsidRPr="005B20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259DE0" w14:textId="77777777" w:rsidR="00337132" w:rsidRDefault="00337132" w:rsidP="00FF45F5">
      <w:pPr>
        <w:spacing w:after="0" w:line="240" w:lineRule="auto"/>
      </w:pPr>
      <w:r>
        <w:separator/>
      </w:r>
    </w:p>
  </w:endnote>
  <w:endnote w:type="continuationSeparator" w:id="0">
    <w:p w14:paraId="5972DA90" w14:textId="77777777" w:rsidR="00337132" w:rsidRDefault="00337132" w:rsidP="00FF45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sto MT">
    <w:panose1 w:val="02040603050505030304"/>
    <w:charset w:val="4D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75B6AB" w14:textId="77777777" w:rsidR="00337132" w:rsidRDefault="00337132" w:rsidP="00FF45F5">
      <w:pPr>
        <w:spacing w:after="0" w:line="240" w:lineRule="auto"/>
      </w:pPr>
      <w:r>
        <w:separator/>
      </w:r>
    </w:p>
  </w:footnote>
  <w:footnote w:type="continuationSeparator" w:id="0">
    <w:p w14:paraId="7D2764CA" w14:textId="77777777" w:rsidR="00337132" w:rsidRDefault="00337132" w:rsidP="00FF45F5">
      <w:pPr>
        <w:spacing w:after="0" w:line="240" w:lineRule="auto"/>
      </w:pPr>
      <w:r>
        <w:continuationSeparator/>
      </w:r>
    </w:p>
  </w:footnote>
  <w:footnote w:id="1">
    <w:p w14:paraId="2748DD79" w14:textId="505E255D" w:rsidR="00D234BA" w:rsidRDefault="00D234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02694">
        <w:rPr>
          <w:rFonts w:ascii="Calisto MT" w:hAnsi="Calisto MT"/>
          <w:color w:val="000000"/>
          <w:sz w:val="22"/>
          <w:szCs w:val="22"/>
        </w:rPr>
        <w:t>Andrew Bennett</w:t>
      </w:r>
      <w:r w:rsidR="005070C4">
        <w:rPr>
          <w:rFonts w:ascii="Calisto MT" w:hAnsi="Calisto MT"/>
          <w:color w:val="000000"/>
          <w:sz w:val="22"/>
          <w:szCs w:val="22"/>
        </w:rPr>
        <w:t xml:space="preserve"> and Nicholas Royle, </w:t>
      </w:r>
      <w:r w:rsidR="005070C4">
        <w:rPr>
          <w:rFonts w:ascii="Calisto MT" w:hAnsi="Calisto MT"/>
          <w:i/>
          <w:iCs/>
          <w:color w:val="000000"/>
          <w:sz w:val="22"/>
          <w:szCs w:val="22"/>
        </w:rPr>
        <w:t>An Introduction to Literature, Criticism and Theory</w:t>
      </w:r>
      <w:r w:rsidR="005070C4">
        <w:rPr>
          <w:rFonts w:ascii="Calisto MT" w:hAnsi="Calisto MT"/>
          <w:color w:val="000000"/>
          <w:sz w:val="22"/>
          <w:szCs w:val="22"/>
        </w:rPr>
        <w:t>, 5th ed</w:t>
      </w:r>
      <w:r w:rsidR="00761ACB">
        <w:rPr>
          <w:rFonts w:ascii="Calisto MT" w:hAnsi="Calisto MT"/>
          <w:color w:val="000000"/>
          <w:sz w:val="22"/>
          <w:szCs w:val="22"/>
        </w:rPr>
        <w:t>ition</w:t>
      </w:r>
      <w:r w:rsidR="005070C4">
        <w:rPr>
          <w:rFonts w:ascii="Calisto MT" w:hAnsi="Calisto MT"/>
          <w:color w:val="000000"/>
          <w:sz w:val="22"/>
          <w:szCs w:val="22"/>
        </w:rPr>
        <w:t xml:space="preserve">. (London: Routledge, 2016), Chapter 4 'The Author’ pp. </w:t>
      </w:r>
      <w:r w:rsidR="00AF5106">
        <w:rPr>
          <w:rFonts w:ascii="Calisto MT" w:hAnsi="Calisto MT"/>
          <w:color w:val="000000"/>
          <w:sz w:val="22"/>
          <w:szCs w:val="22"/>
        </w:rPr>
        <w:t>20</w:t>
      </w:r>
    </w:p>
  </w:footnote>
  <w:footnote w:id="2">
    <w:p w14:paraId="5F0C3A54" w14:textId="0BC74FFA" w:rsidR="00A20426" w:rsidRDefault="00A20426">
      <w:pPr>
        <w:pStyle w:val="FootnoteText"/>
      </w:pPr>
      <w:r>
        <w:rPr>
          <w:rStyle w:val="FootnoteReference"/>
        </w:rPr>
        <w:footnoteRef/>
      </w:r>
      <w:r>
        <w:t xml:space="preserve"> Bennett and Royle pp. </w:t>
      </w:r>
      <w:r w:rsidR="000144D0">
        <w:t>20-21</w:t>
      </w:r>
    </w:p>
  </w:footnote>
  <w:footnote w:id="3">
    <w:p w14:paraId="68BB6B1E" w14:textId="02D8FED1" w:rsidR="00A56D9C" w:rsidRDefault="00A56D9C">
      <w:pPr>
        <w:pStyle w:val="FootnoteText"/>
      </w:pPr>
      <w:r>
        <w:rPr>
          <w:rStyle w:val="FootnoteReference"/>
        </w:rPr>
        <w:footnoteRef/>
      </w:r>
      <w:r>
        <w:t xml:space="preserve"> Wayne C. Booth, “</w:t>
      </w:r>
      <w:r w:rsidR="00A52485">
        <w:t xml:space="preserve">The Uses of Authorial Silence.” </w:t>
      </w:r>
      <w:r w:rsidR="00A52485" w:rsidRPr="00A52485">
        <w:rPr>
          <w:i/>
          <w:iCs/>
        </w:rPr>
        <w:t>Rhetoric of Fiction</w:t>
      </w:r>
      <w:r w:rsidR="00125248">
        <w:t>, 2</w:t>
      </w:r>
      <w:r w:rsidR="00125248" w:rsidRPr="00125248">
        <w:rPr>
          <w:vertAlign w:val="superscript"/>
        </w:rPr>
        <w:t>nd</w:t>
      </w:r>
      <w:r w:rsidR="00125248">
        <w:t xml:space="preserve"> edition (</w:t>
      </w:r>
      <w:r w:rsidR="003F610B" w:rsidRPr="003F610B">
        <w:t>The University of Chicago</w:t>
      </w:r>
      <w:r w:rsidR="003F610B">
        <w:t xml:space="preserve">, </w:t>
      </w:r>
      <w:r w:rsidR="006F3D40">
        <w:t>1983) pp. 272</w:t>
      </w:r>
    </w:p>
    <w:p w14:paraId="7D7D4EA4" w14:textId="77777777" w:rsidR="00A56D9C" w:rsidRDefault="00A56D9C">
      <w:pPr>
        <w:pStyle w:val="FootnoteText"/>
      </w:pPr>
    </w:p>
  </w:footnote>
  <w:footnote w:id="4">
    <w:p w14:paraId="630AD99B" w14:textId="5196987E" w:rsidR="00102D73" w:rsidRDefault="00102D73">
      <w:pPr>
        <w:pStyle w:val="FootnoteText"/>
      </w:pPr>
      <w:r>
        <w:rPr>
          <w:rStyle w:val="FootnoteReference"/>
        </w:rPr>
        <w:footnoteRef/>
      </w:r>
      <w:r>
        <w:t xml:space="preserve"> Chinua Achebe, Things Fall Apart, </w:t>
      </w:r>
      <w:r w:rsidR="006B4DFA">
        <w:t>(</w:t>
      </w:r>
      <w:r w:rsidR="005F261D">
        <w:t xml:space="preserve">London: Penguin </w:t>
      </w:r>
      <w:r w:rsidR="00CF75A3">
        <w:t>Classics, 2006)</w:t>
      </w:r>
    </w:p>
    <w:p w14:paraId="185FB00A" w14:textId="77777777" w:rsidR="00A91804" w:rsidRDefault="00A91804">
      <w:pPr>
        <w:pStyle w:val="FootnoteText"/>
      </w:pPr>
    </w:p>
  </w:footnote>
  <w:footnote w:id="5">
    <w:p w14:paraId="439D1516" w14:textId="35622255" w:rsidR="003F27AF" w:rsidRDefault="003F27AF">
      <w:pPr>
        <w:pStyle w:val="FootnoteText"/>
      </w:pPr>
      <w:r>
        <w:rPr>
          <w:rStyle w:val="FootnoteReference"/>
        </w:rPr>
        <w:footnoteRef/>
      </w:r>
      <w:r>
        <w:t xml:space="preserve"> Shlomith Rimmon-Keenan</w:t>
      </w:r>
      <w:r w:rsidR="00032E0C">
        <w:t xml:space="preserve">, </w:t>
      </w:r>
      <w:r w:rsidR="00032E0C" w:rsidRPr="00A67CE7">
        <w:rPr>
          <w:i/>
          <w:iCs/>
        </w:rPr>
        <w:t>Narrative Fiction: Contemporary Poetics</w:t>
      </w:r>
      <w:r w:rsidR="009C4FCA" w:rsidRPr="00A67CE7">
        <w:rPr>
          <w:i/>
          <w:iCs/>
        </w:rPr>
        <w:t>,</w:t>
      </w:r>
      <w:r w:rsidR="009C4FCA">
        <w:t xml:space="preserve"> New Accents series, 2</w:t>
      </w:r>
      <w:r w:rsidR="009C4FCA" w:rsidRPr="009C4FCA">
        <w:rPr>
          <w:vertAlign w:val="superscript"/>
        </w:rPr>
        <w:t>nd</w:t>
      </w:r>
      <w:r w:rsidR="009C4FCA">
        <w:t xml:space="preserve"> edition</w:t>
      </w:r>
      <w:r w:rsidR="006D59D0">
        <w:t xml:space="preserve"> (</w:t>
      </w:r>
      <w:r w:rsidR="009A5B31">
        <w:t>London</w:t>
      </w:r>
      <w:r w:rsidR="00600E37">
        <w:t>: Routledge</w:t>
      </w:r>
      <w:r w:rsidR="003F77F2">
        <w:t>, 2002) pp. 122</w:t>
      </w:r>
    </w:p>
    <w:p w14:paraId="474E0AE7" w14:textId="77777777" w:rsidR="00DF0EC1" w:rsidRDefault="00DF0EC1">
      <w:pPr>
        <w:pStyle w:val="FootnoteText"/>
      </w:pPr>
    </w:p>
  </w:footnote>
  <w:footnote w:id="6">
    <w:p w14:paraId="29AB1D3C" w14:textId="3633E484" w:rsidR="00084A25" w:rsidRDefault="00084A25">
      <w:pPr>
        <w:pStyle w:val="FootnoteText"/>
      </w:pPr>
      <w:r>
        <w:rPr>
          <w:rStyle w:val="FootnoteReference"/>
        </w:rPr>
        <w:footnoteRef/>
      </w:r>
      <w:r>
        <w:t xml:space="preserve"> Achebe, Things Fall Apart (2006)</w:t>
      </w:r>
    </w:p>
  </w:footnote>
  <w:footnote w:id="7">
    <w:p w14:paraId="3F3A0314" w14:textId="58689032" w:rsidR="00A91804" w:rsidRDefault="009845B9" w:rsidP="00A918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91804">
        <w:t xml:space="preserve">Shlomith Rimmon-Keenan, </w:t>
      </w:r>
      <w:r w:rsidR="00A91804" w:rsidRPr="00A67CE7">
        <w:rPr>
          <w:i/>
          <w:iCs/>
        </w:rPr>
        <w:t>Narrative Fiction: Contemporary Poetics,</w:t>
      </w:r>
      <w:r w:rsidR="00A91804">
        <w:t xml:space="preserve"> pp. 44</w:t>
      </w:r>
    </w:p>
    <w:p w14:paraId="746E02D1" w14:textId="2F94F26E" w:rsidR="00C46403" w:rsidRDefault="00C46403">
      <w:pPr>
        <w:pStyle w:val="FootnoteText"/>
      </w:pPr>
    </w:p>
  </w:footnote>
  <w:footnote w:id="8">
    <w:p w14:paraId="322F2042" w14:textId="6DAC86D6" w:rsidR="00C46403" w:rsidRDefault="00C46403">
      <w:pPr>
        <w:pStyle w:val="FootnoteText"/>
      </w:pPr>
      <w:r>
        <w:rPr>
          <w:rStyle w:val="FootnoteReference"/>
        </w:rPr>
        <w:footnoteRef/>
      </w:r>
      <w:r>
        <w:t xml:space="preserve"> Achebe, Things Fall Apart (2006) pp.</w:t>
      </w:r>
      <w:r w:rsidR="00A91804">
        <w:t xml:space="preserve"> </w:t>
      </w:r>
      <w:r w:rsidR="00295D7D">
        <w:t>[</w:t>
      </w:r>
      <w:r w:rsidR="00A91804">
        <w:t>1</w:t>
      </w:r>
      <w:r w:rsidR="00295D7D">
        <w:t>]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20E3"/>
    <w:rsid w:val="00001983"/>
    <w:rsid w:val="000050C0"/>
    <w:rsid w:val="00007645"/>
    <w:rsid w:val="000144D0"/>
    <w:rsid w:val="00017551"/>
    <w:rsid w:val="0002158C"/>
    <w:rsid w:val="00032E0C"/>
    <w:rsid w:val="00033196"/>
    <w:rsid w:val="00044BFD"/>
    <w:rsid w:val="00053FE9"/>
    <w:rsid w:val="00055E5D"/>
    <w:rsid w:val="000568C9"/>
    <w:rsid w:val="0006133B"/>
    <w:rsid w:val="000628A9"/>
    <w:rsid w:val="00065E67"/>
    <w:rsid w:val="000743D9"/>
    <w:rsid w:val="00084A25"/>
    <w:rsid w:val="00086911"/>
    <w:rsid w:val="000908EF"/>
    <w:rsid w:val="00090DA2"/>
    <w:rsid w:val="00093FB6"/>
    <w:rsid w:val="000A02F8"/>
    <w:rsid w:val="000A17D7"/>
    <w:rsid w:val="000A1992"/>
    <w:rsid w:val="000A2D7D"/>
    <w:rsid w:val="000A36D1"/>
    <w:rsid w:val="000A7813"/>
    <w:rsid w:val="000B07AF"/>
    <w:rsid w:val="000C6E59"/>
    <w:rsid w:val="000D6C93"/>
    <w:rsid w:val="000E1224"/>
    <w:rsid w:val="000E4E6C"/>
    <w:rsid w:val="000E5039"/>
    <w:rsid w:val="000E654A"/>
    <w:rsid w:val="000F0786"/>
    <w:rsid w:val="00102694"/>
    <w:rsid w:val="00102D73"/>
    <w:rsid w:val="001044F1"/>
    <w:rsid w:val="00104D31"/>
    <w:rsid w:val="001126AE"/>
    <w:rsid w:val="00125248"/>
    <w:rsid w:val="00127554"/>
    <w:rsid w:val="00143B1B"/>
    <w:rsid w:val="00147B40"/>
    <w:rsid w:val="00156207"/>
    <w:rsid w:val="001648AD"/>
    <w:rsid w:val="00167232"/>
    <w:rsid w:val="001736B4"/>
    <w:rsid w:val="00177022"/>
    <w:rsid w:val="00177C8B"/>
    <w:rsid w:val="0018274B"/>
    <w:rsid w:val="0019192C"/>
    <w:rsid w:val="00197795"/>
    <w:rsid w:val="001A7CC8"/>
    <w:rsid w:val="001B03FE"/>
    <w:rsid w:val="001B207A"/>
    <w:rsid w:val="001B341A"/>
    <w:rsid w:val="001B6668"/>
    <w:rsid w:val="001B7307"/>
    <w:rsid w:val="001C39FE"/>
    <w:rsid w:val="001C65A7"/>
    <w:rsid w:val="001D4998"/>
    <w:rsid w:val="001E56ED"/>
    <w:rsid w:val="001E7E8F"/>
    <w:rsid w:val="001F4BBF"/>
    <w:rsid w:val="00200537"/>
    <w:rsid w:val="00203FB9"/>
    <w:rsid w:val="002049AC"/>
    <w:rsid w:val="00204EBF"/>
    <w:rsid w:val="00206753"/>
    <w:rsid w:val="00207AC0"/>
    <w:rsid w:val="00217A4A"/>
    <w:rsid w:val="002220BA"/>
    <w:rsid w:val="00223042"/>
    <w:rsid w:val="002315D1"/>
    <w:rsid w:val="00243853"/>
    <w:rsid w:val="002471AC"/>
    <w:rsid w:val="00260AC0"/>
    <w:rsid w:val="00261D49"/>
    <w:rsid w:val="00276F44"/>
    <w:rsid w:val="002805D4"/>
    <w:rsid w:val="00286DEB"/>
    <w:rsid w:val="0029299F"/>
    <w:rsid w:val="002944C0"/>
    <w:rsid w:val="00295D7D"/>
    <w:rsid w:val="002A2229"/>
    <w:rsid w:val="002B1931"/>
    <w:rsid w:val="002B4164"/>
    <w:rsid w:val="002C6154"/>
    <w:rsid w:val="002C7484"/>
    <w:rsid w:val="002D15C4"/>
    <w:rsid w:val="002E23FE"/>
    <w:rsid w:val="00300B69"/>
    <w:rsid w:val="00300D7D"/>
    <w:rsid w:val="003066F3"/>
    <w:rsid w:val="00307694"/>
    <w:rsid w:val="00307F1C"/>
    <w:rsid w:val="0032386A"/>
    <w:rsid w:val="00323CDD"/>
    <w:rsid w:val="00337132"/>
    <w:rsid w:val="00337523"/>
    <w:rsid w:val="003460DD"/>
    <w:rsid w:val="00371173"/>
    <w:rsid w:val="00377C21"/>
    <w:rsid w:val="003849D9"/>
    <w:rsid w:val="00387CCF"/>
    <w:rsid w:val="003A024B"/>
    <w:rsid w:val="003A7809"/>
    <w:rsid w:val="003B26F7"/>
    <w:rsid w:val="003B5FC4"/>
    <w:rsid w:val="003C1B76"/>
    <w:rsid w:val="003C2410"/>
    <w:rsid w:val="003C2DC1"/>
    <w:rsid w:val="003C40FA"/>
    <w:rsid w:val="003C7BE8"/>
    <w:rsid w:val="003C7CFB"/>
    <w:rsid w:val="003D6695"/>
    <w:rsid w:val="003D7F14"/>
    <w:rsid w:val="003E11C9"/>
    <w:rsid w:val="003E4C06"/>
    <w:rsid w:val="003F1914"/>
    <w:rsid w:val="003F27AF"/>
    <w:rsid w:val="003F49EB"/>
    <w:rsid w:val="003F610B"/>
    <w:rsid w:val="003F62D0"/>
    <w:rsid w:val="003F77F2"/>
    <w:rsid w:val="00406CC2"/>
    <w:rsid w:val="00411B52"/>
    <w:rsid w:val="00412BC3"/>
    <w:rsid w:val="004161CD"/>
    <w:rsid w:val="0042029E"/>
    <w:rsid w:val="0043180F"/>
    <w:rsid w:val="00435833"/>
    <w:rsid w:val="00440232"/>
    <w:rsid w:val="00463C0F"/>
    <w:rsid w:val="00466641"/>
    <w:rsid w:val="004767DD"/>
    <w:rsid w:val="00476DCC"/>
    <w:rsid w:val="00490F35"/>
    <w:rsid w:val="00492238"/>
    <w:rsid w:val="004930C3"/>
    <w:rsid w:val="004956BE"/>
    <w:rsid w:val="004C3B35"/>
    <w:rsid w:val="004C3F4A"/>
    <w:rsid w:val="004C6166"/>
    <w:rsid w:val="004D6BF0"/>
    <w:rsid w:val="004E3292"/>
    <w:rsid w:val="004E579A"/>
    <w:rsid w:val="004E7425"/>
    <w:rsid w:val="004F3869"/>
    <w:rsid w:val="00503113"/>
    <w:rsid w:val="00504364"/>
    <w:rsid w:val="005070C4"/>
    <w:rsid w:val="005146BF"/>
    <w:rsid w:val="0051755C"/>
    <w:rsid w:val="00521473"/>
    <w:rsid w:val="00522507"/>
    <w:rsid w:val="005237A7"/>
    <w:rsid w:val="00523854"/>
    <w:rsid w:val="00531697"/>
    <w:rsid w:val="0053189A"/>
    <w:rsid w:val="00544F5D"/>
    <w:rsid w:val="00547FBA"/>
    <w:rsid w:val="0055000D"/>
    <w:rsid w:val="0055064E"/>
    <w:rsid w:val="0055739B"/>
    <w:rsid w:val="00557B2F"/>
    <w:rsid w:val="005616D6"/>
    <w:rsid w:val="00571430"/>
    <w:rsid w:val="00571445"/>
    <w:rsid w:val="005855A2"/>
    <w:rsid w:val="00590B3B"/>
    <w:rsid w:val="00592813"/>
    <w:rsid w:val="00592FEA"/>
    <w:rsid w:val="00595EC0"/>
    <w:rsid w:val="005A14C1"/>
    <w:rsid w:val="005A2B8F"/>
    <w:rsid w:val="005A3D04"/>
    <w:rsid w:val="005B207E"/>
    <w:rsid w:val="005B6EF9"/>
    <w:rsid w:val="005B7872"/>
    <w:rsid w:val="005C0C01"/>
    <w:rsid w:val="005C1A43"/>
    <w:rsid w:val="005C1CFB"/>
    <w:rsid w:val="005D15C4"/>
    <w:rsid w:val="005D3116"/>
    <w:rsid w:val="005E6ED7"/>
    <w:rsid w:val="005F261D"/>
    <w:rsid w:val="005F378D"/>
    <w:rsid w:val="005F5533"/>
    <w:rsid w:val="005F66B5"/>
    <w:rsid w:val="00600E37"/>
    <w:rsid w:val="006165DA"/>
    <w:rsid w:val="00616E0A"/>
    <w:rsid w:val="006216FE"/>
    <w:rsid w:val="00621C97"/>
    <w:rsid w:val="00624179"/>
    <w:rsid w:val="00624798"/>
    <w:rsid w:val="00631E0A"/>
    <w:rsid w:val="00631E73"/>
    <w:rsid w:val="006351AF"/>
    <w:rsid w:val="00640ADD"/>
    <w:rsid w:val="00651954"/>
    <w:rsid w:val="00664647"/>
    <w:rsid w:val="00665998"/>
    <w:rsid w:val="00666511"/>
    <w:rsid w:val="006669C4"/>
    <w:rsid w:val="006A73FE"/>
    <w:rsid w:val="006B08FB"/>
    <w:rsid w:val="006B262B"/>
    <w:rsid w:val="006B4DFA"/>
    <w:rsid w:val="006B6F45"/>
    <w:rsid w:val="006D0214"/>
    <w:rsid w:val="006D4691"/>
    <w:rsid w:val="006D59D0"/>
    <w:rsid w:val="006F3D40"/>
    <w:rsid w:val="00700AF5"/>
    <w:rsid w:val="00704956"/>
    <w:rsid w:val="00710CA6"/>
    <w:rsid w:val="00714E51"/>
    <w:rsid w:val="00715F9A"/>
    <w:rsid w:val="00721C32"/>
    <w:rsid w:val="00722942"/>
    <w:rsid w:val="007263CB"/>
    <w:rsid w:val="00744AF6"/>
    <w:rsid w:val="007462A8"/>
    <w:rsid w:val="00746E28"/>
    <w:rsid w:val="00751433"/>
    <w:rsid w:val="00752C2D"/>
    <w:rsid w:val="00760BBE"/>
    <w:rsid w:val="00761ACB"/>
    <w:rsid w:val="0076349E"/>
    <w:rsid w:val="00764AB8"/>
    <w:rsid w:val="00767E1E"/>
    <w:rsid w:val="00770632"/>
    <w:rsid w:val="00776AD0"/>
    <w:rsid w:val="00776D18"/>
    <w:rsid w:val="007945A1"/>
    <w:rsid w:val="00796AB0"/>
    <w:rsid w:val="00797F47"/>
    <w:rsid w:val="007A5295"/>
    <w:rsid w:val="007A5352"/>
    <w:rsid w:val="007A698F"/>
    <w:rsid w:val="007B070F"/>
    <w:rsid w:val="007B136D"/>
    <w:rsid w:val="007B20E3"/>
    <w:rsid w:val="007B4220"/>
    <w:rsid w:val="007D42E7"/>
    <w:rsid w:val="007E2732"/>
    <w:rsid w:val="007E56E7"/>
    <w:rsid w:val="00802F58"/>
    <w:rsid w:val="0081699B"/>
    <w:rsid w:val="00823BBB"/>
    <w:rsid w:val="0082534D"/>
    <w:rsid w:val="0083512D"/>
    <w:rsid w:val="00867FD8"/>
    <w:rsid w:val="00874DE3"/>
    <w:rsid w:val="00874E0A"/>
    <w:rsid w:val="0088199D"/>
    <w:rsid w:val="00896567"/>
    <w:rsid w:val="008A3240"/>
    <w:rsid w:val="008B1E94"/>
    <w:rsid w:val="008B49E2"/>
    <w:rsid w:val="008C03E0"/>
    <w:rsid w:val="008C35F7"/>
    <w:rsid w:val="008C4992"/>
    <w:rsid w:val="008C6016"/>
    <w:rsid w:val="008C70E7"/>
    <w:rsid w:val="008D0E89"/>
    <w:rsid w:val="008D111A"/>
    <w:rsid w:val="008D7C22"/>
    <w:rsid w:val="008E1268"/>
    <w:rsid w:val="008F5146"/>
    <w:rsid w:val="00901ABA"/>
    <w:rsid w:val="00903E6C"/>
    <w:rsid w:val="00903E86"/>
    <w:rsid w:val="009108AF"/>
    <w:rsid w:val="00912096"/>
    <w:rsid w:val="009173C1"/>
    <w:rsid w:val="00923A37"/>
    <w:rsid w:val="00926B37"/>
    <w:rsid w:val="00927B6A"/>
    <w:rsid w:val="0093126F"/>
    <w:rsid w:val="009449F4"/>
    <w:rsid w:val="00946671"/>
    <w:rsid w:val="00960697"/>
    <w:rsid w:val="009611C0"/>
    <w:rsid w:val="009656CA"/>
    <w:rsid w:val="00966B72"/>
    <w:rsid w:val="009845B9"/>
    <w:rsid w:val="009906FF"/>
    <w:rsid w:val="00990906"/>
    <w:rsid w:val="00995E0D"/>
    <w:rsid w:val="00996BA1"/>
    <w:rsid w:val="00996BBC"/>
    <w:rsid w:val="009A5B31"/>
    <w:rsid w:val="009B04AE"/>
    <w:rsid w:val="009B6049"/>
    <w:rsid w:val="009C0355"/>
    <w:rsid w:val="009C4FCA"/>
    <w:rsid w:val="009C7C19"/>
    <w:rsid w:val="009D229C"/>
    <w:rsid w:val="009D6B6B"/>
    <w:rsid w:val="009F04EB"/>
    <w:rsid w:val="009F1D29"/>
    <w:rsid w:val="009F4107"/>
    <w:rsid w:val="009F70D2"/>
    <w:rsid w:val="00A0240E"/>
    <w:rsid w:val="00A04156"/>
    <w:rsid w:val="00A0445B"/>
    <w:rsid w:val="00A136E0"/>
    <w:rsid w:val="00A20426"/>
    <w:rsid w:val="00A20897"/>
    <w:rsid w:val="00A23A70"/>
    <w:rsid w:val="00A25D98"/>
    <w:rsid w:val="00A52485"/>
    <w:rsid w:val="00A54322"/>
    <w:rsid w:val="00A55B80"/>
    <w:rsid w:val="00A56D9C"/>
    <w:rsid w:val="00A67CE7"/>
    <w:rsid w:val="00A72507"/>
    <w:rsid w:val="00A74EF8"/>
    <w:rsid w:val="00A762F1"/>
    <w:rsid w:val="00A77181"/>
    <w:rsid w:val="00A7783E"/>
    <w:rsid w:val="00A81121"/>
    <w:rsid w:val="00A85226"/>
    <w:rsid w:val="00A878CC"/>
    <w:rsid w:val="00A91804"/>
    <w:rsid w:val="00A97142"/>
    <w:rsid w:val="00AA79D9"/>
    <w:rsid w:val="00AB030B"/>
    <w:rsid w:val="00AB33AE"/>
    <w:rsid w:val="00AB5079"/>
    <w:rsid w:val="00AB5F1E"/>
    <w:rsid w:val="00AB6CE3"/>
    <w:rsid w:val="00AB7A8F"/>
    <w:rsid w:val="00AC5023"/>
    <w:rsid w:val="00AD0AEA"/>
    <w:rsid w:val="00AD23F9"/>
    <w:rsid w:val="00AD585C"/>
    <w:rsid w:val="00AD713C"/>
    <w:rsid w:val="00AE0417"/>
    <w:rsid w:val="00AE2612"/>
    <w:rsid w:val="00AE7F29"/>
    <w:rsid w:val="00AF4AF3"/>
    <w:rsid w:val="00AF5106"/>
    <w:rsid w:val="00AF64BF"/>
    <w:rsid w:val="00AF6662"/>
    <w:rsid w:val="00AF7981"/>
    <w:rsid w:val="00B036BB"/>
    <w:rsid w:val="00B07C4E"/>
    <w:rsid w:val="00B07F22"/>
    <w:rsid w:val="00B156EE"/>
    <w:rsid w:val="00B31AA2"/>
    <w:rsid w:val="00B326EB"/>
    <w:rsid w:val="00B340CE"/>
    <w:rsid w:val="00B34C7D"/>
    <w:rsid w:val="00B36E55"/>
    <w:rsid w:val="00B41782"/>
    <w:rsid w:val="00B43BBA"/>
    <w:rsid w:val="00B516D1"/>
    <w:rsid w:val="00B51943"/>
    <w:rsid w:val="00B57917"/>
    <w:rsid w:val="00B579BA"/>
    <w:rsid w:val="00B61C53"/>
    <w:rsid w:val="00B64C08"/>
    <w:rsid w:val="00B66A66"/>
    <w:rsid w:val="00B679D9"/>
    <w:rsid w:val="00B67FAC"/>
    <w:rsid w:val="00B7048A"/>
    <w:rsid w:val="00B86CA4"/>
    <w:rsid w:val="00BA0488"/>
    <w:rsid w:val="00BB0368"/>
    <w:rsid w:val="00BB22FA"/>
    <w:rsid w:val="00BB2FA6"/>
    <w:rsid w:val="00BB7D39"/>
    <w:rsid w:val="00BC1291"/>
    <w:rsid w:val="00BC2E8F"/>
    <w:rsid w:val="00BD0DE2"/>
    <w:rsid w:val="00BD21BA"/>
    <w:rsid w:val="00BE1853"/>
    <w:rsid w:val="00BE1947"/>
    <w:rsid w:val="00BE2E17"/>
    <w:rsid w:val="00BE4CD1"/>
    <w:rsid w:val="00BF5349"/>
    <w:rsid w:val="00C04773"/>
    <w:rsid w:val="00C04DFE"/>
    <w:rsid w:val="00C1192A"/>
    <w:rsid w:val="00C12757"/>
    <w:rsid w:val="00C2052F"/>
    <w:rsid w:val="00C21BA3"/>
    <w:rsid w:val="00C365E4"/>
    <w:rsid w:val="00C3740A"/>
    <w:rsid w:val="00C42533"/>
    <w:rsid w:val="00C44BA2"/>
    <w:rsid w:val="00C46403"/>
    <w:rsid w:val="00C566EC"/>
    <w:rsid w:val="00C56BF0"/>
    <w:rsid w:val="00C57CCC"/>
    <w:rsid w:val="00C63FF8"/>
    <w:rsid w:val="00C7316E"/>
    <w:rsid w:val="00C8297A"/>
    <w:rsid w:val="00C84BCA"/>
    <w:rsid w:val="00C85A4D"/>
    <w:rsid w:val="00C85C75"/>
    <w:rsid w:val="00C86687"/>
    <w:rsid w:val="00C87363"/>
    <w:rsid w:val="00C92713"/>
    <w:rsid w:val="00C956A7"/>
    <w:rsid w:val="00CA514B"/>
    <w:rsid w:val="00CB01BA"/>
    <w:rsid w:val="00CB3333"/>
    <w:rsid w:val="00CB6958"/>
    <w:rsid w:val="00CC3FA5"/>
    <w:rsid w:val="00CE4AE5"/>
    <w:rsid w:val="00CF75A3"/>
    <w:rsid w:val="00CF7929"/>
    <w:rsid w:val="00D04930"/>
    <w:rsid w:val="00D134CF"/>
    <w:rsid w:val="00D17ACC"/>
    <w:rsid w:val="00D234BA"/>
    <w:rsid w:val="00D264C7"/>
    <w:rsid w:val="00D3286E"/>
    <w:rsid w:val="00D332D3"/>
    <w:rsid w:val="00D33ACA"/>
    <w:rsid w:val="00D34FB0"/>
    <w:rsid w:val="00D4277D"/>
    <w:rsid w:val="00D46121"/>
    <w:rsid w:val="00D6194A"/>
    <w:rsid w:val="00D61D42"/>
    <w:rsid w:val="00D7529B"/>
    <w:rsid w:val="00D7715E"/>
    <w:rsid w:val="00D8162F"/>
    <w:rsid w:val="00D85AC2"/>
    <w:rsid w:val="00DA09F4"/>
    <w:rsid w:val="00DA4AA1"/>
    <w:rsid w:val="00DA53A2"/>
    <w:rsid w:val="00DA6082"/>
    <w:rsid w:val="00DB64EE"/>
    <w:rsid w:val="00DC1A05"/>
    <w:rsid w:val="00DC42AB"/>
    <w:rsid w:val="00DC7066"/>
    <w:rsid w:val="00DC7206"/>
    <w:rsid w:val="00DD3303"/>
    <w:rsid w:val="00DE26F5"/>
    <w:rsid w:val="00DF0EC1"/>
    <w:rsid w:val="00DF490E"/>
    <w:rsid w:val="00DF4AB1"/>
    <w:rsid w:val="00DF6BA2"/>
    <w:rsid w:val="00E032CB"/>
    <w:rsid w:val="00E05E30"/>
    <w:rsid w:val="00E106E6"/>
    <w:rsid w:val="00E174FA"/>
    <w:rsid w:val="00E208F3"/>
    <w:rsid w:val="00E22202"/>
    <w:rsid w:val="00E2264F"/>
    <w:rsid w:val="00E33F94"/>
    <w:rsid w:val="00E36FC9"/>
    <w:rsid w:val="00E41419"/>
    <w:rsid w:val="00E45FF8"/>
    <w:rsid w:val="00E56F00"/>
    <w:rsid w:val="00E6109D"/>
    <w:rsid w:val="00E61702"/>
    <w:rsid w:val="00E62CDB"/>
    <w:rsid w:val="00E63A42"/>
    <w:rsid w:val="00E668E0"/>
    <w:rsid w:val="00E66F86"/>
    <w:rsid w:val="00E70B45"/>
    <w:rsid w:val="00E721FE"/>
    <w:rsid w:val="00E732CD"/>
    <w:rsid w:val="00E76DA8"/>
    <w:rsid w:val="00E815B9"/>
    <w:rsid w:val="00E83E26"/>
    <w:rsid w:val="00E857CC"/>
    <w:rsid w:val="00E85B0B"/>
    <w:rsid w:val="00E872BE"/>
    <w:rsid w:val="00E87A92"/>
    <w:rsid w:val="00E90BDA"/>
    <w:rsid w:val="00E93368"/>
    <w:rsid w:val="00E950B0"/>
    <w:rsid w:val="00EA270F"/>
    <w:rsid w:val="00EA4C30"/>
    <w:rsid w:val="00EC15A4"/>
    <w:rsid w:val="00EC2A2F"/>
    <w:rsid w:val="00EC2DE4"/>
    <w:rsid w:val="00ED047E"/>
    <w:rsid w:val="00ED1C23"/>
    <w:rsid w:val="00ED1C33"/>
    <w:rsid w:val="00ED252D"/>
    <w:rsid w:val="00EF74E7"/>
    <w:rsid w:val="00F03345"/>
    <w:rsid w:val="00F14900"/>
    <w:rsid w:val="00F174C1"/>
    <w:rsid w:val="00F20F24"/>
    <w:rsid w:val="00F2222E"/>
    <w:rsid w:val="00F322AE"/>
    <w:rsid w:val="00F32548"/>
    <w:rsid w:val="00F361B6"/>
    <w:rsid w:val="00F37EDB"/>
    <w:rsid w:val="00F5287B"/>
    <w:rsid w:val="00F602C3"/>
    <w:rsid w:val="00F61D9C"/>
    <w:rsid w:val="00F6648C"/>
    <w:rsid w:val="00F70FDD"/>
    <w:rsid w:val="00F7512C"/>
    <w:rsid w:val="00F763BD"/>
    <w:rsid w:val="00F77E5C"/>
    <w:rsid w:val="00F908AF"/>
    <w:rsid w:val="00F91006"/>
    <w:rsid w:val="00F94BDA"/>
    <w:rsid w:val="00F94C14"/>
    <w:rsid w:val="00F972B8"/>
    <w:rsid w:val="00FA1250"/>
    <w:rsid w:val="00FA16C7"/>
    <w:rsid w:val="00FA2046"/>
    <w:rsid w:val="00FA4A94"/>
    <w:rsid w:val="00FA6C8E"/>
    <w:rsid w:val="00FA706C"/>
    <w:rsid w:val="00FB0870"/>
    <w:rsid w:val="00FB2272"/>
    <w:rsid w:val="00FB43FD"/>
    <w:rsid w:val="00FB4995"/>
    <w:rsid w:val="00FB6A80"/>
    <w:rsid w:val="00FC513D"/>
    <w:rsid w:val="00FD08A3"/>
    <w:rsid w:val="00FD37BB"/>
    <w:rsid w:val="00FE017F"/>
    <w:rsid w:val="00FE01E2"/>
    <w:rsid w:val="00FE40D6"/>
    <w:rsid w:val="00FE5AE8"/>
    <w:rsid w:val="00FF45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D083B1"/>
  <w15:chartTrackingRefBased/>
  <w15:docId w15:val="{F1443D2F-F5BF-5843-BC00-CB5341EB35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20E3"/>
    <w:rPr>
      <w:rFonts w:ascii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7B20E3"/>
    <w:pPr>
      <w:jc w:val="center"/>
      <w:outlineLvl w:val="0"/>
    </w:pPr>
    <w:rPr>
      <w:b/>
      <w:bCs/>
    </w:rPr>
  </w:style>
  <w:style w:type="paragraph" w:styleId="Heading2">
    <w:name w:val="heading 2"/>
    <w:basedOn w:val="Heading1"/>
    <w:next w:val="Normal"/>
    <w:link w:val="Heading2Char"/>
    <w:uiPriority w:val="9"/>
    <w:unhideWhenUsed/>
    <w:qFormat/>
    <w:rsid w:val="007B20E3"/>
    <w:pPr>
      <w:outlineLvl w:val="1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27B6A"/>
    <w:pPr>
      <w:spacing w:after="0" w:line="240" w:lineRule="auto"/>
      <w:contextualSpacing/>
      <w:jc w:val="center"/>
    </w:pPr>
    <w:rPr>
      <w:rFonts w:eastAsiaTheme="majorEastAsia"/>
      <w:spacing w:val="-10"/>
      <w:kern w:val="28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927B6A"/>
    <w:rPr>
      <w:rFonts w:ascii="Times New Roman" w:eastAsiaTheme="majorEastAsia" w:hAnsi="Times New Roman" w:cs="Times New Roman"/>
      <w:spacing w:val="-10"/>
      <w:kern w:val="28"/>
      <w:sz w:val="96"/>
      <w:szCs w:val="96"/>
    </w:rPr>
  </w:style>
  <w:style w:type="character" w:customStyle="1" w:styleId="Heading1Char">
    <w:name w:val="Heading 1 Char"/>
    <w:basedOn w:val="DefaultParagraphFont"/>
    <w:link w:val="Heading1"/>
    <w:uiPriority w:val="9"/>
    <w:rsid w:val="007B20E3"/>
    <w:rPr>
      <w:rFonts w:ascii="Times New Roman" w:hAnsi="Times New Roman" w:cs="Times New Roman"/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7B20E3"/>
    <w:rPr>
      <w:rFonts w:ascii="Times New Roman" w:hAnsi="Times New Roman" w:cs="Times New Roman"/>
      <w:b/>
      <w:b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F45F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F45F5"/>
    <w:rPr>
      <w:rFonts w:ascii="Times New Roman" w:hAnsi="Times New Roman" w:cs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F45F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47F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7FB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47FBA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956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56A7"/>
    <w:rPr>
      <w:rFonts w:ascii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C956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56A7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23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191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8355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978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498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520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4376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5570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6260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2505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2596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3902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096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158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5611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6883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228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269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758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1097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060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14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1819</Words>
  <Characters>10370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Eden Rich</dc:creator>
  <cp:keywords/>
  <dc:description/>
  <cp:lastModifiedBy>Eden Rich</cp:lastModifiedBy>
  <cp:revision>2</cp:revision>
  <dcterms:created xsi:type="dcterms:W3CDTF">2023-12-19T21:45:00Z</dcterms:created>
  <dcterms:modified xsi:type="dcterms:W3CDTF">2023-12-19T21:45:00Z</dcterms:modified>
</cp:coreProperties>
</file>