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F695A" w14:textId="77777777" w:rsidR="00035CFF" w:rsidRDefault="00035CFF" w:rsidP="00F23ACA">
      <w:pPr>
        <w:jc w:val="center"/>
        <w:rPr>
          <w:u w:val="single"/>
        </w:rPr>
      </w:pPr>
      <w:bookmarkStart w:id="0" w:name="_GoBack"/>
      <w:bookmarkEnd w:id="0"/>
    </w:p>
    <w:p w14:paraId="234B3971" w14:textId="716A9EEA" w:rsidR="00FE4471" w:rsidRDefault="009E0037" w:rsidP="00F23ACA">
      <w:pPr>
        <w:jc w:val="center"/>
        <w:rPr>
          <w:u w:val="single"/>
        </w:rPr>
      </w:pPr>
      <w:r w:rsidRPr="00295BC2">
        <w:rPr>
          <w:u w:val="single"/>
        </w:rPr>
        <w:t>The Riots of 1910 – why do we remember only Tonypandy?</w:t>
      </w:r>
    </w:p>
    <w:p w14:paraId="7008615C" w14:textId="77777777" w:rsidR="0050245B" w:rsidRDefault="0050245B">
      <w:pPr>
        <w:rPr>
          <w:u w:val="single"/>
        </w:rPr>
      </w:pPr>
    </w:p>
    <w:p w14:paraId="7023D9AF" w14:textId="75633398" w:rsidR="0050245B" w:rsidRPr="00FC4D5C" w:rsidRDefault="0050245B" w:rsidP="0050245B">
      <w:pPr>
        <w:jc w:val="right"/>
        <w:rPr>
          <w:b/>
          <w:i/>
        </w:rPr>
      </w:pPr>
      <w:r w:rsidRPr="00FC4D5C">
        <w:rPr>
          <w:b/>
          <w:i/>
        </w:rPr>
        <w:t xml:space="preserve">‘You have to remember that the story of the Rhondda riots, </w:t>
      </w:r>
    </w:p>
    <w:p w14:paraId="32E7B4BD" w14:textId="77777777" w:rsidR="0050245B" w:rsidRPr="00FC4D5C" w:rsidRDefault="0050245B" w:rsidP="0050245B">
      <w:pPr>
        <w:jc w:val="right"/>
        <w:rPr>
          <w:b/>
          <w:i/>
        </w:rPr>
      </w:pPr>
      <w:r w:rsidRPr="00FC4D5C">
        <w:rPr>
          <w:b/>
          <w:i/>
        </w:rPr>
        <w:t xml:space="preserve">and Tonypandy in particular, </w:t>
      </w:r>
    </w:p>
    <w:p w14:paraId="64F82383" w14:textId="77777777" w:rsidR="0050245B" w:rsidRPr="00FC4D5C" w:rsidRDefault="0050245B" w:rsidP="0050245B">
      <w:pPr>
        <w:jc w:val="right"/>
        <w:rPr>
          <w:b/>
          <w:i/>
        </w:rPr>
      </w:pPr>
      <w:r w:rsidRPr="00FC4D5C">
        <w:rPr>
          <w:b/>
          <w:i/>
        </w:rPr>
        <w:t xml:space="preserve">has been handed down from generation to generation, </w:t>
      </w:r>
    </w:p>
    <w:p w14:paraId="14FB6818" w14:textId="7292BAFD" w:rsidR="0050245B" w:rsidRPr="00FC4D5C" w:rsidRDefault="0050245B" w:rsidP="0050245B">
      <w:pPr>
        <w:jc w:val="right"/>
        <w:rPr>
          <w:b/>
          <w:i/>
        </w:rPr>
      </w:pPr>
      <w:r w:rsidRPr="00FC4D5C">
        <w:rPr>
          <w:b/>
          <w:i/>
        </w:rPr>
        <w:t>and has altered subtly over the years’</w:t>
      </w:r>
    </w:p>
    <w:p w14:paraId="021C81AA" w14:textId="086907D8" w:rsidR="0050245B" w:rsidRPr="0050245B" w:rsidRDefault="0050245B" w:rsidP="0050245B">
      <w:pPr>
        <w:pStyle w:val="ListParagraph"/>
        <w:numPr>
          <w:ilvl w:val="0"/>
          <w:numId w:val="1"/>
        </w:numPr>
        <w:jc w:val="right"/>
        <w:rPr>
          <w:b/>
        </w:rPr>
      </w:pPr>
      <w:r w:rsidRPr="00FC4D5C">
        <w:rPr>
          <w:i/>
        </w:rPr>
        <w:t>David Maddox, The Tonypandy Riots 1910-11</w:t>
      </w:r>
      <w:r w:rsidRPr="00B43DBD">
        <w:rPr>
          <w:rStyle w:val="FootnoteReference"/>
        </w:rPr>
        <w:footnoteReference w:id="2"/>
      </w:r>
    </w:p>
    <w:p w14:paraId="01992375" w14:textId="38656663" w:rsidR="00CD13A8" w:rsidRDefault="00CD13A8">
      <w:pPr>
        <w:rPr>
          <w:u w:val="single"/>
        </w:rPr>
      </w:pPr>
    </w:p>
    <w:p w14:paraId="6A670E4C" w14:textId="0E9C6A9B" w:rsidR="009E0037" w:rsidRDefault="009E0037"/>
    <w:p w14:paraId="6ED7B0EF" w14:textId="6E94ABF8" w:rsidR="003237CC" w:rsidRDefault="008A2CBE" w:rsidP="00E25629">
      <w:pPr>
        <w:spacing w:line="480" w:lineRule="auto"/>
      </w:pPr>
      <w:r>
        <w:t xml:space="preserve">The rioting at the welsh town of </w:t>
      </w:r>
      <w:r w:rsidR="00F52BAF">
        <w:t xml:space="preserve">Tonypandy during 1910 is said to define </w:t>
      </w:r>
      <w:r>
        <w:t xml:space="preserve">the essence of </w:t>
      </w:r>
      <w:r w:rsidR="00F52BAF">
        <w:t xml:space="preserve">community. </w:t>
      </w:r>
      <w:r w:rsidR="00295BC2">
        <w:t xml:space="preserve">David Smith, a historian at Cambridge, states that by 1951 </w:t>
      </w:r>
      <w:proofErr w:type="spellStart"/>
      <w:r w:rsidR="00295BC2">
        <w:t>Tonypandy’s</w:t>
      </w:r>
      <w:proofErr w:type="spellEnd"/>
      <w:r w:rsidR="00295BC2">
        <w:t xml:space="preserve"> historical purpose was to either be waved as a flag of popular resistance, or the events would be shelved as an insignificant fracas,</w:t>
      </w:r>
      <w:r w:rsidR="003745EB">
        <w:t xml:space="preserve"> not only</w:t>
      </w:r>
      <w:r w:rsidR="00295BC2">
        <w:t xml:space="preserve"> displaying the conflicting struggle of interpretations around the events</w:t>
      </w:r>
      <w:r w:rsidR="00705EB2">
        <w:t>, but also i</w:t>
      </w:r>
      <w:r w:rsidR="00E81BCD">
        <w:t>ts</w:t>
      </w:r>
      <w:r w:rsidR="00705EB2">
        <w:t xml:space="preserve"> his</w:t>
      </w:r>
      <w:r w:rsidR="00EC2C0B">
        <w:t>torical</w:t>
      </w:r>
      <w:r w:rsidR="00E81BCD">
        <w:t xml:space="preserve"> importance</w:t>
      </w:r>
      <w:r w:rsidR="00295BC2">
        <w:t>.</w:t>
      </w:r>
      <w:r w:rsidR="00F82FAF" w:rsidRPr="00B43DBD">
        <w:rPr>
          <w:rStyle w:val="FootnoteReference"/>
        </w:rPr>
        <w:footnoteReference w:id="3"/>
      </w:r>
      <w:r w:rsidR="00295BC2">
        <w:t xml:space="preserve"> Smith personally believes that if one was to go to South Wales, it would be known that they would never forget Tonypandy</w:t>
      </w:r>
      <w:r w:rsidR="00763C4A">
        <w:t xml:space="preserve">, </w:t>
      </w:r>
      <w:r w:rsidR="00D269F1">
        <w:t>highlighting</w:t>
      </w:r>
      <w:r w:rsidR="00763C4A">
        <w:t xml:space="preserve"> the </w:t>
      </w:r>
      <w:r w:rsidR="003D3971">
        <w:t xml:space="preserve">important and gravity of the event and </w:t>
      </w:r>
      <w:r w:rsidR="00D269F1">
        <w:t>its</w:t>
      </w:r>
      <w:r w:rsidR="003D3971">
        <w:t xml:space="preserve"> effect on the welsh community and society</w:t>
      </w:r>
      <w:r w:rsidR="00295BC2">
        <w:t>.</w:t>
      </w:r>
      <w:r w:rsidR="00295BC2" w:rsidRPr="00B43DBD">
        <w:rPr>
          <w:rStyle w:val="FootnoteReference"/>
        </w:rPr>
        <w:footnoteReference w:id="4"/>
      </w:r>
      <w:r w:rsidR="00295BC2">
        <w:t xml:space="preserve"> </w:t>
      </w:r>
      <w:r w:rsidR="00AC524C">
        <w:t xml:space="preserve"> The use of multidirectional and narrative memory </w:t>
      </w:r>
      <w:r w:rsidR="007E13F3">
        <w:t xml:space="preserve">alongside collective and communitive memory </w:t>
      </w:r>
      <w:r w:rsidR="00AC524C">
        <w:t>is key to understanding why</w:t>
      </w:r>
      <w:r w:rsidR="007E13F3">
        <w:t xml:space="preserve"> the events </w:t>
      </w:r>
      <w:proofErr w:type="gramStart"/>
      <w:r w:rsidR="007E13F3">
        <w:t xml:space="preserve">of </w:t>
      </w:r>
      <w:r w:rsidR="00AC524C">
        <w:t xml:space="preserve"> Tonypandy</w:t>
      </w:r>
      <w:proofErr w:type="gramEnd"/>
      <w:r w:rsidR="00AC524C">
        <w:t xml:space="preserve"> </w:t>
      </w:r>
      <w:r w:rsidR="007E13F3">
        <w:t>are</w:t>
      </w:r>
      <w:r w:rsidR="00AC524C">
        <w:t xml:space="preserve"> remembered</w:t>
      </w:r>
      <w:r w:rsidR="00977102">
        <w:t xml:space="preserve"> rather than other events of the time, and </w:t>
      </w:r>
      <w:r w:rsidR="00F82FAF">
        <w:t>they</w:t>
      </w:r>
      <w:r w:rsidR="00977102">
        <w:t xml:space="preserve"> the events of Tonypandy are significant.</w:t>
      </w:r>
    </w:p>
    <w:p w14:paraId="43A9FA72" w14:textId="086C36C6" w:rsidR="0044128C" w:rsidRDefault="00386C44" w:rsidP="00E25629">
      <w:pPr>
        <w:spacing w:line="480" w:lineRule="auto"/>
      </w:pPr>
      <w:r>
        <w:t xml:space="preserve"> </w:t>
      </w:r>
      <w:r>
        <w:tab/>
      </w:r>
      <w:r w:rsidR="003237CC">
        <w:t>The riots of 191</w:t>
      </w:r>
      <w:r w:rsidR="006C1412">
        <w:t>0</w:t>
      </w:r>
      <w:r w:rsidR="00940D8B">
        <w:t xml:space="preserve"> were</w:t>
      </w:r>
      <w:r w:rsidR="003936F0">
        <w:t xml:space="preserve"> </w:t>
      </w:r>
      <w:r w:rsidR="0004023E">
        <w:t xml:space="preserve">the first </w:t>
      </w:r>
      <w:r w:rsidR="0065571E">
        <w:t>occurrence</w:t>
      </w:r>
      <w:r w:rsidR="0004023E">
        <w:t xml:space="preserve"> of Welsh miners engaging in direct conflict with the police and military, resulting in physical con</w:t>
      </w:r>
      <w:r w:rsidR="0088499B">
        <w:t xml:space="preserve">frontations where </w:t>
      </w:r>
      <w:r w:rsidR="00E4613C">
        <w:t>at the height of the violence, Samuel Rays a min</w:t>
      </w:r>
      <w:r w:rsidR="00E5013C">
        <w:t>er from the Rhonda valley was killed due to a fractured skull on the 8</w:t>
      </w:r>
      <w:r w:rsidR="00E5013C" w:rsidRPr="00E5013C">
        <w:rPr>
          <w:vertAlign w:val="superscript"/>
        </w:rPr>
        <w:t>th</w:t>
      </w:r>
      <w:r w:rsidR="00E5013C">
        <w:t xml:space="preserve"> of </w:t>
      </w:r>
      <w:r w:rsidR="00557AED">
        <w:t>N</w:t>
      </w:r>
      <w:r w:rsidR="00E5013C">
        <w:t>ovember.</w:t>
      </w:r>
      <w:r w:rsidR="006641E2" w:rsidRPr="00B43DBD">
        <w:rPr>
          <w:rStyle w:val="FootnoteReference"/>
        </w:rPr>
        <w:footnoteReference w:id="5"/>
      </w:r>
      <w:r w:rsidR="0065571E">
        <w:t xml:space="preserve"> It is for </w:t>
      </w:r>
      <w:r w:rsidR="00D820A3">
        <w:t>several</w:t>
      </w:r>
      <w:r w:rsidR="0065571E">
        <w:t xml:space="preserve"> reasons why the </w:t>
      </w:r>
      <w:r w:rsidR="00BC0488">
        <w:t xml:space="preserve">1910 riots and in </w:t>
      </w:r>
      <w:r w:rsidR="00D820A3">
        <w:t>particular</w:t>
      </w:r>
      <w:r w:rsidR="00BC0488">
        <w:t xml:space="preserve"> the Tonypandy </w:t>
      </w:r>
      <w:r w:rsidR="00D820A3">
        <w:t>altercation</w:t>
      </w:r>
      <w:r w:rsidR="00456C97">
        <w:t xml:space="preserve"> is </w:t>
      </w:r>
      <w:r w:rsidR="00456C97">
        <w:lastRenderedPageBreak/>
        <w:t xml:space="preserve">remembered </w:t>
      </w:r>
      <w:r w:rsidR="0011147F">
        <w:t xml:space="preserve">compare to other riots of the time. This is most likely due to the </w:t>
      </w:r>
      <w:r w:rsidR="00B93E29">
        <w:t>severity</w:t>
      </w:r>
      <w:r w:rsidR="0011147F">
        <w:t xml:space="preserve"> of the conflicts and intensity of police and military movement in the surrounding areas. </w:t>
      </w:r>
      <w:r w:rsidR="00803C7B">
        <w:t xml:space="preserve"> The </w:t>
      </w:r>
      <w:r w:rsidR="0034340C">
        <w:t xml:space="preserve">origins of the </w:t>
      </w:r>
      <w:r w:rsidR="006E7193">
        <w:t xml:space="preserve">1910 riots began by the </w:t>
      </w:r>
      <w:r w:rsidR="004A58EA">
        <w:t>refusal</w:t>
      </w:r>
      <w:r w:rsidR="006E7193">
        <w:t xml:space="preserve"> of the miners at Ely pit to </w:t>
      </w:r>
      <w:r w:rsidR="004A58EA">
        <w:t>continue</w:t>
      </w:r>
      <w:r w:rsidR="006E7193">
        <w:t xml:space="preserve"> work under new </w:t>
      </w:r>
      <w:r w:rsidR="004A58EA">
        <w:t>regulations</w:t>
      </w:r>
      <w:r w:rsidR="00585DBB">
        <w:t xml:space="preserve"> where the price per ton was altered by management.</w:t>
      </w:r>
      <w:r w:rsidR="004A58EA" w:rsidRPr="00B43DBD">
        <w:rPr>
          <w:rStyle w:val="FootnoteReference"/>
        </w:rPr>
        <w:footnoteReference w:id="6"/>
      </w:r>
      <w:r w:rsidR="00ED38BB">
        <w:t xml:space="preserve"> </w:t>
      </w:r>
      <w:r w:rsidR="00E90F75">
        <w:t>It was thought that without raising the pay, the miners would not be able to meet a living wage due to the amount of unpaid work they would receive due to the quantity of stone the pit had.</w:t>
      </w:r>
      <w:r w:rsidR="00A214CC">
        <w:t xml:space="preserve"> </w:t>
      </w:r>
      <w:r w:rsidR="005B70DD">
        <w:t>The miners</w:t>
      </w:r>
      <w:r w:rsidR="00357AFA">
        <w:t>, previously to the strike were paid on a piecemeal basis</w:t>
      </w:r>
      <w:r w:rsidR="00B806D6">
        <w:t xml:space="preserve">. </w:t>
      </w:r>
      <w:r w:rsidR="00A214CC">
        <w:t xml:space="preserve">This ensued a strike by the </w:t>
      </w:r>
      <w:r w:rsidR="0023279C">
        <w:t xml:space="preserve">South Wales Miner’s Federation which effected the opening and productivity of </w:t>
      </w:r>
      <w:r w:rsidR="00F01C96">
        <w:t>the Cambrian Combine collieries, which inc</w:t>
      </w:r>
      <w:r w:rsidR="00B70790">
        <w:t>luded the Naval Colliery Company Limited which held pits in Tonypandy.</w:t>
      </w:r>
      <w:r w:rsidR="008E2784">
        <w:t xml:space="preserve"> This resulted in police </w:t>
      </w:r>
      <w:r w:rsidR="00461399">
        <w:t>intervention</w:t>
      </w:r>
      <w:r w:rsidR="008E2784">
        <w:t xml:space="preserve">, where miners and </w:t>
      </w:r>
      <w:r w:rsidR="00461399">
        <w:t>policemen</w:t>
      </w:r>
      <w:r w:rsidR="00DF34E3">
        <w:t xml:space="preserve"> clashed, erupting in large demonstrations by the mining community where </w:t>
      </w:r>
      <w:r w:rsidR="005848D8">
        <w:t>collieries</w:t>
      </w:r>
      <w:r w:rsidR="001F51CE">
        <w:t xml:space="preserve"> </w:t>
      </w:r>
      <w:r w:rsidR="00461399">
        <w:t>were violated.</w:t>
      </w:r>
      <w:r w:rsidR="00854C31" w:rsidRPr="00B43DBD">
        <w:rPr>
          <w:rStyle w:val="FootnoteReference"/>
        </w:rPr>
        <w:footnoteReference w:id="7"/>
      </w:r>
      <w:r w:rsidR="00461399">
        <w:t xml:space="preserve"> </w:t>
      </w:r>
      <w:r w:rsidR="00334FFC">
        <w:t xml:space="preserve"> </w:t>
      </w:r>
      <w:r w:rsidR="00026B37">
        <w:br/>
        <w:t xml:space="preserve"> </w:t>
      </w:r>
      <w:r w:rsidR="00026B37">
        <w:tab/>
      </w:r>
      <w:r w:rsidR="008133D3">
        <w:t>Nevertheless,</w:t>
      </w:r>
      <w:r w:rsidR="006474E1">
        <w:t xml:space="preserve"> </w:t>
      </w:r>
      <w:r w:rsidR="005848D8">
        <w:t>the rioting progressed in intensity and severity, which caused t</w:t>
      </w:r>
      <w:r w:rsidR="0011147F">
        <w:t xml:space="preserve">he government </w:t>
      </w:r>
      <w:r w:rsidR="005848D8">
        <w:t xml:space="preserve">to </w:t>
      </w:r>
      <w:r w:rsidR="00B93E29">
        <w:t>dedicate</w:t>
      </w:r>
      <w:r w:rsidR="0011147F">
        <w:t xml:space="preserve"> </w:t>
      </w:r>
      <w:r w:rsidR="002C60F4">
        <w:t>large numbers of polic</w:t>
      </w:r>
      <w:r w:rsidR="00C31105">
        <w:t>e</w:t>
      </w:r>
      <w:r w:rsidR="00292CD1">
        <w:t>, including highly trained metropolitan</w:t>
      </w:r>
      <w:r w:rsidR="00EC107E">
        <w:t xml:space="preserve">s and mounted </w:t>
      </w:r>
      <w:r w:rsidR="00B93E29">
        <w:t>policemen</w:t>
      </w:r>
      <w:r w:rsidR="00C31105">
        <w:t xml:space="preserve"> to the Rhonda valley</w:t>
      </w:r>
      <w:r w:rsidR="00EC107E">
        <w:t xml:space="preserve">. Alongside this the government also </w:t>
      </w:r>
      <w:r w:rsidR="00E40B15">
        <w:t>brought military support in the form of;</w:t>
      </w:r>
      <w:r w:rsidR="00EC107E">
        <w:t xml:space="preserve"> </w:t>
      </w:r>
      <w:r w:rsidR="00FC5963">
        <w:t>two squadrons o</w:t>
      </w:r>
      <w:r w:rsidR="00F82FAF">
        <w:t>f</w:t>
      </w:r>
      <w:r w:rsidR="00FC5963">
        <w:t xml:space="preserve"> hussars, two </w:t>
      </w:r>
      <w:r w:rsidR="00B93E29">
        <w:t>infantry</w:t>
      </w:r>
      <w:r w:rsidR="00FC5963">
        <w:t xml:space="preserve"> companies and another three companies </w:t>
      </w:r>
      <w:r w:rsidR="00B93E29">
        <w:t>within a radius of thirty miles.</w:t>
      </w:r>
      <w:r w:rsidR="003C6C02" w:rsidRPr="00B43DBD">
        <w:rPr>
          <w:rStyle w:val="FootnoteReference"/>
        </w:rPr>
        <w:footnoteReference w:id="8"/>
      </w:r>
      <w:r w:rsidR="00026B37">
        <w:t xml:space="preserve"> There was an increase of resentment towards Churchill as he was seen as the reason why picketing was made impossible during the strike because of the troops presence.</w:t>
      </w:r>
      <w:r w:rsidR="00BB6736" w:rsidRPr="00B43DBD">
        <w:rPr>
          <w:rStyle w:val="FootnoteReference"/>
        </w:rPr>
        <w:footnoteReference w:id="9"/>
      </w:r>
      <w:r w:rsidR="00BB6736">
        <w:t xml:space="preserve"> </w:t>
      </w:r>
      <w:r w:rsidR="00F13015">
        <w:t xml:space="preserve">This led to the idea that if a Liberal government </w:t>
      </w:r>
      <w:r w:rsidR="00D62544">
        <w:t>were installed into parliament</w:t>
      </w:r>
      <w:r w:rsidR="00F13015">
        <w:t>, they would use t</w:t>
      </w:r>
      <w:r w:rsidR="007A5709">
        <w:t xml:space="preserve">roops to provide </w:t>
      </w:r>
      <w:r w:rsidR="00D62544">
        <w:t>physical support</w:t>
      </w:r>
      <w:r w:rsidR="007A5709">
        <w:t xml:space="preserve"> for pit owners instead of the workers</w:t>
      </w:r>
      <w:r w:rsidR="00781223">
        <w:t>.</w:t>
      </w:r>
      <w:r w:rsidR="007A5709" w:rsidRPr="00B43DBD">
        <w:rPr>
          <w:rStyle w:val="FootnoteReference"/>
        </w:rPr>
        <w:footnoteReference w:id="10"/>
      </w:r>
      <w:r w:rsidR="00781223">
        <w:t xml:space="preserve"> This fact alone </w:t>
      </w:r>
      <w:r w:rsidR="00CD358F">
        <w:t>lead</w:t>
      </w:r>
      <w:r w:rsidR="00D83A84">
        <w:t xml:space="preserve"> to an uneasiness towards Churchill in South Wales as fundamentally South Wales was a</w:t>
      </w:r>
      <w:r w:rsidR="00814158">
        <w:t xml:space="preserve">n industrial, especially coal mining, </w:t>
      </w:r>
      <w:r w:rsidR="00D62544">
        <w:t>industry dominated region</w:t>
      </w:r>
      <w:r w:rsidR="00814158">
        <w:t xml:space="preserve">. </w:t>
      </w:r>
      <w:r w:rsidR="00733CFC">
        <w:t xml:space="preserve"> </w:t>
      </w:r>
      <w:r w:rsidR="00295BC2">
        <w:br/>
        <w:t xml:space="preserve"> </w:t>
      </w:r>
      <w:r w:rsidR="00295BC2">
        <w:tab/>
        <w:t xml:space="preserve">The name ‘Tonypandy’ </w:t>
      </w:r>
      <w:r w:rsidR="006C1412">
        <w:t xml:space="preserve">was </w:t>
      </w:r>
      <w:r w:rsidR="00295BC2">
        <w:t xml:space="preserve">symbolised </w:t>
      </w:r>
      <w:r w:rsidR="00501799">
        <w:t xml:space="preserve">as a </w:t>
      </w:r>
      <w:r w:rsidR="00295BC2">
        <w:t xml:space="preserve">successive pugnaciousness within the </w:t>
      </w:r>
      <w:r w:rsidR="0039184A">
        <w:t xml:space="preserve">attitude </w:t>
      </w:r>
      <w:r w:rsidR="0039184A">
        <w:lastRenderedPageBreak/>
        <w:t xml:space="preserve">and contentedness of the </w:t>
      </w:r>
      <w:r w:rsidR="00295BC2">
        <w:t>South Wales coalfield</w:t>
      </w:r>
      <w:r w:rsidR="00662062">
        <w:t xml:space="preserve"> </w:t>
      </w:r>
      <w:r w:rsidR="00600FAB">
        <w:t>community</w:t>
      </w:r>
      <w:r w:rsidR="00295BC2">
        <w:t xml:space="preserve">. </w:t>
      </w:r>
      <w:r w:rsidR="000132BB">
        <w:t xml:space="preserve"> The memory and discussion of </w:t>
      </w:r>
      <w:r w:rsidR="00295BC2">
        <w:t>Tonypandy</w:t>
      </w:r>
      <w:r w:rsidR="000132BB">
        <w:t xml:space="preserve"> is perhaps </w:t>
      </w:r>
      <w:r w:rsidR="00295BC2">
        <w:t>burden</w:t>
      </w:r>
      <w:r w:rsidR="000132BB">
        <w:t>ed by</w:t>
      </w:r>
      <w:r w:rsidR="00295BC2">
        <w:t xml:space="preserve"> its</w:t>
      </w:r>
      <w:r w:rsidR="000132BB">
        <w:t xml:space="preserve"> well-recognised</w:t>
      </w:r>
      <w:r w:rsidR="00295BC2">
        <w:t xml:space="preserve"> ‘usable myth’</w:t>
      </w:r>
      <w:r w:rsidR="000132BB">
        <w:t>, which</w:t>
      </w:r>
      <w:r w:rsidR="00C14E1A">
        <w:t xml:space="preserve"> focuses on the </w:t>
      </w:r>
      <w:r w:rsidR="00457B9C">
        <w:t xml:space="preserve">militancy of south wales, drawing upon its dramatized </w:t>
      </w:r>
      <w:r w:rsidR="007839FD">
        <w:t>elements</w:t>
      </w:r>
      <w:r w:rsidR="00457B9C">
        <w:t xml:space="preserve"> by poets and writers</w:t>
      </w:r>
      <w:r w:rsidR="007839FD">
        <w:t>.</w:t>
      </w:r>
      <w:r w:rsidR="00295BC2" w:rsidRPr="00B43DBD">
        <w:rPr>
          <w:rStyle w:val="FootnoteReference"/>
        </w:rPr>
        <w:footnoteReference w:id="11"/>
      </w:r>
      <w:r w:rsidR="00295BC2">
        <w:t xml:space="preserve"> </w:t>
      </w:r>
    </w:p>
    <w:p w14:paraId="4F1E28E0" w14:textId="1C9DD272" w:rsidR="00446080" w:rsidRDefault="00611A58" w:rsidP="00E25629">
      <w:pPr>
        <w:spacing w:line="480" w:lineRule="auto"/>
      </w:pPr>
      <w:r>
        <w:t xml:space="preserve"> </w:t>
      </w:r>
      <w:r>
        <w:tab/>
      </w:r>
      <w:r w:rsidR="00295BC2">
        <w:t xml:space="preserve">This was </w:t>
      </w:r>
      <w:proofErr w:type="gramStart"/>
      <w:r w:rsidR="00295BC2">
        <w:t>due to the fact that</w:t>
      </w:r>
      <w:proofErr w:type="gramEnd"/>
      <w:r w:rsidR="00295BC2">
        <w:t xml:space="preserve"> the events of Tonypandy appeared to be positioned right at the midpoint of several other events;</w:t>
      </w:r>
      <w:r w:rsidR="00E77879">
        <w:t xml:space="preserve"> it indicated that Churchill’s Liberalism could be seen as a disguise for the domestic bellicosity he displayed later in 1926</w:t>
      </w:r>
      <w:r w:rsidR="008627C8">
        <w:t>.</w:t>
      </w:r>
      <w:r w:rsidR="00E77879">
        <w:t xml:space="preserve"> </w:t>
      </w:r>
      <w:r w:rsidR="008627C8">
        <w:t>Which in turn</w:t>
      </w:r>
      <w:r w:rsidR="00E77879">
        <w:t xml:space="preserve"> foreshadowed a great wave of </w:t>
      </w:r>
      <w:r w:rsidR="000A6EE4">
        <w:t>industrial</w:t>
      </w:r>
      <w:r w:rsidR="00E77879">
        <w:t xml:space="preserve"> unrest pr</w:t>
      </w:r>
      <w:r w:rsidR="008627C8">
        <w:t xml:space="preserve">ior to </w:t>
      </w:r>
      <w:r w:rsidR="00E77879">
        <w:t>1914</w:t>
      </w:r>
      <w:r w:rsidR="000A6EE4">
        <w:t xml:space="preserve">. </w:t>
      </w:r>
      <w:r w:rsidR="008627C8">
        <w:t>Alt</w:t>
      </w:r>
      <w:r w:rsidR="000A6EE4">
        <w:t>hough the strike of 1910 ended in defeat</w:t>
      </w:r>
      <w:r w:rsidR="0059219F">
        <w:t xml:space="preserve"> for the mining community</w:t>
      </w:r>
      <w:r w:rsidR="000A6EE4">
        <w:t>, it anticipated the publicising of the issues</w:t>
      </w:r>
      <w:r w:rsidR="00316256">
        <w:t xml:space="preserve"> that the mining community </w:t>
      </w:r>
      <w:r w:rsidR="00A6550F">
        <w:t>suffered from,</w:t>
      </w:r>
      <w:r w:rsidR="000A6EE4">
        <w:t xml:space="preserve"> which later resulted in the national strike of 1912 </w:t>
      </w:r>
      <w:r w:rsidR="001F630A">
        <w:t>that set</w:t>
      </w:r>
      <w:r w:rsidR="000A6EE4">
        <w:t xml:space="preserve"> the </w:t>
      </w:r>
      <w:r w:rsidR="00A66F43">
        <w:t>foundations</w:t>
      </w:r>
      <w:r w:rsidR="000A6EE4">
        <w:t xml:space="preserve"> for minimum wage</w:t>
      </w:r>
      <w:r w:rsidR="004D19E7">
        <w:t xml:space="preserve"> to be implemented</w:t>
      </w:r>
      <w:r w:rsidR="000A6EE4">
        <w:t>.</w:t>
      </w:r>
      <w:r w:rsidR="000A6EE4" w:rsidRPr="00B43DBD">
        <w:rPr>
          <w:rStyle w:val="FootnoteReference"/>
        </w:rPr>
        <w:footnoteReference w:id="12"/>
      </w:r>
      <w:r w:rsidR="000A6EE4">
        <w:t xml:space="preserve"> </w:t>
      </w:r>
      <w:r w:rsidR="00DC074C">
        <w:t xml:space="preserve"> The events of Tonypandy also lead to the gathering of militant leaders and various socialist ideologies which threatened the dominance of Lib-</w:t>
      </w:r>
      <w:proofErr w:type="spellStart"/>
      <w:r w:rsidR="00DC074C">
        <w:t>Labism</w:t>
      </w:r>
      <w:proofErr w:type="spellEnd"/>
      <w:r w:rsidR="00DC074C">
        <w:t xml:space="preserve"> and parliamentary reformism.</w:t>
      </w:r>
      <w:r w:rsidR="00BB4FF8" w:rsidRPr="00B43DBD">
        <w:rPr>
          <w:rStyle w:val="FootnoteReference"/>
        </w:rPr>
        <w:footnoteReference w:id="13"/>
      </w:r>
      <w:r w:rsidR="00BB4FF8">
        <w:t xml:space="preserve"> Although the events of Tonypandy triggered many other issues, a fundamental reason as to why we only remember Tonypandy can be due to the link</w:t>
      </w:r>
      <w:r w:rsidR="00561435">
        <w:t xml:space="preserve"> of</w:t>
      </w:r>
      <w:r w:rsidR="00BB4FF8">
        <w:t xml:space="preserve"> cultural and multidirectional memory. </w:t>
      </w:r>
      <w:r w:rsidR="00F84928">
        <w:br/>
        <w:t xml:space="preserve"> </w:t>
      </w:r>
      <w:r w:rsidR="00F84928">
        <w:tab/>
      </w:r>
      <w:r w:rsidR="00BB4FF8">
        <w:t>Rothberg’s ‘multidirectional memory’ regards an array of interventions through which societal factors bring multiple traumatic pasts into the presents.</w:t>
      </w:r>
      <w:r w:rsidR="00BB4FF8" w:rsidRPr="00B43DBD">
        <w:rPr>
          <w:rStyle w:val="FootnoteReference"/>
        </w:rPr>
        <w:footnoteReference w:id="14"/>
      </w:r>
      <w:r w:rsidR="00BB4FF8">
        <w:t xml:space="preserve"> The theory itself presents how the link between collective memory and group identity may have been taken for granted leading to the boundaries between identity and memory overlapping.</w:t>
      </w:r>
      <w:r w:rsidR="00BB4FF8" w:rsidRPr="00B43DBD">
        <w:rPr>
          <w:rStyle w:val="FootnoteReference"/>
        </w:rPr>
        <w:footnoteReference w:id="15"/>
      </w:r>
      <w:r w:rsidR="00BB4FF8">
        <w:t xml:space="preserve"> This theory </w:t>
      </w:r>
      <w:r w:rsidR="00087D0B">
        <w:t>can be linked</w:t>
      </w:r>
      <w:r w:rsidR="00BB4FF8">
        <w:t xml:space="preserve"> to </w:t>
      </w:r>
      <w:r w:rsidR="003A4FA8">
        <w:t xml:space="preserve">cultural memory. </w:t>
      </w:r>
      <w:proofErr w:type="spellStart"/>
      <w:r w:rsidR="003A4FA8">
        <w:t>Assma</w:t>
      </w:r>
      <w:r w:rsidR="0040282C">
        <w:t>n</w:t>
      </w:r>
      <w:r w:rsidR="003A4FA8">
        <w:t>n</w:t>
      </w:r>
      <w:proofErr w:type="spellEnd"/>
      <w:r w:rsidR="003A4FA8">
        <w:t xml:space="preserve"> highlights that cultural memory is resulted from socialisation and traditions</w:t>
      </w:r>
      <w:r w:rsidR="003A4FA8" w:rsidRPr="0083319E">
        <w:t xml:space="preserve"> rather than being a result of phylogenetic development</w:t>
      </w:r>
      <w:r w:rsidR="003A4FA8">
        <w:t>.</w:t>
      </w:r>
      <w:r w:rsidR="003A4FA8" w:rsidRPr="00B43DBD">
        <w:rPr>
          <w:rStyle w:val="FootnoteReference"/>
        </w:rPr>
        <w:footnoteReference w:id="16"/>
      </w:r>
      <w:r w:rsidR="003A4FA8">
        <w:t xml:space="preserve">  </w:t>
      </w:r>
      <w:r w:rsidR="003A4FA8" w:rsidRPr="0083319E">
        <w:t xml:space="preserve">Nietzsche </w:t>
      </w:r>
      <w:r w:rsidR="003A4FA8">
        <w:t>claims</w:t>
      </w:r>
      <w:r w:rsidR="003A4FA8" w:rsidRPr="0083319E">
        <w:t xml:space="preserve"> that although animals’ genetic programs </w:t>
      </w:r>
      <w:r w:rsidR="003A4FA8">
        <w:t>ensure</w:t>
      </w:r>
      <w:r w:rsidR="003A4FA8" w:rsidRPr="0083319E">
        <w:t xml:space="preserve"> their existence, humans need a means to preserve their nature throughout </w:t>
      </w:r>
      <w:r w:rsidR="003A4FA8" w:rsidRPr="0083319E">
        <w:lastRenderedPageBreak/>
        <w:t>generations.</w:t>
      </w:r>
      <w:r w:rsidR="0040282C" w:rsidRPr="00B43DBD">
        <w:rPr>
          <w:rStyle w:val="FootnoteReference"/>
        </w:rPr>
        <w:footnoteReference w:id="17"/>
      </w:r>
      <w:r w:rsidR="003A4FA8" w:rsidRPr="0083319E">
        <w:t xml:space="preserve"> </w:t>
      </w:r>
      <w:r w:rsidR="0040282C">
        <w:t>There is a consideration given to the fact</w:t>
      </w:r>
      <w:r w:rsidR="003A4FA8" w:rsidRPr="0083319E">
        <w:t xml:space="preserve"> that the answer to this problem is obtainable through the use of cultural memory, a collective concept for knowledge that is </w:t>
      </w:r>
      <w:r w:rsidR="0040282C" w:rsidRPr="0083319E">
        <w:t>gained</w:t>
      </w:r>
      <w:r w:rsidR="003A4FA8" w:rsidRPr="0083319E">
        <w:t xml:space="preserve"> through generations</w:t>
      </w:r>
      <w:r w:rsidR="0040282C">
        <w:t xml:space="preserve">. </w:t>
      </w:r>
      <w:proofErr w:type="spellStart"/>
      <w:r w:rsidR="0040282C">
        <w:t>Assmann</w:t>
      </w:r>
      <w:proofErr w:type="spellEnd"/>
      <w:r w:rsidR="0040282C">
        <w:t xml:space="preserve"> </w:t>
      </w:r>
      <w:r w:rsidR="0040282C" w:rsidRPr="0083319E">
        <w:t>differentiates</w:t>
      </w:r>
      <w:r w:rsidR="003A4FA8" w:rsidRPr="0083319E">
        <w:t xml:space="preserve"> the different versions of cultural memory, showing that the theory applied to Tonypandy would be derived from 'communicative' or 'everyday memory'</w:t>
      </w:r>
      <w:r w:rsidR="0040282C" w:rsidRPr="00B43DBD">
        <w:rPr>
          <w:rStyle w:val="FootnoteReference"/>
        </w:rPr>
        <w:footnoteReference w:id="18"/>
      </w:r>
      <w:r w:rsidR="00020967">
        <w:t xml:space="preserve"> </w:t>
      </w:r>
      <w:r w:rsidR="00D54A93">
        <w:t xml:space="preserve">as </w:t>
      </w:r>
      <w:r w:rsidR="00A30A5A">
        <w:t>the events are not only localised, but also passed down from generation to generation in the area</w:t>
      </w:r>
      <w:r w:rsidR="001E77B2">
        <w:t xml:space="preserve"> through word of mouth as well as through sources.</w:t>
      </w:r>
      <w:r w:rsidR="00FC2C6A">
        <w:br/>
      </w:r>
      <w:r w:rsidR="00446080">
        <w:t xml:space="preserve"> </w:t>
      </w:r>
      <w:r w:rsidR="00446080">
        <w:tab/>
      </w:r>
      <w:r w:rsidR="00EF7DE9">
        <w:t>Reicher highlights how</w:t>
      </w:r>
      <w:r w:rsidR="00882E9D">
        <w:t xml:space="preserve"> although social identity may sound theoretical and abstract as a concept, it is needed to be understood whilst</w:t>
      </w:r>
      <w:r w:rsidR="00C91643">
        <w:t xml:space="preserve"> analysing the social identity of a specific crowd as it is crucial </w:t>
      </w:r>
      <w:r w:rsidR="007627F7">
        <w:t>to determine who can influence them and how.</w:t>
      </w:r>
      <w:r w:rsidR="00287E4D" w:rsidRPr="00B43DBD">
        <w:rPr>
          <w:rStyle w:val="FootnoteReference"/>
        </w:rPr>
        <w:footnoteReference w:id="19"/>
      </w:r>
      <w:r w:rsidR="00071EFD">
        <w:t xml:space="preserve"> He states that is often assumed that </w:t>
      </w:r>
      <w:r w:rsidR="000203DC">
        <w:t>the ‘agitator view’ is in place when there is a group of people rallying towards the same thing</w:t>
      </w:r>
      <w:r w:rsidR="00EE5DA3">
        <w:t xml:space="preserve"> due to the crowds being seen as mindless to whomever may be persuading them to riot</w:t>
      </w:r>
      <w:r w:rsidR="00DB1780">
        <w:t>.</w:t>
      </w:r>
      <w:r w:rsidR="00402F12" w:rsidRPr="00B43DBD">
        <w:rPr>
          <w:rStyle w:val="FootnoteReference"/>
        </w:rPr>
        <w:footnoteReference w:id="20"/>
      </w:r>
      <w:r w:rsidR="00974AFC">
        <w:t xml:space="preserve"> His argument links to the use of collective memories; a group of people are likely to have collective memories which would be able to go back beyond the </w:t>
      </w:r>
      <w:r w:rsidR="00C83B06">
        <w:t xml:space="preserve">involvement </w:t>
      </w:r>
      <w:r w:rsidR="00974AFC">
        <w:t>of the individual, or even their</w:t>
      </w:r>
      <w:r w:rsidR="00C83B06" w:rsidRPr="00C83B06">
        <w:t xml:space="preserve"> </w:t>
      </w:r>
      <w:r w:rsidR="00C83B06">
        <w:t>existence</w:t>
      </w:r>
      <w:r w:rsidR="00974AFC">
        <w:t xml:space="preserve">. A crowd will ‘remember’ their </w:t>
      </w:r>
      <w:r w:rsidR="00C83B06">
        <w:t>alleged oppression at</w:t>
      </w:r>
      <w:r w:rsidR="00C27B10">
        <w:t xml:space="preserve"> the hands of another group many years ago</w:t>
      </w:r>
      <w:r w:rsidR="00C83B06">
        <w:t xml:space="preserve">, </w:t>
      </w:r>
      <w:r w:rsidR="00C27B10">
        <w:t xml:space="preserve">and due to that </w:t>
      </w:r>
      <w:r w:rsidR="004E72FA">
        <w:t>fact,</w:t>
      </w:r>
      <w:r w:rsidR="00C27B10">
        <w:t xml:space="preserve"> they will </w:t>
      </w:r>
      <w:r w:rsidR="00C83B06">
        <w:t xml:space="preserve">preserve </w:t>
      </w:r>
      <w:r w:rsidR="00C27B10">
        <w:t xml:space="preserve">any </w:t>
      </w:r>
      <w:r w:rsidR="00C83B06">
        <w:t>distrust</w:t>
      </w:r>
      <w:r w:rsidR="00C27B10">
        <w:t xml:space="preserve"> or </w:t>
      </w:r>
      <w:r w:rsidR="00C83B06">
        <w:t>resentment</w:t>
      </w:r>
      <w:r w:rsidR="00C27B10">
        <w:t xml:space="preserve"> they may have to</w:t>
      </w:r>
      <w:r w:rsidR="00C83B06">
        <w:t xml:space="preserve"> the members of the other group regardless of whether or not the individual had done anything to offend.</w:t>
      </w:r>
      <w:r w:rsidR="00C83B06" w:rsidRPr="00B43DBD">
        <w:rPr>
          <w:rStyle w:val="FootnoteReference"/>
        </w:rPr>
        <w:footnoteReference w:id="21"/>
      </w:r>
      <w:r w:rsidR="004E72FA">
        <w:t xml:space="preserve"> </w:t>
      </w:r>
      <w:r w:rsidR="00D01A36">
        <w:t xml:space="preserve">This is very much shown regarding the events of Tonypandy during 1910, </w:t>
      </w:r>
      <w:r w:rsidR="008901D2">
        <w:t xml:space="preserve">there was a mistrust towards the police during the time of the riots as they were seen as trying to oppress the rioting. </w:t>
      </w:r>
      <w:r w:rsidR="007D6208">
        <w:t>Reicher shows</w:t>
      </w:r>
      <w:r w:rsidR="0047269F">
        <w:t xml:space="preserve"> that although there is a</w:t>
      </w:r>
      <w:r w:rsidR="00D630DE">
        <w:t>n</w:t>
      </w:r>
      <w:r w:rsidR="0047269F">
        <w:t xml:space="preserve"> </w:t>
      </w:r>
      <w:r w:rsidR="00D630DE">
        <w:t xml:space="preserve">importance over </w:t>
      </w:r>
      <w:r w:rsidR="0047269F">
        <w:t xml:space="preserve">the crowd events, such as the rioting of Tonypandy, </w:t>
      </w:r>
      <w:r w:rsidR="00986FB9">
        <w:t xml:space="preserve">the </w:t>
      </w:r>
      <w:r w:rsidR="00D630DE">
        <w:t>repercussions</w:t>
      </w:r>
      <w:r w:rsidR="00986FB9">
        <w:t xml:space="preserve"> go much further than the </w:t>
      </w:r>
      <w:r w:rsidR="00D630DE">
        <w:t>partakers</w:t>
      </w:r>
      <w:r w:rsidR="00986FB9">
        <w:t xml:space="preserve">. The rioters would have generally </w:t>
      </w:r>
      <w:proofErr w:type="gramStart"/>
      <w:r w:rsidR="00986FB9">
        <w:t>been seen as</w:t>
      </w:r>
      <w:proofErr w:type="gramEnd"/>
      <w:r w:rsidR="00986FB9">
        <w:t xml:space="preserve"> </w:t>
      </w:r>
      <w:r w:rsidR="00D630DE">
        <w:t xml:space="preserve">embodying </w:t>
      </w:r>
      <w:r w:rsidR="00986FB9">
        <w:t xml:space="preserve">the </w:t>
      </w:r>
      <w:r w:rsidR="00D630DE">
        <w:t>broader</w:t>
      </w:r>
      <w:r w:rsidR="00986FB9">
        <w:t xml:space="preserve"> communities</w:t>
      </w:r>
      <w:r w:rsidR="005B20C6">
        <w:t xml:space="preserve">. Which is why when there is a riot involving residents of an </w:t>
      </w:r>
      <w:r w:rsidR="008941B3">
        <w:t>a</w:t>
      </w:r>
      <w:r w:rsidR="005B20C6">
        <w:t xml:space="preserve">rea, it can lead all of those who identify with the community to regard the police and authority with </w:t>
      </w:r>
      <w:r w:rsidR="005B20C6">
        <w:lastRenderedPageBreak/>
        <w:t>greater distrust and hostility</w:t>
      </w:r>
      <w:r w:rsidR="008941B3">
        <w:t xml:space="preserve"> which explains the </w:t>
      </w:r>
      <w:r w:rsidR="004062D0">
        <w:t xml:space="preserve">hostility the </w:t>
      </w:r>
      <w:r w:rsidR="009D1C2F">
        <w:t>populous of the welsh valleys felt towards Churchill and the troops who were sent in to quell the miners who were on strike as well as those who were helping them.</w:t>
      </w:r>
      <w:r w:rsidR="00CC14F0" w:rsidRPr="00B43DBD">
        <w:rPr>
          <w:rStyle w:val="FootnoteReference"/>
        </w:rPr>
        <w:footnoteReference w:id="22"/>
      </w:r>
    </w:p>
    <w:p w14:paraId="411D1795" w14:textId="53E5B1FA" w:rsidR="002E0ED1" w:rsidRDefault="0040282C" w:rsidP="0050245B">
      <w:pPr>
        <w:spacing w:line="480" w:lineRule="auto"/>
      </w:pPr>
      <w:r>
        <w:t xml:space="preserve"> </w:t>
      </w:r>
      <w:r>
        <w:tab/>
      </w:r>
      <w:r w:rsidRPr="0083319E">
        <w:t xml:space="preserve">Communicative memory includes the variations of collective </w:t>
      </w:r>
      <w:r>
        <w:t>memories</w:t>
      </w:r>
      <w:r w:rsidRPr="0083319E">
        <w:t xml:space="preserve"> which have been based exclusively on everyday communications. </w:t>
      </w:r>
      <w:r w:rsidR="00E84157">
        <w:t xml:space="preserve">In 1924, social scientist </w:t>
      </w:r>
      <w:proofErr w:type="spellStart"/>
      <w:r w:rsidR="00E84157">
        <w:t>Halbw</w:t>
      </w:r>
      <w:r w:rsidR="007240F7">
        <w:t>a</w:t>
      </w:r>
      <w:r w:rsidR="00E84157">
        <w:t>chs</w:t>
      </w:r>
      <w:proofErr w:type="spellEnd"/>
      <w:r w:rsidR="00E84157">
        <w:t xml:space="preserve"> published a book on Collective memory, the publication </w:t>
      </w:r>
      <w:proofErr w:type="gramStart"/>
      <w:r w:rsidR="00E84157">
        <w:t>was seen as</w:t>
      </w:r>
      <w:proofErr w:type="gramEnd"/>
      <w:r w:rsidR="00E84157">
        <w:t xml:space="preserve"> a major event</w:t>
      </w:r>
      <w:r w:rsidR="007D18D4">
        <w:t xml:space="preserve"> in understanding collective memory of past events</w:t>
      </w:r>
      <w:r w:rsidR="00E84157">
        <w:t>.</w:t>
      </w:r>
      <w:r w:rsidR="00E84157" w:rsidRPr="00B43DBD">
        <w:rPr>
          <w:rStyle w:val="FootnoteReference"/>
        </w:rPr>
        <w:footnoteReference w:id="23"/>
      </w:r>
      <w:r w:rsidR="00E84157">
        <w:t xml:space="preserve"> Halbw</w:t>
      </w:r>
      <w:r w:rsidR="007240F7">
        <w:t>a</w:t>
      </w:r>
      <w:r w:rsidR="00E84157">
        <w:t xml:space="preserve">ch outlined and analysed the social and collective elements of individual memory. </w:t>
      </w:r>
      <w:r w:rsidR="00D840CE">
        <w:t>He believed tha</w:t>
      </w:r>
      <w:r w:rsidR="008F1559">
        <w:t>t the concepts key facto</w:t>
      </w:r>
      <w:r w:rsidR="00AD1937">
        <w:t>r was their link with oral history</w:t>
      </w:r>
      <w:r w:rsidR="008E2539" w:rsidRPr="00B43DBD">
        <w:rPr>
          <w:rStyle w:val="FootnoteReference"/>
        </w:rPr>
        <w:footnoteReference w:id="24"/>
      </w:r>
      <w:r w:rsidR="00003A67">
        <w:t xml:space="preserve"> </w:t>
      </w:r>
      <w:r w:rsidR="00003A67" w:rsidRPr="0083319E">
        <w:t xml:space="preserve">believing that everyday communication is characterised by a </w:t>
      </w:r>
      <w:r w:rsidR="00003A67">
        <w:t>‘</w:t>
      </w:r>
      <w:r w:rsidR="00003A67" w:rsidRPr="0083319E">
        <w:t>high degree of non-specialization, reciprocity of roles, thematic instability and disorganisation.</w:t>
      </w:r>
      <w:r w:rsidR="00003A67">
        <w:t>’</w:t>
      </w:r>
      <w:r w:rsidR="00003A67" w:rsidRPr="00B43DBD">
        <w:rPr>
          <w:rStyle w:val="FootnoteReference"/>
        </w:rPr>
        <w:footnoteReference w:id="25"/>
      </w:r>
      <w:r w:rsidR="0031473C">
        <w:t xml:space="preserve"> Ha</w:t>
      </w:r>
      <w:r w:rsidR="007240F7">
        <w:t>lbwa</w:t>
      </w:r>
      <w:r w:rsidR="0031473C">
        <w:t xml:space="preserve">ch highlights that </w:t>
      </w:r>
      <w:r w:rsidR="007B4AE8">
        <w:t>an individual will compose a memory which would rely on the framework of social memory</w:t>
      </w:r>
      <w:r w:rsidR="0030733A">
        <w:t>.</w:t>
      </w:r>
      <w:r w:rsidR="008A140D" w:rsidRPr="00B43DBD">
        <w:rPr>
          <w:rStyle w:val="FootnoteReference"/>
        </w:rPr>
        <w:footnoteReference w:id="26"/>
      </w:r>
      <w:r w:rsidR="0030733A">
        <w:t xml:space="preserve"> </w:t>
      </w:r>
      <w:r w:rsidR="0030733A" w:rsidRPr="0083319E">
        <w:t>Individual memory is constituted from communication with others. These 'others' were groups</w:t>
      </w:r>
      <w:r w:rsidR="000554C6">
        <w:t xml:space="preserve"> of people</w:t>
      </w:r>
      <w:r w:rsidR="0030733A" w:rsidRPr="0083319E">
        <w:t xml:space="preserve"> who</w:t>
      </w:r>
      <w:r w:rsidR="000554C6">
        <w:t>m</w:t>
      </w:r>
      <w:r w:rsidR="0030733A" w:rsidRPr="0083319E">
        <w:t xml:space="preserve"> conceive their unity through a common image of their past</w:t>
      </w:r>
      <w:r w:rsidR="0030733A">
        <w:t xml:space="preserve"> relating this</w:t>
      </w:r>
      <w:r w:rsidR="0030733A" w:rsidRPr="0083319E">
        <w:t xml:space="preserve"> to families, political parties and neighbourhoods.</w:t>
      </w:r>
      <w:r w:rsidR="009C611D">
        <w:t xml:space="preserve"> An example of this is Helen McCartney’s view on memory, she </w:t>
      </w:r>
      <w:r w:rsidR="00F310C1">
        <w:t xml:space="preserve">summarises </w:t>
      </w:r>
      <w:r w:rsidR="009C611D">
        <w:t xml:space="preserve">the ways in which </w:t>
      </w:r>
      <w:r w:rsidR="0062669A">
        <w:t>recalling</w:t>
      </w:r>
      <w:r w:rsidR="009C611D">
        <w:t xml:space="preserve"> the past does not only </w:t>
      </w:r>
      <w:r w:rsidR="0086477B">
        <w:t xml:space="preserve">involve </w:t>
      </w:r>
      <w:r w:rsidR="009C611D">
        <w:t xml:space="preserve">narratives from first person, but also narratives from the later generations that circulate their own </w:t>
      </w:r>
      <w:r w:rsidR="00A7068C">
        <w:t xml:space="preserve">opinion </w:t>
      </w:r>
      <w:r w:rsidR="009C611D">
        <w:t>of events from the past.</w:t>
      </w:r>
      <w:r w:rsidR="00A7068C" w:rsidRPr="00B43DBD">
        <w:rPr>
          <w:rStyle w:val="FootnoteReference"/>
        </w:rPr>
        <w:footnoteReference w:id="27"/>
      </w:r>
      <w:r w:rsidR="005021E2">
        <w:t xml:space="preserve"> McCartney believes that ‘the empathetic approach to history often encourages us to project out own feelings and attitudes… onto those who lived in the past.’</w:t>
      </w:r>
      <w:r w:rsidR="006B15AB" w:rsidRPr="00B43DBD">
        <w:rPr>
          <w:rStyle w:val="FootnoteReference"/>
        </w:rPr>
        <w:footnoteReference w:id="28"/>
      </w:r>
      <w:r w:rsidR="006B15AB">
        <w:t xml:space="preserve"> </w:t>
      </w:r>
      <w:r w:rsidR="005B0D94">
        <w:t xml:space="preserve">So although </w:t>
      </w:r>
      <w:r w:rsidR="00EC1305">
        <w:t>there</w:t>
      </w:r>
      <w:r w:rsidR="005B0D94">
        <w:t xml:space="preserve"> may be factual evidence</w:t>
      </w:r>
      <w:r w:rsidR="00EC1305">
        <w:t xml:space="preserve"> </w:t>
      </w:r>
      <w:r w:rsidR="000727C4">
        <w:t xml:space="preserve">for an event, there is always a possibility that a person’s own agenda could be applied to it to </w:t>
      </w:r>
      <w:r w:rsidR="008A51F6">
        <w:t>perceive it differently whether it is personally or publicly.</w:t>
      </w:r>
      <w:r w:rsidR="00765AEC">
        <w:t xml:space="preserve"> This is especially relevant </w:t>
      </w:r>
      <w:r w:rsidR="00FE7198">
        <w:t xml:space="preserve">within the </w:t>
      </w:r>
      <w:r w:rsidR="00FE7198">
        <w:lastRenderedPageBreak/>
        <w:t xml:space="preserve">technological ages wherein society </w:t>
      </w:r>
      <w:proofErr w:type="gramStart"/>
      <w:r w:rsidR="00FE7198">
        <w:t>is able to</w:t>
      </w:r>
      <w:proofErr w:type="gramEnd"/>
      <w:r w:rsidR="00FE7198">
        <w:t xml:space="preserve"> access archive material more </w:t>
      </w:r>
      <w:r w:rsidR="00FE35CE">
        <w:t xml:space="preserve">often and easily than they would have closer to the time of the events. </w:t>
      </w:r>
      <w:r w:rsidR="008A51F6">
        <w:t xml:space="preserve"> </w:t>
      </w:r>
      <w:r w:rsidR="00EC0343">
        <w:br/>
        <w:t xml:space="preserve"> </w:t>
      </w:r>
      <w:r w:rsidR="00EC0343">
        <w:tab/>
      </w:r>
      <w:r w:rsidR="00656C5A">
        <w:t xml:space="preserve">Tonypandy is often an </w:t>
      </w:r>
      <w:r w:rsidR="00D53431">
        <w:t>event in</w:t>
      </w:r>
      <w:r w:rsidR="00656C5A">
        <w:t xml:space="preserve"> history which </w:t>
      </w:r>
      <w:r w:rsidR="00833C32">
        <w:t xml:space="preserve">Welsh </w:t>
      </w:r>
      <w:r w:rsidR="00656C5A">
        <w:t>society</w:t>
      </w:r>
      <w:r w:rsidR="00833C32">
        <w:t xml:space="preserve"> for differing reasons</w:t>
      </w:r>
      <w:r w:rsidR="00656C5A">
        <w:t xml:space="preserve"> ha</w:t>
      </w:r>
      <w:r w:rsidR="00833C32">
        <w:t>ve</w:t>
      </w:r>
      <w:r w:rsidR="00AD6D61">
        <w:t xml:space="preserve"> decided </w:t>
      </w:r>
      <w:r w:rsidR="00656C5A">
        <w:t>to remember</w:t>
      </w:r>
      <w:r w:rsidR="00833C32">
        <w:t xml:space="preserve"> and </w:t>
      </w:r>
      <w:r w:rsidR="00230747">
        <w:t>discuss as an important event,</w:t>
      </w:r>
      <w:r w:rsidR="00AD6D61">
        <w:t xml:space="preserve"> </w:t>
      </w:r>
      <w:r w:rsidR="00656C5A">
        <w:t>society</w:t>
      </w:r>
      <w:r w:rsidR="00230747">
        <w:t xml:space="preserve"> feels the need to</w:t>
      </w:r>
      <w:r w:rsidR="00AD6D61" w:rsidRPr="00AD6D61">
        <w:t xml:space="preserve"> </w:t>
      </w:r>
      <w:r w:rsidR="00AD6D61">
        <w:t>memorialises</w:t>
      </w:r>
      <w:r w:rsidR="00230747">
        <w:t xml:space="preserve"> the riots for historical and political reasons</w:t>
      </w:r>
      <w:r w:rsidR="00656C5A">
        <w:t>.</w:t>
      </w:r>
      <w:r w:rsidR="00AD6D61" w:rsidRPr="00B43DBD">
        <w:rPr>
          <w:rStyle w:val="FootnoteReference"/>
        </w:rPr>
        <w:footnoteReference w:id="29"/>
      </w:r>
      <w:r w:rsidR="00656C5A">
        <w:t xml:space="preserve"> It’s been written about, talked about and televised. Although it could be seen as </w:t>
      </w:r>
      <w:r w:rsidR="00F01857">
        <w:t>discounting</w:t>
      </w:r>
      <w:r w:rsidR="00656C5A">
        <w:t xml:space="preserve"> history, </w:t>
      </w:r>
      <w:proofErr w:type="spellStart"/>
      <w:r w:rsidR="00656C5A">
        <w:t>Miskell</w:t>
      </w:r>
      <w:proofErr w:type="spellEnd"/>
      <w:r w:rsidR="00656C5A">
        <w:t xml:space="preserve"> </w:t>
      </w:r>
      <w:r w:rsidR="00F01857">
        <w:t>reveals</w:t>
      </w:r>
      <w:r w:rsidR="00656C5A">
        <w:t xml:space="preserve"> how bestowing significance </w:t>
      </w:r>
      <w:r w:rsidR="00F01857">
        <w:t>on</w:t>
      </w:r>
      <w:r w:rsidR="00656C5A">
        <w:t xml:space="preserve"> </w:t>
      </w:r>
      <w:r w:rsidR="00F01857">
        <w:t>specific</w:t>
      </w:r>
      <w:r w:rsidR="00656C5A">
        <w:t xml:space="preserve"> events and giving them more </w:t>
      </w:r>
      <w:r w:rsidR="00F01857">
        <w:t>distinction</w:t>
      </w:r>
      <w:r w:rsidR="00656C5A">
        <w:t xml:space="preserve"> in history is </w:t>
      </w:r>
      <w:r w:rsidR="00F01857">
        <w:t>completely</w:t>
      </w:r>
      <w:r w:rsidR="00656C5A">
        <w:t xml:space="preserve"> </w:t>
      </w:r>
      <w:r w:rsidR="00F01857">
        <w:t xml:space="preserve">feasible </w:t>
      </w:r>
      <w:r w:rsidR="00656C5A">
        <w:t>and</w:t>
      </w:r>
      <w:r w:rsidR="00F01857" w:rsidRPr="00F01857">
        <w:t xml:space="preserve"> </w:t>
      </w:r>
      <w:r w:rsidR="00F01857">
        <w:t>crucial</w:t>
      </w:r>
      <w:r w:rsidR="00656C5A">
        <w:t>.</w:t>
      </w:r>
      <w:r w:rsidR="00F01857" w:rsidRPr="00B43DBD">
        <w:rPr>
          <w:rStyle w:val="FootnoteReference"/>
        </w:rPr>
        <w:footnoteReference w:id="30"/>
      </w:r>
      <w:r w:rsidR="00656C5A">
        <w:t xml:space="preserve"> It is a way </w:t>
      </w:r>
      <w:r w:rsidR="00D44DEF">
        <w:t xml:space="preserve">of </w:t>
      </w:r>
      <w:r w:rsidR="00925F08">
        <w:t>comprehending</w:t>
      </w:r>
      <w:r w:rsidR="00D44DEF">
        <w:t xml:space="preserve"> </w:t>
      </w:r>
      <w:r w:rsidR="00925F08">
        <w:t>events of the past,</w:t>
      </w:r>
      <w:r w:rsidR="00D44DEF">
        <w:t xml:space="preserve"> however, </w:t>
      </w:r>
      <w:proofErr w:type="spellStart"/>
      <w:r w:rsidR="00D1188D">
        <w:t>Miskell</w:t>
      </w:r>
      <w:proofErr w:type="spellEnd"/>
      <w:r w:rsidR="00D1188D">
        <w:t xml:space="preserve"> states that although </w:t>
      </w:r>
      <w:r w:rsidR="00C256FE">
        <w:t xml:space="preserve">the populous may have </w:t>
      </w:r>
      <w:r w:rsidR="00925F08">
        <w:t xml:space="preserve">bundled </w:t>
      </w:r>
      <w:r w:rsidR="00C256FE">
        <w:t xml:space="preserve">the events for preservation, it will always be helpful to look </w:t>
      </w:r>
      <w:r w:rsidR="00925F08">
        <w:t>outside</w:t>
      </w:r>
      <w:r w:rsidR="00C256FE">
        <w:t xml:space="preserve"> those parts and see that the </w:t>
      </w:r>
      <w:r w:rsidR="00925F08">
        <w:t>past events that are</w:t>
      </w:r>
      <w:r w:rsidR="00C256FE">
        <w:t xml:space="preserve"> commemorated may look different as a result.</w:t>
      </w:r>
      <w:r w:rsidR="00925F08" w:rsidRPr="00B43DBD">
        <w:rPr>
          <w:rStyle w:val="FootnoteReference"/>
        </w:rPr>
        <w:footnoteReference w:id="31"/>
      </w:r>
      <w:r w:rsidR="00C256FE">
        <w:t xml:space="preserve"> </w:t>
      </w:r>
      <w:r w:rsidR="00687306">
        <w:br/>
        <w:t xml:space="preserve"> </w:t>
      </w:r>
      <w:r w:rsidR="00687306">
        <w:tab/>
        <w:t>Hayden White</w:t>
      </w:r>
      <w:r w:rsidR="001A4537">
        <w:t xml:space="preserve">’s argument on narrative history coincides with </w:t>
      </w:r>
      <w:proofErr w:type="spellStart"/>
      <w:r w:rsidR="001A4537">
        <w:t>Miskell’s</w:t>
      </w:r>
      <w:proofErr w:type="spellEnd"/>
      <w:r w:rsidR="001A4537">
        <w:t xml:space="preserve"> argument of commemoration surrounding the events of Tonypandy. White </w:t>
      </w:r>
      <w:r w:rsidR="00F404B7">
        <w:t>states that although a narrative seems to be full, it actually would have been ‘constructed on the basis of a s</w:t>
      </w:r>
      <w:r w:rsidR="00C654A6">
        <w:t>et of events that might have been included but were left out.’</w:t>
      </w:r>
      <w:r w:rsidR="00734B00" w:rsidRPr="00B43DBD">
        <w:rPr>
          <w:rStyle w:val="FootnoteReference"/>
        </w:rPr>
        <w:footnoteReference w:id="32"/>
      </w:r>
      <w:r w:rsidR="00C40E29">
        <w:t xml:space="preserve"> Meaning, </w:t>
      </w:r>
      <w:r w:rsidR="006903A2">
        <w:t xml:space="preserve">even though there is factual information and evidence on the events of Tonypandy, society, especially historians, </w:t>
      </w:r>
      <w:r w:rsidR="00B8227A">
        <w:t xml:space="preserve">must consider what account is authorised to be understood as the reality, rather than the warped view of emotions </w:t>
      </w:r>
      <w:r w:rsidR="00EE0A58">
        <w:t xml:space="preserve">conflicting </w:t>
      </w:r>
      <w:r w:rsidR="00B8227A">
        <w:t>with facts.</w:t>
      </w:r>
      <w:r w:rsidR="00F43E97">
        <w:br/>
        <w:t xml:space="preserve"> </w:t>
      </w:r>
      <w:r w:rsidR="00F43E97">
        <w:tab/>
      </w:r>
      <w:r w:rsidR="006207CE">
        <w:t>Nevertheless Assmans argument</w:t>
      </w:r>
      <w:r w:rsidR="001012B3">
        <w:t xml:space="preserve"> leads on to show  the structure of knowledge is ‘concretion of identity’ </w:t>
      </w:r>
      <w:r w:rsidR="00AB532D">
        <w:t xml:space="preserve">he states that this means </w:t>
      </w:r>
      <w:r w:rsidR="00873E58">
        <w:t xml:space="preserve">that a group of people would base their </w:t>
      </w:r>
      <w:r w:rsidR="003C2A31">
        <w:t>awareness</w:t>
      </w:r>
      <w:r w:rsidR="00873E58">
        <w:t xml:space="preserve"> </w:t>
      </w:r>
      <w:r w:rsidR="004643EC">
        <w:t xml:space="preserve">of unison and specificity </w:t>
      </w:r>
      <w:r w:rsidR="006F72FD">
        <w:t>on the knowledge that their group identity revolves around.</w:t>
      </w:r>
      <w:r w:rsidR="00384748" w:rsidRPr="00B43DBD">
        <w:rPr>
          <w:rStyle w:val="FootnoteReference"/>
        </w:rPr>
        <w:footnoteReference w:id="33"/>
      </w:r>
      <w:r w:rsidR="006F72FD">
        <w:t xml:space="preserve"> </w:t>
      </w:r>
      <w:r w:rsidR="00384748">
        <w:t>Meaning, objectivised culture will gain the structure of memory.</w:t>
      </w:r>
      <w:r w:rsidR="0021529C" w:rsidRPr="00B43DBD">
        <w:rPr>
          <w:rStyle w:val="FootnoteReference"/>
        </w:rPr>
        <w:footnoteReference w:id="34"/>
      </w:r>
      <w:r w:rsidR="00050009">
        <w:t xml:space="preserve"> Assman and C</w:t>
      </w:r>
      <w:r w:rsidR="00E15216">
        <w:t xml:space="preserve">zaplicka states that there are multiple </w:t>
      </w:r>
      <w:r w:rsidR="00046148">
        <w:lastRenderedPageBreak/>
        <w:t>characteristics</w:t>
      </w:r>
      <w:r w:rsidR="00E15216">
        <w:t xml:space="preserve"> which make up </w:t>
      </w:r>
      <w:r w:rsidR="00046148">
        <w:t>cultural</w:t>
      </w:r>
      <w:r w:rsidR="00E15216">
        <w:t xml:space="preserve"> memory: </w:t>
      </w:r>
      <w:r w:rsidR="00AD255A">
        <w:br/>
        <w:t xml:space="preserve"> </w:t>
      </w:r>
      <w:r w:rsidR="00AD255A">
        <w:tab/>
      </w:r>
      <w:r w:rsidR="00A57D3F">
        <w:t xml:space="preserve">‘The concretion of identity’ meaning </w:t>
      </w:r>
      <w:r w:rsidR="00F76777">
        <w:t>the</w:t>
      </w:r>
      <w:r w:rsidR="00A57D3F">
        <w:t xml:space="preserve"> relation to the group, this is relevant due to the fact that cultural memory </w:t>
      </w:r>
      <w:r w:rsidR="004332AA">
        <w:t xml:space="preserve">is used to </w:t>
      </w:r>
      <w:r w:rsidR="00F76777">
        <w:t>collect and store</w:t>
      </w:r>
      <w:r w:rsidR="004332AA">
        <w:t xml:space="preserve"> the </w:t>
      </w:r>
      <w:r w:rsidR="00F76777">
        <w:t>information</w:t>
      </w:r>
      <w:r w:rsidR="004332AA">
        <w:t xml:space="preserve"> from which a group derives an </w:t>
      </w:r>
      <w:r w:rsidR="00F76777">
        <w:t>consciousness</w:t>
      </w:r>
      <w:r w:rsidR="004332AA">
        <w:t xml:space="preserve"> of </w:t>
      </w:r>
      <w:r w:rsidR="003C7356">
        <w:t>its</w:t>
      </w:r>
      <w:r w:rsidR="004332AA">
        <w:t xml:space="preserve"> unity and </w:t>
      </w:r>
      <w:r w:rsidR="00F76777">
        <w:t>distinctiveness.</w:t>
      </w:r>
      <w:r w:rsidR="00046148" w:rsidRPr="00B43DBD">
        <w:rPr>
          <w:rStyle w:val="FootnoteReference"/>
        </w:rPr>
        <w:footnoteReference w:id="35"/>
      </w:r>
      <w:r w:rsidR="00F76777">
        <w:t xml:space="preserve">  This is linked to the events of Tonypandy as </w:t>
      </w:r>
      <w:r w:rsidR="003F2716">
        <w:t xml:space="preserve">the riots lead to </w:t>
      </w:r>
      <w:r w:rsidR="00046148">
        <w:t xml:space="preserve">an objective goal leading to identity determination of their goals of the time and how it has affected the area to the present day. </w:t>
      </w:r>
      <w:r w:rsidR="00AD255A">
        <w:br/>
        <w:t xml:space="preserve"> </w:t>
      </w:r>
      <w:r w:rsidR="00AD255A">
        <w:tab/>
      </w:r>
      <w:r w:rsidR="00B627B6">
        <w:t>The ‘capacity to reconstruct</w:t>
      </w:r>
      <w:r w:rsidR="00895455">
        <w:t>’</w:t>
      </w:r>
      <w:r w:rsidR="0021431D">
        <w:t xml:space="preserve"> Assman and Czaplicka</w:t>
      </w:r>
      <w:r w:rsidR="00FE1F55">
        <w:t xml:space="preserve"> explains that there is no memory that can preserve the past, what does remain is the information which ‘society in each era can reconstruct within </w:t>
      </w:r>
      <w:r w:rsidR="006933D6">
        <w:t>its contemporary frame of reference.’</w:t>
      </w:r>
      <w:r w:rsidR="001B58FF" w:rsidRPr="00B43DBD">
        <w:rPr>
          <w:rStyle w:val="FootnoteReference"/>
        </w:rPr>
        <w:footnoteReference w:id="36"/>
      </w:r>
      <w:r w:rsidR="007D6D25">
        <w:t xml:space="preserve"> </w:t>
      </w:r>
      <w:r w:rsidR="00B713A2">
        <w:t xml:space="preserve">Showing that the way in which cultural memory works is by </w:t>
      </w:r>
      <w:r w:rsidR="002D5733">
        <w:t xml:space="preserve">reconstructing </w:t>
      </w:r>
      <w:r w:rsidR="00625BE5">
        <w:t>the knowledge</w:t>
      </w:r>
      <w:r w:rsidR="00EE3DD4">
        <w:t xml:space="preserve">, this is done through </w:t>
      </w:r>
      <w:r w:rsidR="003F64D4">
        <w:t xml:space="preserve">both the use of potentiality of the archive which would have accumulated </w:t>
      </w:r>
      <w:r w:rsidR="009F3DF1">
        <w:t xml:space="preserve">texts, images and rules of conduct, and </w:t>
      </w:r>
      <w:r w:rsidR="00753151">
        <w:t xml:space="preserve">through the mode of actuality which is when a contemporary context </w:t>
      </w:r>
      <w:r w:rsidR="00F64EBA">
        <w:t xml:space="preserve">is </w:t>
      </w:r>
      <w:r w:rsidR="002B0129">
        <w:t>given to an events perspective meaning, giving it its own relevance.</w:t>
      </w:r>
      <w:r w:rsidR="001B58FF" w:rsidRPr="00B43DBD">
        <w:rPr>
          <w:rStyle w:val="FootnoteReference"/>
        </w:rPr>
        <w:footnoteReference w:id="37"/>
      </w:r>
      <w:r w:rsidR="001619AC">
        <w:t xml:space="preserve"> Linking to the events of Tonypandy this could give a reason as to why Tonypandy is used as the frame of reference when referring to the riots of 1910. </w:t>
      </w:r>
      <w:r w:rsidR="001619AC">
        <w:br/>
        <w:t xml:space="preserve"> </w:t>
      </w:r>
      <w:r w:rsidR="001619AC">
        <w:tab/>
      </w:r>
      <w:r w:rsidR="00296484">
        <w:t xml:space="preserve">The formation surrounding the </w:t>
      </w:r>
      <w:r w:rsidR="005A22AE">
        <w:t>objectivation</w:t>
      </w:r>
      <w:r w:rsidR="00296484">
        <w:t xml:space="preserve"> of the </w:t>
      </w:r>
      <w:r w:rsidR="005A22AE">
        <w:t>related</w:t>
      </w:r>
      <w:r w:rsidR="00296484">
        <w:t xml:space="preserve"> </w:t>
      </w:r>
      <w:r w:rsidR="005A22AE">
        <w:t>connotation</w:t>
      </w:r>
      <w:r w:rsidR="00296484">
        <w:t xml:space="preserve"> </w:t>
      </w:r>
      <w:r w:rsidR="005A22AE">
        <w:t>in conjunction with</w:t>
      </w:r>
      <w:r w:rsidR="00296484">
        <w:t xml:space="preserve"> the </w:t>
      </w:r>
      <w:r w:rsidR="005A22AE">
        <w:t>mutually</w:t>
      </w:r>
      <w:r w:rsidR="00296484">
        <w:t xml:space="preserve"> shared </w:t>
      </w:r>
      <w:r w:rsidR="00FF386F">
        <w:t xml:space="preserve">knowledge is a </w:t>
      </w:r>
      <w:r w:rsidR="005A22AE">
        <w:t>requirement</w:t>
      </w:r>
      <w:r w:rsidR="00FF386F">
        <w:t xml:space="preserve"> of its transmission in the culturally </w:t>
      </w:r>
      <w:r w:rsidR="005A22AE">
        <w:t>established</w:t>
      </w:r>
      <w:r w:rsidR="00FF386F">
        <w:t xml:space="preserve"> heritage of a society</w:t>
      </w:r>
      <w:r w:rsidR="005A22AE">
        <w:t xml:space="preserve">, </w:t>
      </w:r>
      <w:r w:rsidR="003F0B85">
        <w:t xml:space="preserve">suggesting that </w:t>
      </w:r>
      <w:r w:rsidR="00C37AB9">
        <w:t xml:space="preserve">to gain a constant meaning of an event is not solely reliant on a </w:t>
      </w:r>
      <w:r w:rsidR="009E0FE6">
        <w:t>s</w:t>
      </w:r>
      <w:r w:rsidR="00C37AB9">
        <w:t>ingle form of information such as written word</w:t>
      </w:r>
      <w:r w:rsidR="009E0FE6">
        <w:t xml:space="preserve">; </w:t>
      </w:r>
      <w:r w:rsidR="00E64221">
        <w:t xml:space="preserve">this can be </w:t>
      </w:r>
      <w:r w:rsidR="00C92B88">
        <w:t>contrasted by</w:t>
      </w:r>
      <w:r w:rsidR="008E5E90">
        <w:t xml:space="preserve"> how there are differing views on Tonypandy for writers such as David Smith and </w:t>
      </w:r>
      <w:r w:rsidR="00FF2D3F">
        <w:t xml:space="preserve">David </w:t>
      </w:r>
      <w:r w:rsidR="00723851">
        <w:t>Evans</w:t>
      </w:r>
      <w:r w:rsidR="008E5E90">
        <w:t xml:space="preserve">, whereas Smith can be seen in his writing as being sympathetic to the cause of Tonypandy and the reason as to why it is significant that the events be recognised, </w:t>
      </w:r>
      <w:r w:rsidR="00B62680">
        <w:t xml:space="preserve">Evans </w:t>
      </w:r>
      <w:r w:rsidR="00FF2D3F">
        <w:t xml:space="preserve">shows </w:t>
      </w:r>
      <w:r w:rsidR="004B111B">
        <w:t xml:space="preserve">a contemporary </w:t>
      </w:r>
      <w:r w:rsidR="00393F75">
        <w:t>view of Tonypandy</w:t>
      </w:r>
      <w:r w:rsidR="00522910">
        <w:t xml:space="preserve"> by stating that </w:t>
      </w:r>
      <w:r w:rsidR="00A667AE">
        <w:t>the rioters had unworthy motives in striking due to their destructions of shops within Tonypandy</w:t>
      </w:r>
      <w:r w:rsidR="007664D4">
        <w:t xml:space="preserve">, he </w:t>
      </w:r>
      <w:r w:rsidR="007664D4">
        <w:lastRenderedPageBreak/>
        <w:t xml:space="preserve">believed that the rioters </w:t>
      </w:r>
      <w:r w:rsidR="009E6ACA">
        <w:t>caused unwarranted retaliation upon the defenceless shop owners</w:t>
      </w:r>
      <w:r w:rsidR="009D3FB5">
        <w:t>.</w:t>
      </w:r>
      <w:r w:rsidR="00D67CA6" w:rsidRPr="00B43DBD">
        <w:rPr>
          <w:rStyle w:val="FootnoteReference"/>
        </w:rPr>
        <w:footnoteReference w:id="38"/>
      </w:r>
      <w:r w:rsidR="005F2383">
        <w:t xml:space="preserve"> </w:t>
      </w:r>
      <w:r w:rsidR="00444480">
        <w:t>Initially after the riots had ended, the most discontent felt was towards the shop</w:t>
      </w:r>
      <w:r w:rsidR="00FF59E8">
        <w:t xml:space="preserve"> </w:t>
      </w:r>
      <w:r w:rsidR="00444480">
        <w:t xml:space="preserve">owners and the damage caused of their property. It was the damage of the community structure of a new community that had to be clarified, so according to </w:t>
      </w:r>
      <w:proofErr w:type="spellStart"/>
      <w:r w:rsidR="00444480">
        <w:t>Lleufer</w:t>
      </w:r>
      <w:proofErr w:type="spellEnd"/>
      <w:r w:rsidR="00444480">
        <w:t xml:space="preserve"> Thomas, ‘the good name of South Wales’ should not be further dishonoured.</w:t>
      </w:r>
      <w:r w:rsidR="00FC1ED8" w:rsidRPr="00B43DBD">
        <w:rPr>
          <w:rStyle w:val="FootnoteReference"/>
        </w:rPr>
        <w:footnoteReference w:id="39"/>
      </w:r>
      <w:r w:rsidR="00FF59E8">
        <w:t xml:space="preserve"> The conflicting views that although writing is not the only</w:t>
      </w:r>
      <w:r w:rsidR="00D277CA">
        <w:t xml:space="preserve"> form of remembering, even though it is a very prominent way, it is highly unlikely that each piece of </w:t>
      </w:r>
      <w:r w:rsidR="002673F4">
        <w:t>written evidence of the event will all agree with each other.</w:t>
      </w:r>
      <w:r w:rsidR="00D05E68">
        <w:br/>
        <w:t xml:space="preserve"> </w:t>
      </w:r>
      <w:r w:rsidR="00D05E68">
        <w:tab/>
      </w:r>
      <w:r w:rsidR="006933D6">
        <w:t xml:space="preserve">Louise </w:t>
      </w:r>
      <w:proofErr w:type="spellStart"/>
      <w:r w:rsidR="006933D6">
        <w:t>Miskell</w:t>
      </w:r>
      <w:proofErr w:type="spellEnd"/>
      <w:r w:rsidR="006933D6">
        <w:t xml:space="preserve"> believes that a reason as to why Tonypandy is the pivotal point for recalling the coal war is due to the fact that it is human nature to condense our past down to a number of suitable and memorable reference points</w:t>
      </w:r>
      <w:r w:rsidR="006933D6" w:rsidRPr="00B43DBD">
        <w:rPr>
          <w:rStyle w:val="FootnoteReference"/>
        </w:rPr>
        <w:footnoteReference w:id="40"/>
      </w:r>
      <w:r w:rsidR="006933D6">
        <w:t xml:space="preserve"> meaning historical memory is all about convenience and the riots of 1910 in Tonypandy became the convenient symbol of the discontent within the coalfields during Edwardian Wales.</w:t>
      </w:r>
      <w:r w:rsidR="006933D6" w:rsidRPr="00B43DBD">
        <w:rPr>
          <w:rStyle w:val="FootnoteReference"/>
        </w:rPr>
        <w:footnoteReference w:id="41"/>
      </w:r>
      <w:r w:rsidR="006933D6">
        <w:t xml:space="preserve"> Another explanation </w:t>
      </w:r>
      <w:proofErr w:type="spellStart"/>
      <w:r w:rsidR="006933D6">
        <w:t>Miskell</w:t>
      </w:r>
      <w:proofErr w:type="spellEnd"/>
      <w:r w:rsidR="006933D6">
        <w:t xml:space="preserve"> gives is the fact that society tends to prefer satisfactory outcomes, Tonypandy could be remembered as part of a ‘proud tradition of labour history’</w:t>
      </w:r>
      <w:r w:rsidR="006933D6" w:rsidRPr="00B43DBD">
        <w:rPr>
          <w:rStyle w:val="FootnoteReference"/>
        </w:rPr>
        <w:footnoteReference w:id="42"/>
      </w:r>
      <w:r w:rsidR="006933D6">
        <w:t xml:space="preserve"> within the valleys of South Wales.</w:t>
      </w:r>
      <w:r w:rsidR="00E95DFC">
        <w:t xml:space="preserve"> Alongside this, the point that Maddox makes is pivotal in why we would remember the events of Tonypandy. Maddox states th</w:t>
      </w:r>
      <w:r w:rsidR="00E95DFC" w:rsidRPr="00E95DFC">
        <w:t>at ‘You have to remember that the story of the Rhondda riots, and Tonypandy in particular, has been handed down from generation to generation, and has altered subtly over the years</w:t>
      </w:r>
      <w:r w:rsidR="00E95DFC">
        <w:t xml:space="preserve">’ </w:t>
      </w:r>
      <w:r w:rsidR="0071299F">
        <w:t xml:space="preserve">this shows the reader that although the Tonypandy riots is seen as a </w:t>
      </w:r>
      <w:r w:rsidR="00F26E12">
        <w:t>crucial</w:t>
      </w:r>
      <w:r w:rsidR="0071299F">
        <w:t xml:space="preserve"> </w:t>
      </w:r>
      <w:r w:rsidR="00F26E12">
        <w:t xml:space="preserve">event in history and how the year is remembered, </w:t>
      </w:r>
      <w:r w:rsidR="00050D51">
        <w:t>it is still something that the current generations would know nothing about as they had not lived through it and were not present during the time</w:t>
      </w:r>
      <w:r w:rsidR="004A0EF5">
        <w:t xml:space="preserve">. Therefore, </w:t>
      </w:r>
      <w:r w:rsidR="00050D51">
        <w:t xml:space="preserve">what is now shown </w:t>
      </w:r>
      <w:r w:rsidR="00156E36">
        <w:t xml:space="preserve">is that it was </w:t>
      </w:r>
      <w:r w:rsidR="00050D51">
        <w:t xml:space="preserve">a triumph for the </w:t>
      </w:r>
      <w:r w:rsidR="00050D51">
        <w:lastRenderedPageBreak/>
        <w:t>time</w:t>
      </w:r>
      <w:r w:rsidR="00156E36">
        <w:t>,</w:t>
      </w:r>
      <w:r w:rsidR="00050D51">
        <w:t xml:space="preserve"> it set the wheel in motion for many other events such as the national minimum wage and </w:t>
      </w:r>
      <w:r w:rsidR="00530B5F">
        <w:t xml:space="preserve">other </w:t>
      </w:r>
      <w:r w:rsidR="00156E36">
        <w:t>positive</w:t>
      </w:r>
      <w:r w:rsidR="00530B5F">
        <w:t xml:space="preserve"> results</w:t>
      </w:r>
      <w:r w:rsidR="00156E36">
        <w:t xml:space="preserve"> for the miners. However, these</w:t>
      </w:r>
      <w:r w:rsidR="00223E16">
        <w:t xml:space="preserve"> </w:t>
      </w:r>
      <w:r w:rsidR="00156E36">
        <w:t xml:space="preserve">achievements </w:t>
      </w:r>
      <w:r w:rsidR="00223E16">
        <w:t xml:space="preserve">may have been regarded as something completely different if </w:t>
      </w:r>
      <w:proofErr w:type="spellStart"/>
      <w:proofErr w:type="gramStart"/>
      <w:r w:rsidR="00223E16">
        <w:t>their</w:t>
      </w:r>
      <w:proofErr w:type="spellEnd"/>
      <w:proofErr w:type="gramEnd"/>
      <w:r w:rsidR="00223E16">
        <w:t xml:space="preserve"> was an alternative outcome or if the stories came from the </w:t>
      </w:r>
      <w:r w:rsidR="00156E36">
        <w:t>opposition to the miners</w:t>
      </w:r>
      <w:r w:rsidR="00223E16">
        <w:t xml:space="preserve">, such as the shop owners and pit owners. </w:t>
      </w:r>
      <w:r w:rsidR="00402B60">
        <w:br/>
        <w:t xml:space="preserve"> </w:t>
      </w:r>
      <w:r w:rsidR="00402B60">
        <w:tab/>
      </w:r>
      <w:r w:rsidR="0063545F">
        <w:t xml:space="preserve">Alongside these reasonings for the Tonypandy </w:t>
      </w:r>
      <w:r w:rsidR="00623D6C">
        <w:t xml:space="preserve">riots </w:t>
      </w:r>
      <w:r w:rsidR="0063545F">
        <w:t>being remembered</w:t>
      </w:r>
      <w:r w:rsidR="00623D6C">
        <w:t>,</w:t>
      </w:r>
      <w:r w:rsidR="0063545F">
        <w:t xml:space="preserve"> it is also crucial to </w:t>
      </w:r>
      <w:r w:rsidR="00623D6C">
        <w:t>discuss</w:t>
      </w:r>
      <w:r w:rsidR="0063545F">
        <w:t xml:space="preserve"> the 1984 </w:t>
      </w:r>
      <w:proofErr w:type="spellStart"/>
      <w:r w:rsidR="0063545F">
        <w:t>miners</w:t>
      </w:r>
      <w:proofErr w:type="spellEnd"/>
      <w:r w:rsidR="0063545F">
        <w:t xml:space="preserve"> strike</w:t>
      </w:r>
      <w:r w:rsidR="00623D6C">
        <w:t>,</w:t>
      </w:r>
      <w:r w:rsidR="0063545F">
        <w:t xml:space="preserve"> </w:t>
      </w:r>
      <w:r w:rsidR="00D57A51">
        <w:t>where there was parallel</w:t>
      </w:r>
      <w:r w:rsidR="00623D6C">
        <w:t>s</w:t>
      </w:r>
      <w:r w:rsidR="00D57A51">
        <w:t xml:space="preserve"> to the events of Tonypandy 74 years beforehand.</w:t>
      </w:r>
      <w:r w:rsidR="00DE123A">
        <w:t xml:space="preserve"> </w:t>
      </w:r>
      <w:r w:rsidR="004E0FC9">
        <w:t xml:space="preserve"> The events of Tonypandy and the strikes of 1984 both held fearsome</w:t>
      </w:r>
      <w:r w:rsidR="00623D6C">
        <w:t xml:space="preserve"> and </w:t>
      </w:r>
      <w:proofErr w:type="spellStart"/>
      <w:r w:rsidR="00623D6C">
        <w:t>violnet</w:t>
      </w:r>
      <w:proofErr w:type="spellEnd"/>
      <w:r w:rsidR="004E0FC9">
        <w:t xml:space="preserve"> </w:t>
      </w:r>
      <w:r w:rsidR="00623D6C">
        <w:t>exchanges</w:t>
      </w:r>
      <w:r w:rsidR="004E0FC9">
        <w:t xml:space="preserve"> between the police and miners of their time.</w:t>
      </w:r>
      <w:r w:rsidR="004E0FC9" w:rsidRPr="00B43DBD">
        <w:rPr>
          <w:rStyle w:val="FootnoteReference"/>
        </w:rPr>
        <w:footnoteReference w:id="43"/>
      </w:r>
      <w:r w:rsidR="00D5781A">
        <w:t xml:space="preserve"> </w:t>
      </w:r>
      <w:r w:rsidR="00DE123A">
        <w:t>The Tonypandy riots were said by O’Neill to have left a legacy of bitterness</w:t>
      </w:r>
      <w:r w:rsidR="00623D6C">
        <w:t xml:space="preserve"> from both parties involved in the conflict</w:t>
      </w:r>
      <w:r w:rsidR="00DE123A">
        <w:t>.</w:t>
      </w:r>
      <w:r w:rsidR="00DE123A" w:rsidRPr="00B43DBD">
        <w:rPr>
          <w:rStyle w:val="FootnoteReference"/>
        </w:rPr>
        <w:footnoteReference w:id="44"/>
      </w:r>
      <w:r w:rsidR="00D5781A">
        <w:t xml:space="preserve"> When people recall the strikes in 1984 it</w:t>
      </w:r>
      <w:r w:rsidR="00623D6C">
        <w:t xml:space="preserve"> is increasingly</w:t>
      </w:r>
      <w:r w:rsidR="00D5781A">
        <w:t xml:space="preserve"> easy for </w:t>
      </w:r>
      <w:r w:rsidR="00623D6C">
        <w:t>one</w:t>
      </w:r>
      <w:r w:rsidR="00D5781A">
        <w:t xml:space="preserve"> to link them to the past events of Tonypandy and how</w:t>
      </w:r>
      <w:r w:rsidR="00F95660">
        <w:t xml:space="preserve"> the events mirror </w:t>
      </w:r>
      <w:r w:rsidR="00623D6C">
        <w:t>each</w:t>
      </w:r>
      <w:r w:rsidR="00F95660">
        <w:t xml:space="preserve"> other. </w:t>
      </w:r>
      <w:r w:rsidR="00623D6C">
        <w:t>This in turn would lead one</w:t>
      </w:r>
      <w:r w:rsidR="00F95660">
        <w:t xml:space="preserve"> to </w:t>
      </w:r>
      <w:r w:rsidR="00623D6C">
        <w:t xml:space="preserve">have a </w:t>
      </w:r>
      <w:r w:rsidR="00F95660">
        <w:t xml:space="preserve">more </w:t>
      </w:r>
      <w:r w:rsidR="00623D6C">
        <w:t>prevalent memory</w:t>
      </w:r>
      <w:r w:rsidR="00F95660">
        <w:t xml:space="preserve"> of Tonypandy</w:t>
      </w:r>
      <w:r w:rsidR="00623D6C">
        <w:t xml:space="preserve"> riots and </w:t>
      </w:r>
      <w:proofErr w:type="spellStart"/>
      <w:proofErr w:type="gramStart"/>
      <w:r w:rsidR="00623D6C">
        <w:t>it’s</w:t>
      </w:r>
      <w:proofErr w:type="spellEnd"/>
      <w:proofErr w:type="gramEnd"/>
      <w:r w:rsidR="00623D6C">
        <w:t xml:space="preserve"> importance</w:t>
      </w:r>
      <w:r w:rsidR="00F95660">
        <w:t>.</w:t>
      </w:r>
      <w:r w:rsidR="006933D6">
        <w:br/>
      </w:r>
      <w:r w:rsidR="00F95660">
        <w:t xml:space="preserve"> </w:t>
      </w:r>
      <w:r w:rsidR="00F95660">
        <w:tab/>
      </w:r>
      <w:r w:rsidR="00F95660">
        <w:br/>
        <w:t xml:space="preserve"> </w:t>
      </w:r>
      <w:r w:rsidR="00F95660">
        <w:tab/>
      </w:r>
      <w:r w:rsidR="00310BA4">
        <w:t xml:space="preserve">To conclude, </w:t>
      </w:r>
      <w:r w:rsidR="00B32291">
        <w:t xml:space="preserve">remembering only Tonypandy is significantly </w:t>
      </w:r>
      <w:r w:rsidR="00690B61">
        <w:t>dependable</w:t>
      </w:r>
      <w:r w:rsidR="00B32291">
        <w:t xml:space="preserve"> to the different types of memorialisation within society. Communicative and cultural memory is used throughout to highlight their importance of the remembering of events throughout history. Tonypandy itself was </w:t>
      </w:r>
      <w:r w:rsidR="00E10E52">
        <w:t xml:space="preserve">significantly remembered for a multitude of reasons </w:t>
      </w:r>
      <w:r w:rsidR="00F95660">
        <w:t>including being perceived as</w:t>
      </w:r>
      <w:r w:rsidR="00241BC4">
        <w:t xml:space="preserve"> paving the way towards a National Minimum Wage for labour workers of the time</w:t>
      </w:r>
      <w:r w:rsidR="00690B61">
        <w:t>.</w:t>
      </w:r>
      <w:r w:rsidR="00241BC4">
        <w:t xml:space="preserve"> </w:t>
      </w:r>
      <w:r w:rsidR="00690B61">
        <w:t>It was</w:t>
      </w:r>
      <w:r w:rsidR="00241BC4">
        <w:t xml:space="preserve"> a</w:t>
      </w:r>
      <w:r w:rsidR="00690B61">
        <w:t>lso</w:t>
      </w:r>
      <w:r w:rsidR="00241BC4">
        <w:t xml:space="preserve"> </w:t>
      </w:r>
      <w:r w:rsidR="00F532AE">
        <w:t>being viewed as a successful era of Welsh history</w:t>
      </w:r>
      <w:r w:rsidR="005113E4">
        <w:t xml:space="preserve">, wherein society prefers a positive outcome to the events than a negative. </w:t>
      </w:r>
      <w:r w:rsidR="00690B61">
        <w:t>Therefore,</w:t>
      </w:r>
      <w:r w:rsidR="00AA46DB">
        <w:t xml:space="preserve"> one could </w:t>
      </w:r>
      <w:r w:rsidR="00642E41">
        <w:t>say that although O’Neill correctly shows that the riots of Tonypandy left a legacy of bitterness which extended to the 1980s</w:t>
      </w:r>
      <w:r w:rsidR="00690B61">
        <w:t xml:space="preserve">, one could also </w:t>
      </w:r>
      <w:r w:rsidR="005E2210">
        <w:t xml:space="preserve">employ </w:t>
      </w:r>
      <w:r w:rsidR="00642E41">
        <w:t xml:space="preserve">the argument given by </w:t>
      </w:r>
      <w:proofErr w:type="spellStart"/>
      <w:r w:rsidR="00642E41">
        <w:t>Miskell</w:t>
      </w:r>
      <w:proofErr w:type="spellEnd"/>
      <w:r w:rsidR="00642E41">
        <w:t xml:space="preserve"> where</w:t>
      </w:r>
      <w:r w:rsidR="00690B61">
        <w:t xml:space="preserve"> </w:t>
      </w:r>
      <w:r w:rsidR="00642E41">
        <w:t>in</w:t>
      </w:r>
      <w:r w:rsidR="005E2210">
        <w:t>;</w:t>
      </w:r>
      <w:r w:rsidR="00642E41">
        <w:t xml:space="preserve"> Tonypandy could be remembered as part of a ‘proud tradition of labour </w:t>
      </w:r>
      <w:r w:rsidR="00642E41">
        <w:lastRenderedPageBreak/>
        <w:t>history’</w:t>
      </w:r>
      <w:r w:rsidR="005E2210">
        <w:t xml:space="preserve">, </w:t>
      </w:r>
      <w:r w:rsidR="00642E41">
        <w:t xml:space="preserve">which </w:t>
      </w:r>
      <w:r w:rsidR="005E2210">
        <w:t xml:space="preserve">in turn </w:t>
      </w:r>
      <w:r w:rsidR="00642E41">
        <w:t xml:space="preserve">lead to the </w:t>
      </w:r>
      <w:r w:rsidR="00415E29">
        <w:t>increasing narrative over the topic</w:t>
      </w:r>
      <w:r w:rsidR="00C92A22">
        <w:t xml:space="preserve"> leading to a heightened remembrance of </w:t>
      </w:r>
      <w:r w:rsidR="005B59F2">
        <w:t>Tonypandy.</w:t>
      </w:r>
    </w:p>
    <w:p w14:paraId="5087F354" w14:textId="0A8EB81C" w:rsidR="00B62D30" w:rsidRDefault="00B62D30" w:rsidP="0050245B">
      <w:pPr>
        <w:spacing w:line="480" w:lineRule="auto"/>
      </w:pPr>
    </w:p>
    <w:p w14:paraId="0FE78E1A" w14:textId="0693ED96" w:rsidR="0059706D" w:rsidRDefault="00B62D30" w:rsidP="0050245B">
      <w:pPr>
        <w:spacing w:line="480" w:lineRule="auto"/>
      </w:pPr>
      <w:r>
        <w:t>Word Count: 27</w:t>
      </w:r>
      <w:r w:rsidR="005E2210">
        <w:t>8</w:t>
      </w:r>
      <w:r w:rsidR="005B59F2">
        <w:t>7.</w:t>
      </w:r>
    </w:p>
    <w:p w14:paraId="740E3E33" w14:textId="617518E5" w:rsidR="005B59F2" w:rsidRDefault="005B59F2" w:rsidP="0050245B">
      <w:pPr>
        <w:spacing w:line="480" w:lineRule="auto"/>
      </w:pPr>
    </w:p>
    <w:p w14:paraId="6448F875" w14:textId="5E709697" w:rsidR="005B59F2" w:rsidRDefault="005B59F2" w:rsidP="0050245B">
      <w:pPr>
        <w:spacing w:line="480" w:lineRule="auto"/>
      </w:pPr>
    </w:p>
    <w:p w14:paraId="204E02E3" w14:textId="6BD184BF" w:rsidR="005B59F2" w:rsidRDefault="005B59F2" w:rsidP="0050245B">
      <w:pPr>
        <w:spacing w:line="480" w:lineRule="auto"/>
      </w:pPr>
    </w:p>
    <w:p w14:paraId="5FDE7BC3" w14:textId="753EC2BA" w:rsidR="005B59F2" w:rsidRDefault="005B59F2" w:rsidP="0050245B">
      <w:pPr>
        <w:spacing w:line="480" w:lineRule="auto"/>
      </w:pPr>
    </w:p>
    <w:p w14:paraId="03C14014" w14:textId="27C3DEF6" w:rsidR="005B59F2" w:rsidRDefault="005B59F2" w:rsidP="0050245B">
      <w:pPr>
        <w:spacing w:line="480" w:lineRule="auto"/>
      </w:pPr>
    </w:p>
    <w:p w14:paraId="204D56D7" w14:textId="520936EB" w:rsidR="005B59F2" w:rsidRDefault="005B59F2" w:rsidP="0050245B">
      <w:pPr>
        <w:spacing w:line="480" w:lineRule="auto"/>
      </w:pPr>
    </w:p>
    <w:p w14:paraId="468CB3C8" w14:textId="1ED9D467" w:rsidR="005B59F2" w:rsidRDefault="005B59F2" w:rsidP="0050245B">
      <w:pPr>
        <w:spacing w:line="480" w:lineRule="auto"/>
      </w:pPr>
    </w:p>
    <w:p w14:paraId="25B6379B" w14:textId="5A7FF406" w:rsidR="005B59F2" w:rsidRDefault="005B59F2" w:rsidP="0050245B">
      <w:pPr>
        <w:spacing w:line="480" w:lineRule="auto"/>
      </w:pPr>
    </w:p>
    <w:p w14:paraId="79C1654A" w14:textId="0B57C34B" w:rsidR="005B59F2" w:rsidRDefault="005B59F2" w:rsidP="0050245B">
      <w:pPr>
        <w:spacing w:line="480" w:lineRule="auto"/>
      </w:pPr>
    </w:p>
    <w:p w14:paraId="40EBCE04" w14:textId="314B4B04" w:rsidR="005B59F2" w:rsidRDefault="005B59F2" w:rsidP="0050245B">
      <w:pPr>
        <w:spacing w:line="480" w:lineRule="auto"/>
      </w:pPr>
    </w:p>
    <w:p w14:paraId="3089B0F2" w14:textId="2D55FB3F" w:rsidR="005B59F2" w:rsidRDefault="005B59F2" w:rsidP="0050245B">
      <w:pPr>
        <w:spacing w:line="480" w:lineRule="auto"/>
      </w:pPr>
    </w:p>
    <w:p w14:paraId="569476BA" w14:textId="189BAB6B" w:rsidR="005B59F2" w:rsidRDefault="005B59F2" w:rsidP="0050245B">
      <w:pPr>
        <w:spacing w:line="480" w:lineRule="auto"/>
      </w:pPr>
    </w:p>
    <w:p w14:paraId="270BE64A" w14:textId="0E8E6420" w:rsidR="005B59F2" w:rsidRDefault="005B59F2" w:rsidP="0050245B">
      <w:pPr>
        <w:spacing w:line="480" w:lineRule="auto"/>
      </w:pPr>
    </w:p>
    <w:p w14:paraId="07A3DECB" w14:textId="77777777" w:rsidR="005B59F2" w:rsidRDefault="005B59F2" w:rsidP="0050245B">
      <w:pPr>
        <w:spacing w:line="480" w:lineRule="auto"/>
      </w:pPr>
    </w:p>
    <w:p w14:paraId="7D9E053A" w14:textId="77777777" w:rsidR="005B59F2" w:rsidRDefault="005B59F2" w:rsidP="00D62544">
      <w:pPr>
        <w:pStyle w:val="Bibliography"/>
        <w:spacing w:line="480" w:lineRule="auto"/>
        <w:jc w:val="center"/>
        <w:rPr>
          <w:b/>
          <w:sz w:val="24"/>
        </w:rPr>
      </w:pPr>
    </w:p>
    <w:p w14:paraId="31465A7D" w14:textId="77777777" w:rsidR="005B59F2" w:rsidRDefault="005B59F2" w:rsidP="00D62544">
      <w:pPr>
        <w:pStyle w:val="Bibliography"/>
        <w:spacing w:line="480" w:lineRule="auto"/>
        <w:jc w:val="center"/>
        <w:rPr>
          <w:b/>
          <w:sz w:val="24"/>
        </w:rPr>
      </w:pPr>
    </w:p>
    <w:p w14:paraId="10AF2366" w14:textId="323B8ABE" w:rsidR="00D62544" w:rsidRPr="00D62544" w:rsidRDefault="00D62544" w:rsidP="00D62544">
      <w:pPr>
        <w:pStyle w:val="Bibliography"/>
        <w:spacing w:line="480" w:lineRule="auto"/>
        <w:jc w:val="center"/>
        <w:rPr>
          <w:b/>
          <w:sz w:val="24"/>
        </w:rPr>
      </w:pPr>
      <w:r w:rsidRPr="00D62544">
        <w:rPr>
          <w:b/>
          <w:sz w:val="24"/>
        </w:rPr>
        <w:lastRenderedPageBreak/>
        <w:t>Bibliography</w:t>
      </w:r>
    </w:p>
    <w:p w14:paraId="3131B2D9" w14:textId="009935BC" w:rsidR="0059706D" w:rsidRPr="0059706D" w:rsidRDefault="0059706D" w:rsidP="00D62544">
      <w:pPr>
        <w:pStyle w:val="Bibliography"/>
        <w:spacing w:line="480" w:lineRule="auto"/>
        <w:rPr>
          <w:rFonts w:ascii="Calibri" w:hAnsi="Calibri" w:cs="Calibri"/>
        </w:rPr>
      </w:pPr>
      <w:r>
        <w:fldChar w:fldCharType="begin"/>
      </w:r>
      <w:r>
        <w:instrText xml:space="preserve"> ADDIN ZOTERO_BIBL {"uncited":[],"omitted":[],"custom":[]} CSL_BIBLIOGRAPHY </w:instrText>
      </w:r>
      <w:r>
        <w:fldChar w:fldCharType="separate"/>
      </w:r>
      <w:r w:rsidRPr="0059706D">
        <w:rPr>
          <w:rFonts w:ascii="Calibri" w:hAnsi="Calibri" w:cs="Calibri"/>
        </w:rPr>
        <w:t xml:space="preserve">Assmann, Jan, and John Czaplicka, ‘Collective Memory and Cultural Identity’, </w:t>
      </w:r>
      <w:r w:rsidRPr="0059706D">
        <w:rPr>
          <w:rFonts w:ascii="Calibri" w:hAnsi="Calibri" w:cs="Calibri"/>
          <w:i/>
          <w:iCs/>
        </w:rPr>
        <w:t>New German Critique</w:t>
      </w:r>
      <w:r w:rsidRPr="0059706D">
        <w:rPr>
          <w:rFonts w:ascii="Calibri" w:hAnsi="Calibri" w:cs="Calibri"/>
        </w:rPr>
        <w:t>, 1995, 125–33 &lt;https://doi.org/10.2307/488538&gt;</w:t>
      </w:r>
    </w:p>
    <w:p w14:paraId="5AA6F231" w14:textId="77777777" w:rsidR="0059706D" w:rsidRPr="0059706D" w:rsidRDefault="0059706D" w:rsidP="00D62544">
      <w:pPr>
        <w:pStyle w:val="Bibliography"/>
        <w:spacing w:line="480" w:lineRule="auto"/>
        <w:rPr>
          <w:rFonts w:ascii="Calibri" w:hAnsi="Calibri" w:cs="Calibri"/>
        </w:rPr>
      </w:pPr>
      <w:r w:rsidRPr="0059706D">
        <w:rPr>
          <w:rFonts w:ascii="Calibri" w:hAnsi="Calibri" w:cs="Calibri"/>
        </w:rPr>
        <w:t xml:space="preserve">Bowen, H. V., </w:t>
      </w:r>
      <w:r w:rsidRPr="0059706D">
        <w:rPr>
          <w:rFonts w:ascii="Calibri" w:hAnsi="Calibri" w:cs="Calibri"/>
          <w:i/>
          <w:iCs/>
        </w:rPr>
        <w:t>A New History of Wales</w:t>
      </w:r>
      <w:r w:rsidRPr="0059706D">
        <w:rPr>
          <w:rFonts w:ascii="Calibri" w:hAnsi="Calibri" w:cs="Calibri"/>
        </w:rPr>
        <w:t xml:space="preserve"> (Llandysul: Gomer, 2011)</w:t>
      </w:r>
    </w:p>
    <w:p w14:paraId="51A626F4" w14:textId="77777777" w:rsidR="0059706D" w:rsidRPr="0059706D" w:rsidRDefault="0059706D" w:rsidP="00D62544">
      <w:pPr>
        <w:pStyle w:val="Bibliography"/>
        <w:spacing w:line="480" w:lineRule="auto"/>
        <w:rPr>
          <w:rFonts w:ascii="Calibri" w:hAnsi="Calibri" w:cs="Calibri"/>
        </w:rPr>
      </w:pPr>
      <w:r w:rsidRPr="0059706D">
        <w:rPr>
          <w:rFonts w:ascii="Calibri" w:hAnsi="Calibri" w:cs="Calibri"/>
        </w:rPr>
        <w:t xml:space="preserve">‘Labour Strife in the South Wales Coalfield. By David Evans. » 6 Jan 1912 » The Spectator Archive’, </w:t>
      </w:r>
      <w:r w:rsidRPr="0059706D">
        <w:rPr>
          <w:rFonts w:ascii="Calibri" w:hAnsi="Calibri" w:cs="Calibri"/>
          <w:i/>
          <w:iCs/>
        </w:rPr>
        <w:t>The Spectator Archive</w:t>
      </w:r>
      <w:r w:rsidRPr="0059706D">
        <w:rPr>
          <w:rFonts w:ascii="Calibri" w:hAnsi="Calibri" w:cs="Calibri"/>
        </w:rPr>
        <w:t xml:space="preserve"> &lt;http://archive.spectator.co.uk/article/6th-january-1912/36/labour-strife-in-the-south-wales-coalfield-by-davi&gt; [accessed 30 March 2018]</w:t>
      </w:r>
    </w:p>
    <w:p w14:paraId="6E3140B8" w14:textId="77777777" w:rsidR="0059706D" w:rsidRPr="0059706D" w:rsidRDefault="0059706D" w:rsidP="00D62544">
      <w:pPr>
        <w:pStyle w:val="Bibliography"/>
        <w:spacing w:line="480" w:lineRule="auto"/>
        <w:rPr>
          <w:rFonts w:ascii="Calibri" w:hAnsi="Calibri" w:cs="Calibri"/>
        </w:rPr>
      </w:pPr>
      <w:r w:rsidRPr="0059706D">
        <w:rPr>
          <w:rFonts w:ascii="Calibri" w:hAnsi="Calibri" w:cs="Calibri"/>
        </w:rPr>
        <w:t xml:space="preserve">Maddox, David, </w:t>
      </w:r>
      <w:r w:rsidRPr="0059706D">
        <w:rPr>
          <w:rFonts w:ascii="Calibri" w:hAnsi="Calibri" w:cs="Calibri"/>
          <w:i/>
          <w:iCs/>
        </w:rPr>
        <w:t>Tonypandy Riots 1910-11</w:t>
      </w:r>
      <w:r w:rsidRPr="0059706D">
        <w:rPr>
          <w:rFonts w:ascii="Calibri" w:hAnsi="Calibri" w:cs="Calibri"/>
        </w:rPr>
        <w:t xml:space="preserve"> (Plymouth: University of Plymouth Press, 2010)</w:t>
      </w:r>
    </w:p>
    <w:p w14:paraId="728CCA20" w14:textId="77777777" w:rsidR="0059706D" w:rsidRPr="0059706D" w:rsidRDefault="0059706D" w:rsidP="00D62544">
      <w:pPr>
        <w:pStyle w:val="Bibliography"/>
        <w:spacing w:line="480" w:lineRule="auto"/>
        <w:rPr>
          <w:rFonts w:ascii="Calibri" w:hAnsi="Calibri" w:cs="Calibri"/>
        </w:rPr>
      </w:pPr>
      <w:r w:rsidRPr="0059706D">
        <w:rPr>
          <w:rFonts w:ascii="Calibri" w:hAnsi="Calibri" w:cs="Calibri"/>
        </w:rPr>
        <w:t xml:space="preserve">McCartney, Helen B., ‘The First World War Soldier and His Contemporary Image in Britain’, </w:t>
      </w:r>
      <w:r w:rsidRPr="0059706D">
        <w:rPr>
          <w:rFonts w:ascii="Calibri" w:hAnsi="Calibri" w:cs="Calibri"/>
          <w:i/>
          <w:iCs/>
        </w:rPr>
        <w:t>International Affairs</w:t>
      </w:r>
      <w:r w:rsidRPr="0059706D">
        <w:rPr>
          <w:rFonts w:ascii="Calibri" w:hAnsi="Calibri" w:cs="Calibri"/>
        </w:rPr>
        <w:t>, 90 (2014), 299–315 &lt;https://doi.org/10.1111/1468-2346.12110&gt;</w:t>
      </w:r>
    </w:p>
    <w:p w14:paraId="1E33346C" w14:textId="77777777" w:rsidR="0059706D" w:rsidRPr="0059706D" w:rsidRDefault="0059706D" w:rsidP="00D62544">
      <w:pPr>
        <w:pStyle w:val="Bibliography"/>
        <w:spacing w:line="480" w:lineRule="auto"/>
        <w:rPr>
          <w:rFonts w:ascii="Calibri" w:hAnsi="Calibri" w:cs="Calibri"/>
        </w:rPr>
      </w:pPr>
      <w:r w:rsidRPr="0059706D">
        <w:rPr>
          <w:rFonts w:ascii="Calibri" w:hAnsi="Calibri" w:cs="Calibri"/>
        </w:rPr>
        <w:t xml:space="preserve">Michael. Rothberg, </w:t>
      </w:r>
      <w:r w:rsidRPr="0059706D">
        <w:rPr>
          <w:rFonts w:ascii="Calibri" w:hAnsi="Calibri" w:cs="Calibri"/>
          <w:i/>
          <w:iCs/>
        </w:rPr>
        <w:t>Multidirectional Memory Remembering the Holocaust in the Age of Decolonization</w:t>
      </w:r>
      <w:r w:rsidRPr="0059706D">
        <w:rPr>
          <w:rFonts w:ascii="Calibri" w:hAnsi="Calibri" w:cs="Calibri"/>
        </w:rPr>
        <w:t>, Cultural Memory in the Present (Palo Alto: Stanford University Press, 2009)</w:t>
      </w:r>
    </w:p>
    <w:p w14:paraId="2D6EE462" w14:textId="77777777" w:rsidR="0059706D" w:rsidRPr="0059706D" w:rsidRDefault="0059706D" w:rsidP="00D62544">
      <w:pPr>
        <w:pStyle w:val="Bibliography"/>
        <w:spacing w:line="480" w:lineRule="auto"/>
        <w:rPr>
          <w:rFonts w:ascii="Calibri" w:hAnsi="Calibri" w:cs="Calibri"/>
        </w:rPr>
      </w:pPr>
      <w:r w:rsidRPr="0059706D">
        <w:rPr>
          <w:rFonts w:ascii="Calibri" w:hAnsi="Calibri" w:cs="Calibri"/>
        </w:rPr>
        <w:t xml:space="preserve">Prior, Neil, ‘Rhondda Recalls Tonypandy Riots’, </w:t>
      </w:r>
      <w:r w:rsidRPr="0059706D">
        <w:rPr>
          <w:rFonts w:ascii="Calibri" w:hAnsi="Calibri" w:cs="Calibri"/>
          <w:i/>
          <w:iCs/>
        </w:rPr>
        <w:t>BBC News</w:t>
      </w:r>
      <w:r w:rsidRPr="0059706D">
        <w:rPr>
          <w:rFonts w:ascii="Calibri" w:hAnsi="Calibri" w:cs="Calibri"/>
        </w:rPr>
        <w:t>, 7 November 2010, section Wales &lt;http://www.bbc.co.uk/news/uk-wales-11655470&gt; [accessed 30 March 2018]</w:t>
      </w:r>
    </w:p>
    <w:p w14:paraId="123C5294" w14:textId="77777777" w:rsidR="0059706D" w:rsidRPr="0059706D" w:rsidRDefault="0059706D" w:rsidP="00D62544">
      <w:pPr>
        <w:pStyle w:val="Bibliography"/>
        <w:spacing w:line="480" w:lineRule="auto"/>
        <w:rPr>
          <w:rFonts w:ascii="Calibri" w:hAnsi="Calibri" w:cs="Calibri"/>
        </w:rPr>
      </w:pPr>
      <w:r w:rsidRPr="0059706D">
        <w:rPr>
          <w:rFonts w:ascii="Calibri" w:hAnsi="Calibri" w:cs="Calibri"/>
        </w:rPr>
        <w:t xml:space="preserve">Radstone, Susannah, and Bill Schwartz, </w:t>
      </w:r>
      <w:r w:rsidRPr="0059706D">
        <w:rPr>
          <w:rFonts w:ascii="Calibri" w:hAnsi="Calibri" w:cs="Calibri"/>
          <w:i/>
          <w:iCs/>
        </w:rPr>
        <w:t>Memory: Histories, Theories, Debates</w:t>
      </w:r>
      <w:r w:rsidRPr="0059706D">
        <w:rPr>
          <w:rFonts w:ascii="Calibri" w:hAnsi="Calibri" w:cs="Calibri"/>
        </w:rPr>
        <w:t xml:space="preserve"> (Ashland, Ohio : London, New York: Fordham University Press ; Eurospan distributor, Fordham University Press, 2010)</w:t>
      </w:r>
    </w:p>
    <w:p w14:paraId="2F38BC7A" w14:textId="77777777" w:rsidR="0059706D" w:rsidRPr="0059706D" w:rsidRDefault="0059706D" w:rsidP="00D62544">
      <w:pPr>
        <w:pStyle w:val="Bibliography"/>
        <w:spacing w:line="480" w:lineRule="auto"/>
        <w:rPr>
          <w:rFonts w:ascii="Calibri" w:hAnsi="Calibri" w:cs="Calibri"/>
        </w:rPr>
      </w:pPr>
      <w:r w:rsidRPr="0059706D">
        <w:rPr>
          <w:rFonts w:ascii="Calibri" w:hAnsi="Calibri" w:cs="Calibri"/>
        </w:rPr>
        <w:t xml:space="preserve">Reicher, Stephen, Clifford Stott, Patrick Cronin, and Otto Adang, ‘An Integrated Approach to Crowd Psychology and Public Order Policing’, </w:t>
      </w:r>
      <w:r w:rsidRPr="0059706D">
        <w:rPr>
          <w:rFonts w:ascii="Calibri" w:hAnsi="Calibri" w:cs="Calibri"/>
          <w:i/>
          <w:iCs/>
        </w:rPr>
        <w:t>Policing; Bradford</w:t>
      </w:r>
      <w:r w:rsidRPr="0059706D">
        <w:rPr>
          <w:rFonts w:ascii="Calibri" w:hAnsi="Calibri" w:cs="Calibri"/>
        </w:rPr>
        <w:t>, 27 (2004), 558–72</w:t>
      </w:r>
    </w:p>
    <w:p w14:paraId="2EA35D74" w14:textId="77777777" w:rsidR="0059706D" w:rsidRPr="0059706D" w:rsidRDefault="0059706D" w:rsidP="00D62544">
      <w:pPr>
        <w:pStyle w:val="Bibliography"/>
        <w:spacing w:line="480" w:lineRule="auto"/>
        <w:rPr>
          <w:rFonts w:ascii="Calibri" w:hAnsi="Calibri" w:cs="Calibri"/>
        </w:rPr>
      </w:pPr>
      <w:r w:rsidRPr="0059706D">
        <w:rPr>
          <w:rFonts w:ascii="Calibri" w:hAnsi="Calibri" w:cs="Calibri"/>
        </w:rPr>
        <w:t xml:space="preserve">Smith, David, ‘Tonypandy 1910: Definitions of Community’, </w:t>
      </w:r>
      <w:r w:rsidRPr="0059706D">
        <w:rPr>
          <w:rFonts w:ascii="Calibri" w:hAnsi="Calibri" w:cs="Calibri"/>
          <w:i/>
          <w:iCs/>
        </w:rPr>
        <w:t>Past &amp; Present</w:t>
      </w:r>
      <w:r w:rsidRPr="0059706D">
        <w:rPr>
          <w:rFonts w:ascii="Calibri" w:hAnsi="Calibri" w:cs="Calibri"/>
        </w:rPr>
        <w:t>, 1980, 158–84</w:t>
      </w:r>
    </w:p>
    <w:p w14:paraId="4C44E968" w14:textId="77777777" w:rsidR="0059706D" w:rsidRPr="0059706D" w:rsidRDefault="0059706D" w:rsidP="00D62544">
      <w:pPr>
        <w:pStyle w:val="Bibliography"/>
        <w:spacing w:line="480" w:lineRule="auto"/>
        <w:rPr>
          <w:rFonts w:ascii="Calibri" w:hAnsi="Calibri" w:cs="Calibri"/>
        </w:rPr>
      </w:pPr>
      <w:r w:rsidRPr="0059706D">
        <w:rPr>
          <w:rFonts w:ascii="Calibri" w:hAnsi="Calibri" w:cs="Calibri"/>
        </w:rPr>
        <w:lastRenderedPageBreak/>
        <w:t xml:space="preserve">WalesOnline, ‘Dan O’Neill: Tonypandy Riots Left a Legacy of Bitterness’, </w:t>
      </w:r>
      <w:r w:rsidRPr="0059706D">
        <w:rPr>
          <w:rFonts w:ascii="Calibri" w:hAnsi="Calibri" w:cs="Calibri"/>
          <w:i/>
          <w:iCs/>
        </w:rPr>
        <w:t>Walesonline</w:t>
      </w:r>
      <w:r w:rsidRPr="0059706D">
        <w:rPr>
          <w:rFonts w:ascii="Calibri" w:hAnsi="Calibri" w:cs="Calibri"/>
        </w:rPr>
        <w:t>, 2010 &lt;http://www.walesonline.co.uk/news/local-news/dan-oneill-tonypandy-riots-left-1883151&gt; [accessed 30 March 2018]</w:t>
      </w:r>
    </w:p>
    <w:p w14:paraId="0ABB1273" w14:textId="77777777" w:rsidR="0059706D" w:rsidRPr="0059706D" w:rsidRDefault="0059706D" w:rsidP="00D62544">
      <w:pPr>
        <w:pStyle w:val="Bibliography"/>
        <w:spacing w:line="480" w:lineRule="auto"/>
        <w:rPr>
          <w:rFonts w:ascii="Calibri" w:hAnsi="Calibri" w:cs="Calibri"/>
        </w:rPr>
      </w:pPr>
      <w:r w:rsidRPr="0059706D">
        <w:rPr>
          <w:rFonts w:ascii="Calibri" w:hAnsi="Calibri" w:cs="Calibri"/>
        </w:rPr>
        <w:t>‘Welsh Newspapers Online THE PARLEY FOR PEACE. I|1910-11-12|Evening Express - Welsh Newspapers Online’ &lt;http://newspapers.library.wales/view/4225255/4225258/72/rhondda%20leader%20AND%20lleufer%20thomas&gt; [accessed 30 March 2018]</w:t>
      </w:r>
    </w:p>
    <w:p w14:paraId="45BF8D2F" w14:textId="77777777" w:rsidR="0059706D" w:rsidRPr="0059706D" w:rsidRDefault="0059706D" w:rsidP="00D62544">
      <w:pPr>
        <w:pStyle w:val="Bibliography"/>
        <w:spacing w:line="480" w:lineRule="auto"/>
        <w:rPr>
          <w:rFonts w:ascii="Calibri" w:hAnsi="Calibri" w:cs="Calibri"/>
        </w:rPr>
      </w:pPr>
      <w:r w:rsidRPr="0059706D">
        <w:rPr>
          <w:rFonts w:ascii="Calibri" w:hAnsi="Calibri" w:cs="Calibri"/>
        </w:rPr>
        <w:t xml:space="preserve">White, Hayden, </w:t>
      </w:r>
      <w:r w:rsidRPr="0059706D">
        <w:rPr>
          <w:rFonts w:ascii="Calibri" w:hAnsi="Calibri" w:cs="Calibri"/>
          <w:i/>
          <w:iCs/>
        </w:rPr>
        <w:t>The Content of the Form: Narrative Discourse and Historical Representation</w:t>
      </w:r>
      <w:r w:rsidRPr="0059706D">
        <w:rPr>
          <w:rFonts w:ascii="Calibri" w:hAnsi="Calibri" w:cs="Calibri"/>
        </w:rPr>
        <w:t xml:space="preserve"> (Maryland: The John Hopkins University Press, 1990)</w:t>
      </w:r>
    </w:p>
    <w:p w14:paraId="0F18DBAF" w14:textId="4758C4D3" w:rsidR="0059706D" w:rsidRDefault="0059706D" w:rsidP="00D62544">
      <w:pPr>
        <w:spacing w:line="480" w:lineRule="auto"/>
      </w:pPr>
      <w:r>
        <w:fldChar w:fldCharType="end"/>
      </w:r>
    </w:p>
    <w:sectPr w:rsidR="005970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18E525" w14:textId="77777777" w:rsidR="00E46BE7" w:rsidRDefault="00E46BE7" w:rsidP="00295BC2">
      <w:pPr>
        <w:spacing w:after="0" w:line="240" w:lineRule="auto"/>
      </w:pPr>
      <w:r>
        <w:separator/>
      </w:r>
    </w:p>
  </w:endnote>
  <w:endnote w:type="continuationSeparator" w:id="0">
    <w:p w14:paraId="18F46146" w14:textId="77777777" w:rsidR="00E46BE7" w:rsidRDefault="00E46BE7" w:rsidP="00295BC2">
      <w:pPr>
        <w:spacing w:after="0" w:line="240" w:lineRule="auto"/>
      </w:pPr>
      <w:r>
        <w:continuationSeparator/>
      </w:r>
    </w:p>
  </w:endnote>
  <w:endnote w:type="continuationNotice" w:id="1">
    <w:p w14:paraId="4A8EBD08" w14:textId="77777777" w:rsidR="00E46BE7" w:rsidRDefault="00E46B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330A46" w14:textId="77777777" w:rsidR="00E46BE7" w:rsidRDefault="00E46BE7" w:rsidP="00295BC2">
      <w:pPr>
        <w:spacing w:after="0" w:line="240" w:lineRule="auto"/>
      </w:pPr>
      <w:r>
        <w:separator/>
      </w:r>
    </w:p>
  </w:footnote>
  <w:footnote w:type="continuationSeparator" w:id="0">
    <w:p w14:paraId="2C65F5E8" w14:textId="77777777" w:rsidR="00E46BE7" w:rsidRDefault="00E46BE7" w:rsidP="00295BC2">
      <w:pPr>
        <w:spacing w:after="0" w:line="240" w:lineRule="auto"/>
      </w:pPr>
      <w:r>
        <w:continuationSeparator/>
      </w:r>
    </w:p>
  </w:footnote>
  <w:footnote w:type="continuationNotice" w:id="1">
    <w:p w14:paraId="79308066" w14:textId="77777777" w:rsidR="00E46BE7" w:rsidRDefault="00E46BE7">
      <w:pPr>
        <w:spacing w:after="0" w:line="240" w:lineRule="auto"/>
      </w:pPr>
    </w:p>
  </w:footnote>
  <w:footnote w:id="2">
    <w:p w14:paraId="405EACD4" w14:textId="462E7415"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{"citationID":"K4KPB0UZ","properties":{"formattedCitation":"David Maddox, {\\i{}Tonypandy Riots 1910-11} (Plymouth: University of Plymouth Press, 2010).","plainCitation":"David Maddox, Tonypandy Riots 1910-11 (Plymouth: University of Plymouth Press, 2010).","noteIndex":1},"citationItems":[{"id":295,"uris":["http://zotero.org/users/local/wNuioCXQ/items/TUWRJDP4"],"uri":["http://zotero.org/users/local/wNuioCXQ/items/TUWRJDP4"],"itemData":{"id":295,"type":"book","title":"Tonypandy Riots 1910-11","publisher":"University of Plymouth Press","publisher-place":"Plymouth","number-of-pages":"170","source":"Amazon","event-place":"Plymouth","ISBN":"978-1-84102-270-3","author":[{"family":"Maddox","given":"David"}],"issued":{"date-parts":[["2010",11,1]]}}}],"schema":"https://github.com/citation-style-language/schema/raw/master/csl-citation.json"} </w:instrText>
      </w:r>
      <w:r>
        <w:fldChar w:fldCharType="separate"/>
      </w:r>
      <w:r w:rsidRPr="0050245B">
        <w:rPr>
          <w:rFonts w:ascii="Calibri" w:hAnsi="Calibri" w:cs="Calibri"/>
          <w:szCs w:val="24"/>
        </w:rPr>
        <w:t xml:space="preserve">David Maddox, </w:t>
      </w:r>
      <w:r w:rsidRPr="0050245B">
        <w:rPr>
          <w:rFonts w:ascii="Calibri" w:hAnsi="Calibri" w:cs="Calibri"/>
          <w:i/>
          <w:iCs/>
          <w:szCs w:val="24"/>
        </w:rPr>
        <w:t>Tonypandy Riots 1910-11</w:t>
      </w:r>
      <w:r w:rsidRPr="0050245B">
        <w:rPr>
          <w:rFonts w:ascii="Calibri" w:hAnsi="Calibri" w:cs="Calibri"/>
          <w:szCs w:val="24"/>
        </w:rPr>
        <w:t xml:space="preserve"> (Plymouth: University of Plymouth Press, 2010).</w:t>
      </w:r>
      <w:r>
        <w:fldChar w:fldCharType="end"/>
      </w:r>
    </w:p>
  </w:footnote>
  <w:footnote w:id="3">
    <w:p w14:paraId="6340345C" w14:textId="77777777" w:rsidR="00F82FAF" w:rsidRDefault="00F82FAF" w:rsidP="00F82FAF">
      <w:pPr>
        <w:pStyle w:val="FootnoteText"/>
      </w:pPr>
      <w:r w:rsidRPr="00B43DBD">
        <w:rPr>
          <w:rStyle w:val="FootnoteReference"/>
        </w:rPr>
        <w:footnoteRef/>
      </w:r>
      <w:r>
        <w:t xml:space="preserve"> </w:t>
      </w:r>
      <w:r>
        <w:fldChar w:fldCharType="begin"/>
      </w:r>
      <w:r>
        <w:instrText xml:space="preserve"> ADDIN ZOTERO_ITEM CSL_CITATION {"citationID":"hBq4pyKp","properties":{"formattedCitation":"David Smith, \\uc0\\u8216{}Tonypandy 1910: Definitions of Community\\uc0\\u8217{}, {\\i{}Past &amp; Present}, 1980, 158\\uc0\\u8211{}84.","plainCitation":"David Smith, ‘Tonypandy 1910: Definitions of Community’, Past &amp; Present, 1980, 158–84.","noteIndex":2},"citationItems":[{"id":282,"uris":["http://zotero.org/users/local/wNuioCXQ/items/287HH96A"],"uri":["http://zotero.org/users/local/wNuioCXQ/items/287HH96A"],"itemData":{"id":282,"type":"article-journal","title":"Tonypandy 1910: Definitions of Community","container-title":"Past &amp; Present","page":"158-184","issue":"87","source":"JSTOR","ISSN":"0031-2746","shortTitle":"Tonypandy 1910","author":[{"family":"Smith","given":"David"}],"issued":{"date-parts":[["1980"]]}}}],"schema":"https://github.com/citation-style-language/schema/raw/master/csl-citation.json"} </w:instrText>
      </w:r>
      <w:r>
        <w:fldChar w:fldCharType="separate"/>
      </w:r>
      <w:r w:rsidRPr="00295BC2">
        <w:rPr>
          <w:rFonts w:ascii="Calibri" w:hAnsi="Calibri" w:cs="Calibri"/>
          <w:szCs w:val="24"/>
        </w:rPr>
        <w:t xml:space="preserve">David Smith, ‘Tonypandy 1910: Definitions of Community’, </w:t>
      </w:r>
      <w:r w:rsidRPr="00295BC2">
        <w:rPr>
          <w:rFonts w:ascii="Calibri" w:hAnsi="Calibri" w:cs="Calibri"/>
          <w:i/>
          <w:iCs/>
          <w:szCs w:val="24"/>
        </w:rPr>
        <w:t>Past &amp; Present</w:t>
      </w:r>
      <w:r w:rsidRPr="00295BC2">
        <w:rPr>
          <w:rFonts w:ascii="Calibri" w:hAnsi="Calibri" w:cs="Calibri"/>
          <w:szCs w:val="24"/>
        </w:rPr>
        <w:t>, 1980, 158–84.</w:t>
      </w:r>
      <w:r>
        <w:fldChar w:fldCharType="end"/>
      </w:r>
      <w:r>
        <w:t xml:space="preserve"> P.158</w:t>
      </w:r>
    </w:p>
  </w:footnote>
  <w:footnote w:id="4">
    <w:p w14:paraId="299651CC" w14:textId="02E7921C"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K061IRGc","properties":{"formattedCitation":"Smith.","plainCitation":"Smith.","noteIndex":3},"citationItems":[{"id":282,"uris":["http://zotero.org/users/local/wNuioCXQ/items/287HH96A"],"uri":["http://zotero.org/users/local/wNuioCXQ/items/287HH96A"],"itemData":{"id":282,"type":"article-journal","title":"Tonypandy 1910: Definitions of Community","container-title":"Past &amp; Present","page":"158-184","issue":"87","source":"JSTOR","ISSN":"0031-2746","shortTitle":"Tonypandy 1910","author":[{"family":"Smith","given":"David"}],"issued":{"date-parts":[["1980"]]}}}],"schema":"https://github.com/citation-style-language/schema/raw/master/csl-citation.json"} </w:instrText>
      </w:r>
      <w:r>
        <w:fldChar w:fldCharType="separate"/>
      </w:r>
      <w:r w:rsidRPr="00295BC2">
        <w:rPr>
          <w:rFonts w:ascii="Calibri" w:hAnsi="Calibri" w:cs="Calibri"/>
        </w:rPr>
        <w:t>Smith.</w:t>
      </w:r>
      <w:r>
        <w:fldChar w:fldCharType="end"/>
      </w:r>
    </w:p>
  </w:footnote>
  <w:footnote w:id="5">
    <w:p w14:paraId="4E098724" w14:textId="4EA0CC0B"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LpnacmiA","properties":{"formattedCitation":"Smith.","plainCitation":"Smith.","noteIndex":4},"citationItems":[{"id":282,"uris":["http://zotero.org/users/local/wNuioCXQ/items/287HH96A"],"uri":["http://zotero.org/users/local/wNuioCXQ/items/287HH96A"],"itemData":{"id":282,"type":"article-journal","title":"Tonypandy 1910: Definitions of Community","container-title":"Past &amp; Present","page":"158-184","issue":"87","source":"JSTOR","ISSN":"0031-2746","shortTitle":"Tonypandy 1910","author":[{"family":"Smith","given":"David"}],"issued":{"date-parts":[["1980"]]}}}],"schema":"https://github.com/citation-style-language/schema/raw/master/csl-citation.json"} </w:instrText>
      </w:r>
      <w:r>
        <w:fldChar w:fldCharType="separate"/>
      </w:r>
      <w:r w:rsidRPr="006641E2">
        <w:rPr>
          <w:rFonts w:ascii="Calibri" w:hAnsi="Calibri" w:cs="Calibri"/>
        </w:rPr>
        <w:t>Smith.</w:t>
      </w:r>
      <w:r>
        <w:fldChar w:fldCharType="end"/>
      </w:r>
      <w:r>
        <w:t xml:space="preserve"> 160.</w:t>
      </w:r>
    </w:p>
  </w:footnote>
  <w:footnote w:id="6">
    <w:p w14:paraId="46A44020" w14:textId="7B26ADEE"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mxxekPWJ","properties":{"formattedCitation":"Smith.","plainCitation":"Smith.","noteIndex":5},"citationItems":[{"id":282,"uris":["http://zotero.org/users/local/wNuioCXQ/items/287HH96A"],"uri":["http://zotero.org/users/local/wNuioCXQ/items/287HH96A"],"itemData":{"id":282,"type":"article-journal","title":"Tonypandy 1910: Definitions of Community","container-title":"Past &amp; Present","page":"158-184","issue":"87","source":"JSTOR","ISSN":"0031-2746","shortTitle":"Tonypandy 1910","author":[{"family":"Smith","given":"David"}],"issued":{"date-parts":[["1980"]]}}}],"schema":"https://github.com/citation-style-language/schema/raw/master/csl-citation.json"} </w:instrText>
      </w:r>
      <w:r>
        <w:fldChar w:fldCharType="separate"/>
      </w:r>
      <w:r w:rsidRPr="004A58EA">
        <w:rPr>
          <w:rFonts w:ascii="Calibri" w:hAnsi="Calibri" w:cs="Calibri"/>
        </w:rPr>
        <w:t>Smith.</w:t>
      </w:r>
      <w:r>
        <w:fldChar w:fldCharType="end"/>
      </w:r>
      <w:r>
        <w:t xml:space="preserve"> 162</w:t>
      </w:r>
    </w:p>
  </w:footnote>
  <w:footnote w:id="7">
    <w:p w14:paraId="406CF9A8" w14:textId="76C224EF"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1TWay5im","properties":{"formattedCitation":"Smith.","plainCitation":"Smith.","noteIndex":6},"citationItems":[{"id":282,"uris":["http://zotero.org/users/local/wNuioCXQ/items/287HH96A"],"uri":["http://zotero.org/users/local/wNuioCXQ/items/287HH96A"],"itemData":{"id":282,"type":"article-journal","title":"Tonypandy 1910: Definitions of Community","container-title":"Past &amp; Present","page":"158-184","issue":"87","source":"JSTOR","ISSN":"0031-2746","shortTitle":"Tonypandy 1910","author":[{"family":"Smith","given":"David"}],"issued":{"date-parts":[["1980"]]}}}],"schema":"https://github.com/citation-style-language/schema/raw/master/csl-citation.json"} </w:instrText>
      </w:r>
      <w:r>
        <w:fldChar w:fldCharType="separate"/>
      </w:r>
      <w:r w:rsidRPr="00854C31">
        <w:rPr>
          <w:rFonts w:ascii="Calibri" w:hAnsi="Calibri" w:cs="Calibri"/>
        </w:rPr>
        <w:t>Smith.</w:t>
      </w:r>
      <w:r>
        <w:fldChar w:fldCharType="end"/>
      </w:r>
      <w:r>
        <w:t>162-165.</w:t>
      </w:r>
    </w:p>
  </w:footnote>
  <w:footnote w:id="8">
    <w:p w14:paraId="6852B58F" w14:textId="6F7001BB"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hRFYQoFo","properties":{"formattedCitation":"Smith.","plainCitation":"Smith.","noteIndex":7},"citationItems":[{"id":282,"uris":["http://zotero.org/users/local/wNuioCXQ/items/287HH96A"],"uri":["http://zotero.org/users/local/wNuioCXQ/items/287HH96A"],"itemData":{"id":282,"type":"article-journal","title":"Tonypandy 1910: Definitions of Community","container-title":"Past &amp; Present","page":"158-184","issue":"87","source":"JSTOR","ISSN":"0031-2746","shortTitle":"Tonypandy 1910","author":[{"family":"Smith","given":"David"}],"issued":{"date-parts":[["1980"]]}}}],"schema":"https://github.com/citation-style-language/schema/raw/master/csl-citation.json"} </w:instrText>
      </w:r>
      <w:r>
        <w:fldChar w:fldCharType="separate"/>
      </w:r>
      <w:r w:rsidRPr="003C6C02">
        <w:rPr>
          <w:rFonts w:ascii="Calibri" w:hAnsi="Calibri" w:cs="Calibri"/>
        </w:rPr>
        <w:t>Smith.</w:t>
      </w:r>
      <w:r>
        <w:fldChar w:fldCharType="end"/>
      </w:r>
    </w:p>
  </w:footnote>
  <w:footnote w:id="9">
    <w:p w14:paraId="3C80C0E9" w14:textId="381DB6AE"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{"citationID":"JqDdnJ09","properties":{"formattedCitation":"Neil Prior, \\uc0\\u8216{}Rhondda Recalls Tonypandy Riots\\uc0\\u8217{}, {\\i{}BBC News}, 7 November 2010, section Wales &lt;http://www.bbc.co.uk/news/uk-wales-11655470&gt; [accessed 30 March 2018].","plainCitation":"Neil Prior, ‘Rhondda Recalls Tonypandy Riots’, BBC News, 7 November 2010, section Wales &lt;http://www.bbc.co.uk/news/uk-wales-11655470&gt; [accessed 30 March 2018].","noteIndex":8},"citationItems":[{"id":293,"uris":["http://zotero.org/users/local/wNuioCXQ/items/CTXZBB8F"],"uri":["http://zotero.org/users/local/wNuioCXQ/items/CTXZBB8F"],"itemData":{"id":293,"type":"article-newspaper","title":"Rhondda recalls Tonypandy Riots","container-title":"BBC News","section":"Wales","source":"www.bbc.co.uk","abstract":"As Rhondda marks 100 years since the Tonypandy Riots, a book by local historians questions century-old assumptions.","URL":"http://www.bbc.co.uk/news/uk-wales-11655470","language":"en-GB","author":[{"family":"Prior","given":"Neil"}],"issued":{"date-parts":[["2010",11,7]]},"accessed":{"date-parts":[["2018",3,30]]}}}],"schema":"https://github.com/citation-style-language/schema/raw/master/csl-citation.json"} </w:instrText>
      </w:r>
      <w:r>
        <w:fldChar w:fldCharType="separate"/>
      </w:r>
      <w:r w:rsidRPr="00BB6736">
        <w:rPr>
          <w:rFonts w:ascii="Calibri" w:hAnsi="Calibri" w:cs="Calibri"/>
          <w:szCs w:val="24"/>
        </w:rPr>
        <w:t xml:space="preserve">Neil Prior, ‘Rhondda Recalls Tonypandy Riots’, </w:t>
      </w:r>
      <w:r w:rsidRPr="00BB6736">
        <w:rPr>
          <w:rFonts w:ascii="Calibri" w:hAnsi="Calibri" w:cs="Calibri"/>
          <w:i/>
          <w:iCs/>
          <w:szCs w:val="24"/>
        </w:rPr>
        <w:t>BBC News</w:t>
      </w:r>
      <w:r w:rsidRPr="00BB6736">
        <w:rPr>
          <w:rFonts w:ascii="Calibri" w:hAnsi="Calibri" w:cs="Calibri"/>
          <w:szCs w:val="24"/>
        </w:rPr>
        <w:t>, 7 November 2010, section Wales &lt;http://www.bbc.co.uk/news/uk-wales-11655470&gt; [accessed 30 March 2018].</w:t>
      </w:r>
      <w:r>
        <w:fldChar w:fldCharType="end"/>
      </w:r>
    </w:p>
  </w:footnote>
  <w:footnote w:id="10">
    <w:p w14:paraId="707447BD" w14:textId="12FF93CC"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q82c1LHX","properties":{"formattedCitation":"Prior.","plainCitation":"Prior.","noteIndex":9},"citationItems":[{"id":293,"uris":["http://zotero.org/users/local/wNuioCXQ/items/CTXZBB8F"],"uri":["http://zotero.org/users/local/wNuioCXQ/items/CTXZBB8F"],"itemData":{"id":293,"type":"article-newspaper","title":"Rhondda recalls Tonypandy Riots","container-title":"BBC News","section":"Wales","source":"www.bbc.co.uk","abstract":"As Rhondda marks 100 years since the Tonypandy Riots, a book by local historians questions century-old assumptions.","URL":"http://www.bbc.co.uk/news/uk-wales-11655470","language":"en-GB","author":[{"family":"Prior","given":"Neil"}],"issued":{"date-parts":[["2010",11,7]]},"accessed":{"date-parts":[["2018",3,30]]}}}],"schema":"https://github.com/citation-style-language/schema/raw/master/csl-citation.json"} </w:instrText>
      </w:r>
      <w:r>
        <w:fldChar w:fldCharType="separate"/>
      </w:r>
      <w:r w:rsidRPr="007A5709">
        <w:rPr>
          <w:rFonts w:ascii="Calibri" w:hAnsi="Calibri" w:cs="Calibri"/>
        </w:rPr>
        <w:t>Prior.</w:t>
      </w:r>
      <w:r>
        <w:fldChar w:fldCharType="end"/>
      </w:r>
    </w:p>
  </w:footnote>
  <w:footnote w:id="11">
    <w:p w14:paraId="42BC39D4" w14:textId="6173BBF7"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vLMT6Q4y","properties":{"formattedCitation":"Smith.","plainCitation":"Smith.","noteIndex":10},"citationItems":[{"id":282,"uris":["http://zotero.org/users/local/wNuioCXQ/items/287HH96A"],"uri":["http://zotero.org/users/local/wNuioCXQ/items/287HH96A"],"itemData":{"id":282,"type":"article-journal","title":"Tonypandy 1910: Definitions of Community","container-title":"Past &amp; Present","page":"158-184","issue":"87","source":"JSTOR","ISSN":"0031-2746","shortTitle":"Tonypandy 1910","author":[{"family":"Smith","given":"David"}],"issued":{"date-parts":[["1980"]]}}}],"schema":"https://github.com/citation-style-language/schema/raw/master/csl-citation.json"} </w:instrText>
      </w:r>
      <w:r>
        <w:fldChar w:fldCharType="separate"/>
      </w:r>
      <w:r w:rsidRPr="00295BC2">
        <w:rPr>
          <w:rFonts w:ascii="Calibri" w:hAnsi="Calibri" w:cs="Calibri"/>
        </w:rPr>
        <w:t>Smith.</w:t>
      </w:r>
      <w:r>
        <w:fldChar w:fldCharType="end"/>
      </w:r>
    </w:p>
  </w:footnote>
  <w:footnote w:id="12">
    <w:p w14:paraId="70F7D0A9" w14:textId="28FDB719"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5Dmushdv","properties":{"formattedCitation":"Smith.","plainCitation":"Smith.","noteIndex":11},"citationItems":[{"id":282,"uris":["http://zotero.org/users/local/wNuioCXQ/items/287HH96A"],"uri":["http://zotero.org/users/local/wNuioCXQ/items/287HH96A"],"itemData":{"id":282,"type":"article-journal","title":"Tonypandy 1910: Definitions of Community","container-title":"Past &amp; Present","page":"158-184","issue":"87","source":"JSTOR","ISSN":"0031-2746","shortTitle":"Tonypandy 1910","author":[{"family":"Smith","given":"David"}],"issued":{"date-parts":[["1980"]]}}}],"schema":"https://github.com/citation-style-language/schema/raw/master/csl-citation.json"} </w:instrText>
      </w:r>
      <w:r>
        <w:fldChar w:fldCharType="separate"/>
      </w:r>
      <w:r w:rsidRPr="000A6EE4">
        <w:rPr>
          <w:rFonts w:ascii="Calibri" w:hAnsi="Calibri" w:cs="Calibri"/>
        </w:rPr>
        <w:t>Smith.</w:t>
      </w:r>
      <w:r>
        <w:fldChar w:fldCharType="end"/>
      </w:r>
    </w:p>
  </w:footnote>
  <w:footnote w:id="13">
    <w:p w14:paraId="03B2F96C" w14:textId="71B5F8CB"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8TAi4pEb","properties":{"formattedCitation":"Smith.","plainCitation":"Smith.","noteIndex":12},"citationItems":[{"id":282,"uris":["http://zotero.org/users/local/wNuioCXQ/items/287HH96A"],"uri":["http://zotero.org/users/local/wNuioCXQ/items/287HH96A"],"itemData":{"id":282,"type":"article-journal","title":"Tonypandy 1910: Definitions of Community","container-title":"Past &amp; Present","page":"158-184","issue":"87","source":"JSTOR","ISSN":"0031-2746","shortTitle":"Tonypandy 1910","author":[{"family":"Smith","given":"David"}],"issued":{"date-parts":[["1980"]]}}}],"schema":"https://github.com/citation-style-language/schema/raw/master/csl-citation.json"} </w:instrText>
      </w:r>
      <w:r>
        <w:fldChar w:fldCharType="separate"/>
      </w:r>
      <w:r w:rsidRPr="00BB4FF8">
        <w:rPr>
          <w:rFonts w:ascii="Calibri" w:hAnsi="Calibri" w:cs="Calibri"/>
        </w:rPr>
        <w:t>Smith.</w:t>
      </w:r>
      <w:r>
        <w:fldChar w:fldCharType="end"/>
      </w:r>
    </w:p>
  </w:footnote>
  <w:footnote w:id="14">
    <w:p w14:paraId="074DAC5D" w14:textId="2A2E73A8"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{"citationID":"NGMGfP6W","properties":{"formattedCitation":"Michael. Rothberg, {\\i{}Multidirectional Memory Remembering the Holocaust in the Age of Decolonization}, Cultural Memory in the Present (Palo Alto: Stanford University Press, 2009).","plainCitation":"Michael. Rothberg, Multidirectional Memory Remembering the Holocaust in the Age of Decolonization, Cultural Memory in the Present (Palo Alto: Stanford University Press, 2009).","noteIndex":13},"citationItems":[{"id":284,"uris":["http://zotero.org/users/local/wNuioCXQ/items/IS3JL8FX"],"uri":["http://zotero.org/users/local/wNuioCXQ/items/IS3JL8FX"],"itemData":{"id":284,"type":"book","title":"Multidirectional Memory Remembering the Holocaust in the Age of Decolonization","collection-title":"Cultural Memory in the Present","publisher":"Stanford University Press","publisher-place":"Palo Alto","number-of-pages":"405","source":"librarycatalogue.uwtsd.ac.uk","event-place":"Palo Alto","abstract":"Contents; List of Illustrations; Acknowledgments; 1. Introduction: Theorizing Multidirectional Memory in a Transnational Age; Part I: Boomerang Effects: Bare Life, Trauma,and The Colonial Turn in Holocaust Studies; 2. At the Limits of Eurocentrism: Hannah Arendt's The Origins of Totalitarianism; 3. \"Un Choc en Retour\": Aimé Césaire's Discourses on Colonialism and Genocide; Part II: Migrations of Memory: Ruins, Ghettos, Diasporas; 4. W. E. B. Du Bois in Warsaw: Holocaust Memory and the Color Line; 5. A Anachronistic Aesthetics: André Schwarz-Bart and Caryl Phillips on the Ruins of Memory, Part III: Truth, Torture, Testimony: Holocaust Memory During the Algerian War6. The Work of Testimony in the Age of Decolonization: Chronicle of a Summer and the Emergence of the Holocaust Survivor; 7. The Counterpublic Witness: Charlotte Delbo's Les belles lettres; Part IV: October 17, 1961: A Site of Holocaust Memory?; 8. A Tale of Three Ghettos: Race, Gender, and \"Universality\" After October 17, 1961; 9. Hidden Children: The Ethics of Multigenerational Memory After 1961; Epilogue: Multidirectional Memory in an Age of Occupations; Notes; Index, Multidirectional Memory brings together Holocaust studies and postcolonial studies for the first time to put forward a new theory of cultural memory and uncover an unacknowledged tradition of exchange between the legacies of genocide and colonialism.","ISBN":"978-0-8047-6218-2","language":"eng","author":[{"literal":"Michael. Rothberg"}],"issued":{"date-parts":[["2009"]]}}}],"schema":"https://github.com/citation-style-language/schema/raw/master/csl-citation.json"} </w:instrText>
      </w:r>
      <w:r>
        <w:fldChar w:fldCharType="separate"/>
      </w:r>
      <w:r w:rsidRPr="00BB4FF8">
        <w:rPr>
          <w:rFonts w:ascii="Calibri" w:hAnsi="Calibri" w:cs="Calibri"/>
          <w:szCs w:val="24"/>
        </w:rPr>
        <w:t xml:space="preserve">Michael. Rothberg, </w:t>
      </w:r>
      <w:r w:rsidRPr="00BB4FF8">
        <w:rPr>
          <w:rFonts w:ascii="Calibri" w:hAnsi="Calibri" w:cs="Calibri"/>
          <w:i/>
          <w:iCs/>
          <w:szCs w:val="24"/>
        </w:rPr>
        <w:t>Multidirectional Memory Remembering the Holocaust in the Age of Decolonization</w:t>
      </w:r>
      <w:r w:rsidRPr="00BB4FF8">
        <w:rPr>
          <w:rFonts w:ascii="Calibri" w:hAnsi="Calibri" w:cs="Calibri"/>
          <w:szCs w:val="24"/>
        </w:rPr>
        <w:t>, Cultural Memory in the Present (Palo Alto: Stanford University Press, 2009).</w:t>
      </w:r>
      <w:r>
        <w:fldChar w:fldCharType="end"/>
      </w:r>
    </w:p>
  </w:footnote>
  <w:footnote w:id="15">
    <w:p w14:paraId="3C540C7A" w14:textId="49B00492"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{"citationID":"QUlHiK7T","properties":{"formattedCitation":"Michael. Rothberg.","plainCitation":"Michael. Rothberg.","noteIndex":14},"citationItems":[{"id":284,"uris":["http://zotero.org/users/local/wNuioCXQ/items/IS3JL8FX"],"uri":["http://zotero.org/users/local/wNuioCXQ/items/IS3JL8FX"],"itemData":{"id":284,"type":"book","title":"Multidirectional Memory Remembering the Holocaust in the Age of Decolonization","collection-title":"Cultural Memory in the Present","publisher":"Stanford University Press","publisher-place":"Palo Alto","number-of-pages":"405","source":"librarycatalogue.uwtsd.ac.uk","event-place":"Palo Alto","abstract":"Contents; List of Illustrations; Acknowledgments; 1. Introduction: Theorizing Multidirectional Memory in a Transnational Age; Part I: Boomerang Effects: Bare Life, Trauma,and The Colonial Turn in Holocaust Studies; 2. At the Limits of Eurocentrism: Hannah Arendt's The Origins of Totalitarianism; 3. \"Un Choc en Retour\": Aimé Césaire's Discourses on Colonialism and Genocide; Part II: Migrations of Memory: Ruins, Ghettos, Diasporas; 4. W. E. B. Du Bois in Warsaw: Holocaust Memory and the Color Line; 5. A Anachronistic Aesthetics: André Schwarz-Bart and Caryl Phillips on the Ruins of Memory, Part III: Truth, Torture, Testimony: Holocaust Memory During the Algerian War6. The Work of Testimony in the Age of Decolonization: Chronicle of a Summer and the Emergence of the Holocaust Survivor; 7. The Counterpublic Witness: Charlotte Delbo's Les belles lettres; Part IV: October 17, 1961: A Site of Holocaust Memory?; 8. A Tale of Three Ghettos: Race, Gender, and \"Universality\" After October 17, 1961; 9. Hidden Children: The Ethics of Multigenerational Memory After 1961; Epilogue: Multidirectional Memory in an Age of Occupations; Notes; Index, Multidirectional Memory brings together Holocaust studies and postcolonial studies for the first time to put forward a new theory of cultural memory and uncover an unacknowledged tradition of exchange between the legacies of genocide and colonialism.","ISBN":"978-0-8047-6218-2","language":"eng","author":[{"literal":"Michael. Rothberg"}],"issued":{"date-parts":[["2009"]]}}}],"schema":"https://github.com/citation-style-language/schema/raw/master/csl-citation.json"} </w:instrText>
      </w:r>
      <w:r>
        <w:fldChar w:fldCharType="separate"/>
      </w:r>
      <w:r w:rsidRPr="00BB4FF8">
        <w:rPr>
          <w:rFonts w:ascii="Calibri" w:hAnsi="Calibri" w:cs="Calibri"/>
        </w:rPr>
        <w:t>Michael. Rothberg.</w:t>
      </w:r>
      <w:r>
        <w:fldChar w:fldCharType="end"/>
      </w:r>
    </w:p>
  </w:footnote>
  <w:footnote w:id="16">
    <w:p w14:paraId="261C7FC4" w14:textId="786374EC"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{"citationID":"tWgg5m7p","properties":{"formattedCitation":"Jan Assmann and John Czaplicka, \\uc0\\u8216{}Collective Memory and Cultural Identity\\uc0\\u8217{}, {\\i{}New German Critique}, 1995, 125\\uc0\\u8211{}33 &lt;https://doi.org/10.2307/488538&gt;.","plainCitation":"Jan Assmann and John Czaplicka, ‘Collective Memory and Cultural Identity’, New German Critique, 1995, 125–33 &lt;https://doi.org/10.2307/488538&gt;.","noteIndex":15},"citationItems":[{"id":279,"uris":["http://zotero.org/users/local/wNuioCXQ/items/4PDTFNXT"],"uri":["http://zotero.org/users/local/wNuioCXQ/items/4PDTFNXT"],"itemData":{"id":279,"type":"article-journal","title":"Collective Memory and Cultural Identity","container-title":"New German Critique","page":"125-133","issue":"65","source":"JSTOR","DOI":"10.2307/488538","ISSN":"0094-033X","author":[{"family":"Assmann","given":"Jan"},{"family":"Czaplicka","given":"John"}],"issued":{"date-parts":[["1995"]]}}}],"schema":"https://github.com/citation-style-language/schema/raw/master/csl-citation.json"} </w:instrText>
      </w:r>
      <w:r>
        <w:fldChar w:fldCharType="separate"/>
      </w:r>
      <w:r w:rsidRPr="003A4FA8">
        <w:rPr>
          <w:rFonts w:ascii="Calibri" w:hAnsi="Calibri" w:cs="Calibri"/>
          <w:szCs w:val="24"/>
        </w:rPr>
        <w:t xml:space="preserve">Jan Assmann and John Czaplicka, ‘Collective Memory and Cultural Identity’, </w:t>
      </w:r>
      <w:r w:rsidRPr="003A4FA8">
        <w:rPr>
          <w:rFonts w:ascii="Calibri" w:hAnsi="Calibri" w:cs="Calibri"/>
          <w:i/>
          <w:iCs/>
          <w:szCs w:val="24"/>
        </w:rPr>
        <w:t>New German Critique</w:t>
      </w:r>
      <w:r w:rsidRPr="003A4FA8">
        <w:rPr>
          <w:rFonts w:ascii="Calibri" w:hAnsi="Calibri" w:cs="Calibri"/>
          <w:szCs w:val="24"/>
        </w:rPr>
        <w:t>, 1995, 125–33 &lt;https://doi.org/10.2307/488538&gt;.</w:t>
      </w:r>
      <w:r>
        <w:fldChar w:fldCharType="end"/>
      </w:r>
      <w:r>
        <w:t xml:space="preserve"> 125</w:t>
      </w:r>
    </w:p>
  </w:footnote>
  <w:footnote w:id="17">
    <w:p w14:paraId="5353BFFB" w14:textId="5E89BCFD"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{"citationID":"OKyFyjpB","properties":{"formattedCitation":"Assmann and Czaplicka.","plainCitation":"Assmann and Czaplicka.","noteIndex":16},"citationItems":[{"id":279,"uris":["http://zotero.org/users/local/wNuioCXQ/items/4PDTFNXT"],"uri":["http://zotero.org/users/local/wNuioCXQ/items/4PDTFNXT"],"itemData":{"id":279,"type":"article-journal","title":"Collective Memory and Cultural Identity","container-title":"New German Critique","page":"125-133","issue":"65","source":"JSTOR","DOI":"10.2307/488538","ISSN":"0094-033X","author":[{"family":"Assmann","given":"Jan"},{"family":"Czaplicka","given":"John"}],"issued":{"date-parts":[["1995"]]}}}],"schema":"https://github.com/citation-style-language/schema/raw/master/csl-citation.json"} </w:instrText>
      </w:r>
      <w:r>
        <w:fldChar w:fldCharType="separate"/>
      </w:r>
      <w:r w:rsidRPr="0040282C">
        <w:rPr>
          <w:rFonts w:ascii="Calibri" w:hAnsi="Calibri" w:cs="Calibri"/>
        </w:rPr>
        <w:t>Assmann and Czaplicka.</w:t>
      </w:r>
      <w:r>
        <w:fldChar w:fldCharType="end"/>
      </w:r>
      <w:r>
        <w:t>126</w:t>
      </w:r>
    </w:p>
  </w:footnote>
  <w:footnote w:id="18">
    <w:p w14:paraId="229BA1C6" w14:textId="753CD161"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{"citationID":"9QX477mj","properties":{"formattedCitation":"Assmann and Czaplicka.","plainCitation":"Assmann and Czaplicka.","noteIndex":17},"citationItems":[{"id":279,"uris":["http://zotero.org/users/local/wNuioCXQ/items/4PDTFNXT"],"uri":["http://zotero.org/users/local/wNuioCXQ/items/4PDTFNXT"],"itemData":{"id":279,"type":"article-journal","title":"Collective Memory and Cultural Identity","container-title":"New German Critique","page":"125-133","issue":"65","source":"JSTOR","DOI":"10.2307/488538","ISSN":"0094-033X","author":[{"family":"Assmann","given":"Jan"},{"family":"Czaplicka","given":"John"}],"issued":{"date-parts":[["1995"]]}}}],"schema":"https://github.com/citation-style-language/schema/raw/master/csl-citation.json"} </w:instrText>
      </w:r>
      <w:r>
        <w:fldChar w:fldCharType="separate"/>
      </w:r>
      <w:r w:rsidRPr="0040282C">
        <w:rPr>
          <w:rFonts w:ascii="Calibri" w:hAnsi="Calibri" w:cs="Calibri"/>
        </w:rPr>
        <w:t>Assmann and Czaplicka.</w:t>
      </w:r>
      <w:r>
        <w:fldChar w:fldCharType="end"/>
      </w:r>
      <w:r>
        <w:t>125</w:t>
      </w:r>
    </w:p>
  </w:footnote>
  <w:footnote w:id="19">
    <w:p w14:paraId="7003C9AD" w14:textId="442F1D38"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{"citationID":"gd2rWb6y","properties":{"formattedCitation":"Stephen Reicher and others, \\uc0\\u8216{}An Integrated Approach to Crowd Psychology and Public Order Policing\\uc0\\u8217{}, {\\i{}Policing; Bradford}, 27.4 (2004), 558\\uc0\\u8211{}72.","plainCitation":"Stephen Reicher and others, ‘An Integrated Approach to Crowd Psychology and Public Order Policing’, Policing; Bradford, 27.4 (2004), 558–72.","noteIndex":18},"citationItems":[{"id":291,"uris":["http://zotero.org/users/local/wNuioCXQ/items/3AZMFK38"],"uri":["http://zotero.org/users/local/wNuioCXQ/items/3AZMFK38"],"itemData":{"id":291,"type":"article-journal","title":"An integrated approach to crowd psychology and public order policing","container-title":"Policing; Bradford","page":"558-572","volume":"27","issue":"4","source":"ProQuest","ISSN":"1363951X","language":"English","author":[{"family":"Reicher","given":"Stephen"},{"family":"Stott","given":"Clifford"},{"family":"Cronin","given":"Patrick"},{"family":"Adang","given":"Otto"}],"issued":{"date-parts":[["2004"]]}}}],"schema":"https://github.com/citation-style-language/schema/raw/master/csl-citation.json"} </w:instrText>
      </w:r>
      <w:r>
        <w:fldChar w:fldCharType="separate"/>
      </w:r>
      <w:r w:rsidRPr="00287E4D">
        <w:rPr>
          <w:rFonts w:ascii="Calibri" w:hAnsi="Calibri" w:cs="Calibri"/>
          <w:szCs w:val="24"/>
        </w:rPr>
        <w:t xml:space="preserve">Stephen Reicher and others, ‘An Integrated Approach to Crowd Psychology and Public Order Policing’, </w:t>
      </w:r>
      <w:r w:rsidRPr="00287E4D">
        <w:rPr>
          <w:rFonts w:ascii="Calibri" w:hAnsi="Calibri" w:cs="Calibri"/>
          <w:i/>
          <w:iCs/>
          <w:szCs w:val="24"/>
        </w:rPr>
        <w:t>Policing; Bradford</w:t>
      </w:r>
      <w:r w:rsidRPr="00287E4D">
        <w:rPr>
          <w:rFonts w:ascii="Calibri" w:hAnsi="Calibri" w:cs="Calibri"/>
          <w:szCs w:val="24"/>
        </w:rPr>
        <w:t>, 27.4 (2004), 558–72.</w:t>
      </w:r>
      <w:r>
        <w:fldChar w:fldCharType="end"/>
      </w:r>
      <w:r>
        <w:t xml:space="preserve"> P.560</w:t>
      </w:r>
    </w:p>
  </w:footnote>
  <w:footnote w:id="20">
    <w:p w14:paraId="35DCD84E" w14:textId="6B2852F3"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{"citationID":"cgdB6RKv","properties":{"formattedCitation":"Reicher and others.","plainCitation":"Reicher and others.","noteIndex":19},"citationItems":[{"id":291,"uris":["http://zotero.org/users/local/wNuioCXQ/items/3AZMFK38"],"uri":["http://zotero.org/users/local/wNuioCXQ/items/3AZMFK38"],"itemData":{"id":291,"type":"article-journal","title":"An integrated approach to crowd psychology and public order policing","container-title":"Policing; Bradford","page":"558-572","volume":"27","issue":"4","source":"ProQuest","ISSN":"1363951X","language":"English","author":[{"family":"Reicher","given":"Stephen"},{"family":"Stott","given":"Clifford"},{"family":"Cronin","given":"Patrick"},{"family":"Adang","given":"Otto"}],"issued":{"date-parts":[["2004"]]}}}],"schema":"https://github.com/citation-style-language/schema/raw/master/csl-citation.json"} </w:instrText>
      </w:r>
      <w:r>
        <w:fldChar w:fldCharType="separate"/>
      </w:r>
      <w:r w:rsidRPr="00402F12">
        <w:rPr>
          <w:rFonts w:ascii="Calibri" w:hAnsi="Calibri" w:cs="Calibri"/>
        </w:rPr>
        <w:t>Reicher and others.</w:t>
      </w:r>
      <w:r>
        <w:fldChar w:fldCharType="end"/>
      </w:r>
      <w:r>
        <w:t>p560</w:t>
      </w:r>
    </w:p>
  </w:footnote>
  <w:footnote w:id="21">
    <w:p w14:paraId="47213231" w14:textId="1DA4EC2C"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{"citationID":"H5cmeSwF","properties":{"formattedCitation":"Reicher and others.","plainCitation":"Reicher and others.","noteIndex":20},"citationItems":[{"id":291,"uris":["http://zotero.org/users/local/wNuioCXQ/items/3AZMFK38"],"uri":["http://zotero.org/users/local/wNuioCXQ/items/3AZMFK38"],"itemData":{"id":291,"type":"article-journal","title":"An integrated approach to crowd psychology and public order policing","container-title":"Policing; Bradford","page":"558-572","volume":"27","issue":"4","source":"ProQuest","ISSN":"1363951X","language":"English","author":[{"family":"Reicher","given":"Stephen"},{"family":"Stott","given":"Clifford"},{"family":"Cronin","given":"Patrick"},{"family":"Adang","given":"Otto"}],"issued":{"date-parts":[["2004"]]}}}],"schema":"https://github.com/citation-style-language/schema/raw/master/csl-citation.json"} </w:instrText>
      </w:r>
      <w:r>
        <w:fldChar w:fldCharType="separate"/>
      </w:r>
      <w:r w:rsidRPr="00C83B06">
        <w:rPr>
          <w:rFonts w:ascii="Calibri" w:hAnsi="Calibri" w:cs="Calibri"/>
        </w:rPr>
        <w:t>Reicher and others.</w:t>
      </w:r>
      <w:r>
        <w:fldChar w:fldCharType="end"/>
      </w:r>
      <w:r>
        <w:t>p.561</w:t>
      </w:r>
    </w:p>
  </w:footnote>
  <w:footnote w:id="22">
    <w:p w14:paraId="2826D213" w14:textId="77777777" w:rsidR="00CC14F0" w:rsidRDefault="00CC14F0" w:rsidP="00CC14F0">
      <w:pPr>
        <w:pStyle w:val="FootnoteText"/>
      </w:pPr>
      <w:r w:rsidRPr="00B43DBD">
        <w:rPr>
          <w:rStyle w:val="FootnoteReference"/>
        </w:rPr>
        <w:footnoteRef/>
      </w:r>
      <w:r>
        <w:t xml:space="preserve"> </w:t>
      </w:r>
      <w:r>
        <w:fldChar w:fldCharType="begin"/>
      </w:r>
      <w:r>
        <w:instrText xml:space="preserve"> ADDIN ZOTERO_ITEM CSL_CITATION {"citationID":"YITnuhap","properties":{"formattedCitation":"Reicher and others.","plainCitation":"Reicher and others.","noteIndex":21},"citationItems":[{"id":291,"uris":["http://zotero.org/users/local/wNuioCXQ/items/3AZMFK38"],"uri":["http://zotero.org/users/local/wNuioCXQ/items/3AZMFK38"],"itemData":{"id":291,"type":"article-journal","title":"An integrated approach to crowd psychology and public order policing","container-title":"Policing; Bradford","page":"558-572","volume":"27","issue":"4","source":"ProQuest","ISSN":"1363951X","language":"English","author":[{"family":"Reicher","given":"Stephen"},{"family":"Stott","given":"Clifford"},{"family":"Cronin","given":"Patrick"},{"family":"Adang","given":"Otto"}],"issued":{"date-parts":[["2004"]]}}}],"schema":"https://github.com/citation-style-language/schema/raw/master/csl-citation.json"} </w:instrText>
      </w:r>
      <w:r>
        <w:fldChar w:fldCharType="separate"/>
      </w:r>
      <w:r w:rsidRPr="00FD39B5">
        <w:rPr>
          <w:rFonts w:ascii="Calibri" w:hAnsi="Calibri" w:cs="Calibri"/>
        </w:rPr>
        <w:t>Reicher and others.</w:t>
      </w:r>
      <w:r>
        <w:fldChar w:fldCharType="end"/>
      </w:r>
      <w:r>
        <w:t>p.570</w:t>
      </w:r>
    </w:p>
  </w:footnote>
  <w:footnote w:id="23">
    <w:p w14:paraId="423708C6" w14:textId="1490BDF6"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{"citationID":"wzYmxf0F","properties":{"formattedCitation":"Susannah Radstone and Bill Schwartz, {\\i{}Memory: Histories, Theories, Debates} (Ashland, Ohio\\uc0\\u8239{}: London, New York: Fordham University Press\\uc0\\u8239{}; Eurospan distributor, Fordham University Press, 2010).","plainCitation":"Susannah Radstone and Bill Schwartz, Memory: Histories, Theories, Debates (Ashland, Ohio : London, New York: Fordham University Press ; Eurospan distributor, Fordham University Press, 2010).","noteIndex":22},"citationItems":[{"id":285,"uris":["http://zotero.org/users/local/wNuioCXQ/items/3RATYSKR"],"uri":["http://zotero.org/users/local/wNuioCXQ/items/3RATYSKR"],"itemData":{"id":285,"type":"book","title":"Memory: histories, theories, debates","publisher":"Fordham University Press ; Eurospan distributor, Fordham University Press","publisher-place":"Ashland, Ohio : London, New York","number-of-pages":"561","source":"librarycatalogue.uwtsd.ac.uk","event-place":"Ashland, Ohio : London, New York","abstract":"These essays survey the histories, the theories and the fault lines that compose the field of memory research. Drawing on the advances in the sciences and in the humanities, they address the question of how memory works, highlighting transactions between the interiority of subjective memory and the larger fields of public or collective memory.","ISBN":"978-0-8232-3260-4","call-number":"153.12 MEM","shortTitle":"Memory","language":"eng","author":[{"family":"Radstone","given":"Susannah"},{"family":"Schwartz","given":"Bill"}],"issued":{"date-parts":[["2010"]]}}}],"schema":"https://github.com/citation-style-language/schema/raw/master/csl-citation.json"} </w:instrText>
      </w:r>
      <w:r>
        <w:fldChar w:fldCharType="separate"/>
      </w:r>
      <w:r w:rsidRPr="00E84157">
        <w:rPr>
          <w:rFonts w:ascii="Calibri" w:hAnsi="Calibri" w:cs="Calibri"/>
          <w:szCs w:val="24"/>
        </w:rPr>
        <w:t xml:space="preserve">Susannah Radstone and Bill Schwartz, </w:t>
      </w:r>
      <w:r w:rsidRPr="00E84157">
        <w:rPr>
          <w:rFonts w:ascii="Calibri" w:hAnsi="Calibri" w:cs="Calibri"/>
          <w:i/>
          <w:iCs/>
          <w:szCs w:val="24"/>
        </w:rPr>
        <w:t>Memory: Histories, Theories, Debates</w:t>
      </w:r>
      <w:r w:rsidRPr="00E84157">
        <w:rPr>
          <w:rFonts w:ascii="Calibri" w:hAnsi="Calibri" w:cs="Calibri"/>
          <w:szCs w:val="24"/>
        </w:rPr>
        <w:t xml:space="preserve"> (Ashland, Ohio : London, New York: Fordham University Press ; Eurospan distributor, Fordham University Press, 2010).</w:t>
      </w:r>
      <w:r>
        <w:fldChar w:fldCharType="end"/>
      </w:r>
      <w:r>
        <w:t>p.77</w:t>
      </w:r>
    </w:p>
  </w:footnote>
  <w:footnote w:id="24">
    <w:p w14:paraId="4F5F64C8" w14:textId="7C685D4A"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{"citationID":"JMM8uNRq","properties":{"formattedCitation":"Radstone and Schwartz.","plainCitation":"Radstone and Schwartz.","noteIndex":23},"citationItems":[{"id":285,"uris":["http://zotero.org/users/local/wNuioCXQ/items/3RATYSKR"],"uri":["http://zotero.org/users/local/wNuioCXQ/items/3RATYSKR"],"itemData":{"id":285,"type":"book","title":"Memory: histories, theories, debates","publisher":"Fordham University Press ; Eurospan distributor, Fordham University Press","publisher-place":"Ashland, Ohio : London, New York","number-of-pages":"561","source":"librarycatalogue.uwtsd.ac.uk","event-place":"Ashland, Ohio : London, New York","abstract":"These essays survey the histories, the theories and the fault lines that compose the field of memory research. Drawing on the advances in the sciences and in the humanities, they address the question of how memory works, highlighting transactions between the interiority of subjective memory and the larger fields of public or collective memory.","ISBN":"978-0-8232-3260-4","call-number":"153.12 MEM","shortTitle":"Memory","language":"eng","author":[{"family":"Radstone","given":"Susannah"},{"family":"Schwartz","given":"Bill"}],"issued":{"date-parts":[["2010"]]}}}],"schema":"https://github.com/citation-style-language/schema/raw/master/csl-citation.json"} </w:instrText>
      </w:r>
      <w:r>
        <w:fldChar w:fldCharType="separate"/>
      </w:r>
      <w:r w:rsidRPr="008E2539">
        <w:rPr>
          <w:rFonts w:ascii="Calibri" w:hAnsi="Calibri" w:cs="Calibri"/>
        </w:rPr>
        <w:t>Radstone and Schwartz.</w:t>
      </w:r>
      <w:r>
        <w:fldChar w:fldCharType="end"/>
      </w:r>
    </w:p>
  </w:footnote>
  <w:footnote w:id="25">
    <w:p w14:paraId="02250DA5" w14:textId="51098752"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{"citationID":"qcv6Zpgj","properties":{"formattedCitation":"Assmann and Czaplicka.","plainCitation":"Assmann and Czaplicka.","noteIndex":24},"citationItems":[{"id":279,"uris":["http://zotero.org/users/local/wNuioCXQ/items/4PDTFNXT"],"uri":["http://zotero.org/users/local/wNuioCXQ/items/4PDTFNXT"],"itemData":{"id":279,"type":"article-journal","title":"Collective Memory and Cultural Identity","container-title":"New German Critique","page":"125-133","issue":"65","source":"JSTOR","DOI":"10.2307/488538","ISSN":"0094-033X","author":[{"family":"Assmann","given":"Jan"},{"family":"Czaplicka","given":"John"}],"issued":{"date-parts":[["1995"]]}}}],"schema":"https://github.com/citation-style-language/schema/raw/master/csl-citation.json"} </w:instrText>
      </w:r>
      <w:r>
        <w:fldChar w:fldCharType="separate"/>
      </w:r>
      <w:r w:rsidRPr="00003A67">
        <w:rPr>
          <w:rFonts w:ascii="Calibri" w:hAnsi="Calibri" w:cs="Calibri"/>
        </w:rPr>
        <w:t>Assmann and Czaplicka.</w:t>
      </w:r>
      <w:r>
        <w:fldChar w:fldCharType="end"/>
      </w:r>
    </w:p>
  </w:footnote>
  <w:footnote w:id="26">
    <w:p w14:paraId="30DD0742" w14:textId="09010DEA"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{"citationID":"m20MinxZ","properties":{"formattedCitation":"Radstone and Schwartz.","plainCitation":"Radstone and Schwartz.","noteIndex":25},"citationItems":[{"id":285,"uris":["http://zotero.org/users/local/wNuioCXQ/items/3RATYSKR"],"uri":["http://zotero.org/users/local/wNuioCXQ/items/3RATYSKR"],"itemData":{"id":285,"type":"book","title":"Memory: histories, theories, debates","publisher":"Fordham University Press ; Eurospan distributor, Fordham University Press","publisher-place":"Ashland, Ohio : London, New York","number-of-pages":"561","source":"librarycatalogue.uwtsd.ac.uk","event-place":"Ashland, Ohio : London, New York","abstract":"These essays survey the histories, the theories and the fault lines that compose the field of memory research. Drawing on the advances in the sciences and in the humanities, they address the question of how memory works, highlighting transactions between the interiority of subjective memory and the larger fields of public or collective memory.","ISBN":"978-0-8232-3260-4","call-number":"153.12 MEM","shortTitle":"Memory","language":"eng","author":[{"family":"Radstone","given":"Susannah"},{"family":"Schwartz","given":"Bill"}],"issued":{"date-parts":[["2010"]]}}}],"schema":"https://github.com/citation-style-language/schema/raw/master/csl-citation.json"} </w:instrText>
      </w:r>
      <w:r>
        <w:fldChar w:fldCharType="separate"/>
      </w:r>
      <w:r w:rsidRPr="008A140D">
        <w:rPr>
          <w:rFonts w:ascii="Calibri" w:hAnsi="Calibri" w:cs="Calibri"/>
        </w:rPr>
        <w:t>Radstone and Schwartz.</w:t>
      </w:r>
      <w:r>
        <w:fldChar w:fldCharType="end"/>
      </w:r>
    </w:p>
  </w:footnote>
  <w:footnote w:id="27">
    <w:p w14:paraId="68F66198" w14:textId="1CCE4E6B"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{"citationID":"ftH4Xv4c","properties":{"formattedCitation":"Helen B. McCartney, \\uc0\\u8216{}The First World War Soldier and His Contemporary Image in Britain\\uc0\\u8217{}, {\\i{}International Affairs}, 90.2 (2014), 299\\uc0\\u8211{}315 &lt;https://doi.org/10.1111/1468-2346.12110&gt;.","plainCitation":"Helen B. McCartney, ‘The First World War Soldier and His Contemporary Image in Britain’, International Affairs, 90.2 (2014), 299–315 &lt;https://doi.org/10.1111/1468-2346.12110&gt;.","noteIndex":26},"citationItems":[{"id":2,"uris":["http://zotero.org/users/local/wNuioCXQ/items/LSEB2J8W"],"uri":["http://zotero.org/users/local/wNuioCXQ/items/LSEB2J8W"],"itemData":{"id":2,"type":"article-journal","title":"The First World War soldier and his contemporary image in Britain","container-title":"International Affairs","page":"299-315","volume":"90","issue":"2","source":"Wiley Online Library","abstract":"The image of the First World War soldier as a cowed victim, caught in the grip of a meaningless, industrialized war, is one that has become entrenched in the British popular imagination. It was not, however, the image that dominated public discussion of the soldier between 1914 and 1918. This article seeks to examine how the portrayal of the soldier changed during and after the First World War and proposes that the victimized soldier motif has been reinforced today by the coalescence of three trends. The first is the growth of the family history industry that encourages an individualized and empathetic approach to the First World War. The second trend is concerned with an increasing public interest in psychological reactions to war. Since the Vietnam War, there has been a growing expectation that soldiers will be psychologically damaged by wartime experience. This has influenced the public perception of the First World War soldier, affecting, in particular, the discussion surrounding those executed for military crimes during the conflict. Finally, the article argues that long-term changes in British attitudes to the use of force, coupled with the experience of recent conflicts in Iraq and Afghanistan, have also coloured the way in which the First World War is portrayed. A range of interest groups have cast the contemporary British soldier as a victim in recent years and the article argues that the explicit linking of operations in Afghanistan and Iraq with the First World War has reinforced this victim image for each conflict.","DOI":"10.1111/1468-2346.12110","ISSN":"1468-2346","journalAbbreviation":"International Affairs","language":"en","author":[{"family":"McCartney","given":"Helen B."}],"issued":{"date-parts":[["2014",3,1]]}}}],"schema":"https://github.com/citation-style-language/schema/raw/master/csl-citation.json"} </w:instrText>
      </w:r>
      <w:r>
        <w:fldChar w:fldCharType="separate"/>
      </w:r>
      <w:r w:rsidRPr="00A7068C">
        <w:rPr>
          <w:rFonts w:ascii="Calibri" w:hAnsi="Calibri" w:cs="Calibri"/>
          <w:szCs w:val="24"/>
        </w:rPr>
        <w:t xml:space="preserve">Helen B. McCartney, ‘The First World War Soldier and His Contemporary Image in Britain’, </w:t>
      </w:r>
      <w:r w:rsidRPr="00A7068C">
        <w:rPr>
          <w:rFonts w:ascii="Calibri" w:hAnsi="Calibri" w:cs="Calibri"/>
          <w:i/>
          <w:iCs/>
          <w:szCs w:val="24"/>
        </w:rPr>
        <w:t>International Affairs</w:t>
      </w:r>
      <w:r w:rsidRPr="00A7068C">
        <w:rPr>
          <w:rFonts w:ascii="Calibri" w:hAnsi="Calibri" w:cs="Calibri"/>
          <w:szCs w:val="24"/>
        </w:rPr>
        <w:t>, 90.2 (2014), 299–315 &lt;https://doi.org/10.1111/1468-2346.12110&gt;.</w:t>
      </w:r>
      <w:r>
        <w:fldChar w:fldCharType="end"/>
      </w:r>
      <w:r>
        <w:t xml:space="preserve"> p.301</w:t>
      </w:r>
    </w:p>
  </w:footnote>
  <w:footnote w:id="28">
    <w:p w14:paraId="6ED326AB" w14:textId="714759A8"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uM7CiH4C","properties":{"formattedCitation":"McCartney.","plainCitation":"McCartney.","noteIndex":27},"citationItems":[{"id":2,"uris":["http://zotero.org/users/local/wNuioCXQ/items/LSEB2J8W"],"uri":["http://zotero.org/users/local/wNuioCXQ/items/LSEB2J8W"],"itemData":{"id":2,"type":"article-journal","title":"The First World War soldier and his contemporary image in Britain","container-title":"International Affairs","page":"299-315","volume":"90","issue":"2","source":"Wiley Online Library","abstract":"The image of the First World War soldier as a cowed victim, caught in the grip of a meaningless, industrialized war, is one that has become entrenched in the British popular imagination. It was not, however, the image that dominated public discussion of the soldier between 1914 and 1918. This article seeks to examine how the portrayal of the soldier changed during and after the First World War and proposes that the victimized soldier motif has been reinforced today by the coalescence of three trends. The first is the growth of the family history industry that encourages an individualized and empathetic approach to the First World War. The second trend is concerned with an increasing public interest in psychological reactions to war. Since the Vietnam War, there has been a growing expectation that soldiers will be psychologically damaged by wartime experience. This has influenced the public perception of the First World War soldier, affecting, in particular, the discussion surrounding those executed for military crimes during the conflict. Finally, the article argues that long-term changes in British attitudes to the use of force, coupled with the experience of recent conflicts in Iraq and Afghanistan, have also coloured the way in which the First World War is portrayed. A range of interest groups have cast the contemporary British soldier as a victim in recent years and the article argues that the explicit linking of operations in Afghanistan and Iraq with the First World War has reinforced this victim image for each conflict.","DOI":"10.1111/1468-2346.12110","ISSN":"1468-2346","journalAbbreviation":"International Affairs","language":"en","author":[{"family":"McCartney","given":"Helen B."}],"issued":{"date-parts":[["2014",3,1]]}}}],"schema":"https://github.com/citation-style-language/schema/raw/master/csl-citation.json"} </w:instrText>
      </w:r>
      <w:r>
        <w:fldChar w:fldCharType="separate"/>
      </w:r>
      <w:r w:rsidRPr="006B15AB">
        <w:rPr>
          <w:rFonts w:ascii="Calibri" w:hAnsi="Calibri" w:cs="Calibri"/>
        </w:rPr>
        <w:t>McCartney.</w:t>
      </w:r>
      <w:r>
        <w:fldChar w:fldCharType="end"/>
      </w:r>
    </w:p>
  </w:footnote>
  <w:footnote w:id="29">
    <w:p w14:paraId="65983530" w14:textId="7C912AD6"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{"citationID":"wp8SGEYt","properties":{"formattedCitation":"H. V. Bowen, {\\i{}A New History of Wales} (Llandysul: Gomer, 2011).","plainCitation":"H. V. Bowen, A New History of Wales (Llandysul: Gomer, 2011).","noteIndex":28},"citationItems":[{"id":286,"uris":["http://zotero.org/users/local/wNuioCXQ/items/LHRBIXAU"],"uri":["http://zotero.org/users/local/wNuioCXQ/items/LHRBIXAU"],"itemData":{"id":286,"type":"book","title":"A new history of Wales","publisher":"Gomer","publisher-place":"Llandysul","number-of-pages":"198","source":"librarycatalogue.uwtsd.ac.uk","event-place":"Llandysul","abstract":"'A New History of Wales' rips up some of the stereotypes of Welsh history. A collection of 25 accessible and entertaining essays, by some of Wales' leading historians tackle the commonly accepted realities of Welsh history and debunks them as myths.","ISBN":"978-1-84851-385-3","call-number":"942.9 NEW","language":"eng","author":[{"family":"Bowen","given":"H. V."}],"issued":{"date-parts":[["2011"]]}}}],"schema":"https://github.com/citation-style-language/schema/raw/master/csl-citation.json"} </w:instrText>
      </w:r>
      <w:r>
        <w:fldChar w:fldCharType="separate"/>
      </w:r>
      <w:r w:rsidRPr="001B58FF">
        <w:rPr>
          <w:rFonts w:ascii="Calibri" w:hAnsi="Calibri" w:cs="Calibri"/>
          <w:szCs w:val="24"/>
        </w:rPr>
        <w:t xml:space="preserve">H. V. Bowen, </w:t>
      </w:r>
      <w:r w:rsidRPr="001B58FF">
        <w:rPr>
          <w:rFonts w:ascii="Calibri" w:hAnsi="Calibri" w:cs="Calibri"/>
          <w:i/>
          <w:iCs/>
          <w:szCs w:val="24"/>
        </w:rPr>
        <w:t>A New History of Wales</w:t>
      </w:r>
      <w:r w:rsidRPr="001B58FF">
        <w:rPr>
          <w:rFonts w:ascii="Calibri" w:hAnsi="Calibri" w:cs="Calibri"/>
          <w:szCs w:val="24"/>
        </w:rPr>
        <w:t xml:space="preserve"> (Llandysul: Gomer, 2011).</w:t>
      </w:r>
      <w:r>
        <w:fldChar w:fldCharType="end"/>
      </w:r>
      <w:r>
        <w:t>149</w:t>
      </w:r>
    </w:p>
  </w:footnote>
  <w:footnote w:id="30">
    <w:p w14:paraId="6FC9AD64" w14:textId="0AA61EC6"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ncRmJ7Q8","properties":{"formattedCitation":"Bowen.","plainCitation":"Bowen.","noteIndex":29},"citationItems":[{"id":286,"uris":["http://zotero.org/users/local/wNuioCXQ/items/LHRBIXAU"],"uri":["http://zotero.org/users/local/wNuioCXQ/items/LHRBIXAU"],"itemData":{"id":286,"type":"book","title":"A new history of Wales","publisher":"Gomer","publisher-place":"Llandysul","number-of-pages":"198","source":"librarycatalogue.uwtsd.ac.uk","event-place":"Llandysul","abstract":"'A New History of Wales' rips up some of the stereotypes of Welsh history. A collection of 25 accessible and entertaining essays, by some of Wales' leading historians tackle the commonly accepted realities of Welsh history and debunks them as myths.","ISBN":"978-1-84851-385-3","call-number":"942.9 NEW","language":"eng","author":[{"family":"Bowen","given":"H. V."}],"issued":{"date-parts":[["2011"]]}}}],"schema":"https://github.com/citation-style-language/schema/raw/master/csl-citation.json"} </w:instrText>
      </w:r>
      <w:r>
        <w:fldChar w:fldCharType="separate"/>
      </w:r>
      <w:r w:rsidRPr="00F01857">
        <w:rPr>
          <w:rFonts w:ascii="Calibri" w:hAnsi="Calibri" w:cs="Calibri"/>
        </w:rPr>
        <w:t>Bowen.</w:t>
      </w:r>
      <w:r>
        <w:fldChar w:fldCharType="end"/>
      </w:r>
      <w:r>
        <w:t>149</w:t>
      </w:r>
    </w:p>
  </w:footnote>
  <w:footnote w:id="31">
    <w:p w14:paraId="568993ED" w14:textId="14F6904A"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NqTuP3lu","properties":{"formattedCitation":"Bowen.","plainCitation":"Bowen.","noteIndex":30},"citationItems":[{"id":286,"uris":["http://zotero.org/users/local/wNuioCXQ/items/LHRBIXAU"],"uri":["http://zotero.org/users/local/wNuioCXQ/items/LHRBIXAU"],"itemData":{"id":286,"type":"book","title":"A new history of Wales","publisher":"Gomer","publisher-place":"Llandysul","number-of-pages":"198","source":"librarycatalogue.uwtsd.ac.uk","event-place":"Llandysul","abstract":"'A New History of Wales' rips up some of the stereotypes of Welsh history. A collection of 25 accessible and entertaining essays, by some of Wales' leading historians tackle the commonly accepted realities of Welsh history and debunks them as myths.","ISBN":"978-1-84851-385-3","call-number":"942.9 NEW","language":"eng","author":[{"family":"Bowen","given":"H. V."}],"issued":{"date-parts":[["2011"]]}}}],"schema":"https://github.com/citation-style-language/schema/raw/master/csl-citation.json"} </w:instrText>
      </w:r>
      <w:r>
        <w:fldChar w:fldCharType="separate"/>
      </w:r>
      <w:r w:rsidRPr="00925F08">
        <w:rPr>
          <w:rFonts w:ascii="Calibri" w:hAnsi="Calibri" w:cs="Calibri"/>
        </w:rPr>
        <w:t>Bowen.</w:t>
      </w:r>
      <w:r>
        <w:fldChar w:fldCharType="end"/>
      </w:r>
      <w:r>
        <w:t>149</w:t>
      </w:r>
    </w:p>
  </w:footnote>
  <w:footnote w:id="32">
    <w:p w14:paraId="3D7B8E37" w14:textId="355D2528"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{"citationID":"wSregGlD","properties":{"formattedCitation":"Hayden White, {\\i{}The Content of the Form: Narrative Discourse and Historical Representation} (Maryland: The John Hopkins University Press, 1990).","plainCitation":"Hayden White, The Content of the Form: Narrative Discourse and Historical Representation (Maryland: The John Hopkins University Press, 1990).","noteIndex":31},"citationItems":[{"id":9,"uris":["http://zotero.org/users/local/wNuioCXQ/items/SEQC2ZL8"],"uri":["http://zotero.org/users/local/wNuioCXQ/items/SEQC2ZL8"],"itemData":{"id":9,"type":"book","title":"The Content of the Form: Narrative Discourse and Historical Representation","publisher":"The John Hopkins University Press","publisher-place":"Maryland","event-place":"Maryland","author":[{"family":"White","given":"Hayden"}],"issued":{"date-parts":[["1990"]]}}}],"schema":"https://github.com/citation-style-language/schema/raw/master/csl-citation.json"} </w:instrText>
      </w:r>
      <w:r>
        <w:fldChar w:fldCharType="separate"/>
      </w:r>
      <w:r w:rsidRPr="00734B00">
        <w:rPr>
          <w:rFonts w:ascii="Calibri" w:hAnsi="Calibri" w:cs="Calibri"/>
          <w:szCs w:val="24"/>
        </w:rPr>
        <w:t xml:space="preserve">Hayden White, </w:t>
      </w:r>
      <w:r w:rsidRPr="00734B00">
        <w:rPr>
          <w:rFonts w:ascii="Calibri" w:hAnsi="Calibri" w:cs="Calibri"/>
          <w:i/>
          <w:iCs/>
          <w:szCs w:val="24"/>
        </w:rPr>
        <w:t>The Content of the Form: Narrative Discourse and Historical Representation</w:t>
      </w:r>
      <w:r w:rsidRPr="00734B00">
        <w:rPr>
          <w:rFonts w:ascii="Calibri" w:hAnsi="Calibri" w:cs="Calibri"/>
          <w:szCs w:val="24"/>
        </w:rPr>
        <w:t xml:space="preserve"> (Maryland: The John Hopkins University Press, 1990).</w:t>
      </w:r>
      <w:r>
        <w:fldChar w:fldCharType="end"/>
      </w:r>
      <w:r>
        <w:t>p.10</w:t>
      </w:r>
    </w:p>
  </w:footnote>
  <w:footnote w:id="33">
    <w:p w14:paraId="6CCA2504" w14:textId="2171DD11"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{"citationID":"eI8O5LxI","properties":{"formattedCitation":"Assmann and Czaplicka.","plainCitation":"Assmann and Czaplicka.","noteIndex":31},"citationItems":[{"id":279,"uris":["http://zotero.org/users/local/wNuioCXQ/items/4PDTFNXT"],"uri":["http://zotero.org/users/local/wNuioCXQ/items/4PDTFNXT"],"itemData":{"id":279,"type":"article-journal","title":"Collective Memory and Cultural Identity","container-title":"New German Critique","page":"125-133","issue":"65","source":"JSTOR","DOI":"10.2307/488538","ISSN":"0094-033X","author":[{"family":"Assmann","given":"Jan"},{"family":"Czaplicka","given":"John"}],"issued":{"date-parts":[["1995"]]}}}],"schema":"https://github.com/citation-style-language/schema/raw/master/csl-citation.json"} </w:instrText>
      </w:r>
      <w:r>
        <w:fldChar w:fldCharType="separate"/>
      </w:r>
      <w:r w:rsidRPr="00384748">
        <w:rPr>
          <w:rFonts w:ascii="Calibri" w:hAnsi="Calibri" w:cs="Calibri"/>
        </w:rPr>
        <w:t>Assmann and Czaplicka.</w:t>
      </w:r>
      <w:r>
        <w:fldChar w:fldCharType="end"/>
      </w:r>
      <w:r>
        <w:t>p.128</w:t>
      </w:r>
    </w:p>
  </w:footnote>
  <w:footnote w:id="34">
    <w:p w14:paraId="04099D96" w14:textId="7C6C09C9"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{"citationID":"7StyTjpL","properties":{"formattedCitation":"Assmann and Czaplicka.","plainCitation":"Assmann and Czaplicka.","noteIndex":32},"citationItems":[{"id":279,"uris":["http://zotero.org/users/local/wNuioCXQ/items/4PDTFNXT"],"uri":["http://zotero.org/users/local/wNuioCXQ/items/4PDTFNXT"],"itemData":{"id":279,"type":"article-journal","title":"Collective Memory and Cultural Identity","container-title":"New German Critique","page":"125-133","issue":"65","source":"JSTOR","DOI":"10.2307/488538","ISSN":"0094-033X","author":[{"family":"Assmann","given":"Jan"},{"family":"Czaplicka","given":"John"}],"issued":{"date-parts":[["1995"]]}}}],"schema":"https://github.com/citation-style-language/schema/raw/master/csl-citation.json"} </w:instrText>
      </w:r>
      <w:r>
        <w:fldChar w:fldCharType="separate"/>
      </w:r>
      <w:r w:rsidRPr="0021529C">
        <w:rPr>
          <w:rFonts w:ascii="Calibri" w:hAnsi="Calibri" w:cs="Calibri"/>
        </w:rPr>
        <w:t>Assmann and Czaplicka.</w:t>
      </w:r>
      <w:r>
        <w:fldChar w:fldCharType="end"/>
      </w:r>
      <w:r>
        <w:t>p.129</w:t>
      </w:r>
    </w:p>
  </w:footnote>
  <w:footnote w:id="35">
    <w:p w14:paraId="3A82DCAD" w14:textId="4814CCE2"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{"citationID":"MMfhpfQo","properties":{"formattedCitation":"Assmann and Czaplicka.","plainCitation":"Assmann and Czaplicka.","noteIndex":33},"citationItems":[{"id":279,"uris":["http://zotero.org/users/local/wNuioCXQ/items/4PDTFNXT"],"uri":["http://zotero.org/users/local/wNuioCXQ/items/4PDTFNXT"],"itemData":{"id":279,"type":"article-journal","title":"Collective Memory and Cultural Identity","container-title":"New German Critique","page":"125-133","issue":"65","source":"JSTOR","DOI":"10.2307/488538","ISSN":"0094-033X","author":[{"family":"Assmann","given":"Jan"},{"family":"Czaplicka","given":"John"}],"issued":{"date-parts":[["1995"]]}}}],"schema":"https://github.com/citation-style-language/schema/raw/master/csl-citation.json"} </w:instrText>
      </w:r>
      <w:r>
        <w:fldChar w:fldCharType="separate"/>
      </w:r>
      <w:r w:rsidRPr="00046148">
        <w:rPr>
          <w:rFonts w:ascii="Calibri" w:hAnsi="Calibri" w:cs="Calibri"/>
        </w:rPr>
        <w:t>Assmann and Czaplicka.</w:t>
      </w:r>
      <w:r>
        <w:fldChar w:fldCharType="end"/>
      </w:r>
      <w:r>
        <w:t xml:space="preserve"> P.130</w:t>
      </w:r>
    </w:p>
  </w:footnote>
  <w:footnote w:id="36">
    <w:p w14:paraId="5782A4FF" w14:textId="22F23846"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{"citationID":"2LvRLNYi","properties":{"formattedCitation":"Assmann and Czaplicka.","plainCitation":"Assmann and Czaplicka.","noteIndex":34},"citationItems":[{"id":279,"uris":["http://zotero.org/users/local/wNuioCXQ/items/4PDTFNXT"],"uri":["http://zotero.org/users/local/wNuioCXQ/items/4PDTFNXT"],"itemData":{"id":279,"type":"article-journal","title":"Collective Memory and Cultural Identity","container-title":"New German Critique","page":"125-133","issue":"65","source":"JSTOR","DOI":"10.2307/488538","ISSN":"0094-033X","author":[{"family":"Assmann","given":"Jan"},{"family":"Czaplicka","given":"John"}],"issued":{"date-parts":[["1995"]]}}}],"schema":"https://github.com/citation-style-language/schema/raw/master/csl-citation.json"} </w:instrText>
      </w:r>
      <w:r>
        <w:fldChar w:fldCharType="separate"/>
      </w:r>
      <w:r w:rsidRPr="001B58FF">
        <w:rPr>
          <w:rFonts w:ascii="Calibri" w:hAnsi="Calibri" w:cs="Calibri"/>
        </w:rPr>
        <w:t>Assmann and Czaplicka.</w:t>
      </w:r>
      <w:r>
        <w:fldChar w:fldCharType="end"/>
      </w:r>
      <w:r>
        <w:t>p.130</w:t>
      </w:r>
    </w:p>
  </w:footnote>
  <w:footnote w:id="37">
    <w:p w14:paraId="5B426EC3" w14:textId="538830C3"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{"citationID":"Y4ekiQg2","properties":{"formattedCitation":"Assmann and Czaplicka.","plainCitation":"Assmann and Czaplicka.","noteIndex":35},"citationItems":[{"id":279,"uris":["http://zotero.org/users/local/wNuioCXQ/items/4PDTFNXT"],"uri":["http://zotero.org/users/local/wNuioCXQ/items/4PDTFNXT"],"itemData":{"id":279,"type":"article-journal","title":"Collective Memory and Cultural Identity","container-title":"New German Critique","page":"125-133","issue":"65","source":"JSTOR","DOI":"10.2307/488538","ISSN":"0094-033X","author":[{"family":"Assmann","given":"Jan"},{"family":"Czaplicka","given":"John"}],"issued":{"date-parts":[["1995"]]}}}],"schema":"https://github.com/citation-style-language/schema/raw/master/csl-citation.json"} </w:instrText>
      </w:r>
      <w:r>
        <w:fldChar w:fldCharType="separate"/>
      </w:r>
      <w:r w:rsidRPr="001B58FF">
        <w:rPr>
          <w:rFonts w:ascii="Calibri" w:hAnsi="Calibri" w:cs="Calibri"/>
        </w:rPr>
        <w:t>Assmann and Czaplicka.</w:t>
      </w:r>
      <w:r>
        <w:fldChar w:fldCharType="end"/>
      </w:r>
      <w:r>
        <w:t>p.130</w:t>
      </w:r>
    </w:p>
  </w:footnote>
  <w:footnote w:id="38">
    <w:p w14:paraId="566A39DA" w14:textId="2036687F"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{"citationID":"rrqpre4R","properties":{"formattedCitation":"\\uc0\\u8216{}Labour Strife in the South Wales Coalfield. By David Evans.\\uc0\\u8239{}\\uc0\\u187{} 6 Jan 1912\\uc0\\u8239{}\\uc0\\u187{} The Spectator Archive\\uc0\\u8217{}, {\\i{}The Spectator Archive} &lt;http://archive.spectator.co.uk/article/6th-january-1912/36/labour-strife-in-the-south-wales-coalfield-by-davi&gt; [accessed 30 March 2018].","plainCitation":"‘Labour Strife in the South Wales Coalfield. By David Evans. » 6 Jan 1912 » The Spectator Archive’, The Spectator Archive &lt;http://archive.spectator.co.uk/article/6th-january-1912/36/labour-strife-in-the-south-wales-coalfield-by-davi&gt; [accessed 30 March 2018].","noteIndex":37},"citationItems":[{"id":287,"uris":["http://zotero.org/users/local/wNuioCXQ/items/3NMHBAWW"],"uri":["http://zotero.org/users/local/wNuioCXQ/items/3NMHBAWW"],"itemData":{"id":287,"type":"webpage","title":"Labour Strife in the South Wales Coalfield. By David Evans. » 6 Jan 1912 » The Spectator Archive","container-title":"The Spectator Archive","abstract":"(Educational Publishing Co. 3s. 6d. net.)—This story of the Welsh strike riots is a highly instructive and illuminating narrative. Among the facts which are demonstrated are these : (1) The trade-union system has broken down. When the men habitually disobey their loaders there is no longer union. (2) Peaceful picketing is a farce. It is assumed to include such pro- ceedings as holding up a train","URL":"http://archive.spectator.co.uk/article/6th-january-1912/36/labour-strife-in-the-south-wales-coalfield-by-davi","accessed":{"date-parts":[["2018",3,30]]}}}],"schema":"https://github.com/citation-style-language/schema/raw/master/csl-citation.json"} </w:instrText>
      </w:r>
      <w:r>
        <w:fldChar w:fldCharType="separate"/>
      </w:r>
      <w:r w:rsidRPr="00D67CA6">
        <w:rPr>
          <w:rFonts w:ascii="Calibri" w:hAnsi="Calibri" w:cs="Calibri"/>
          <w:szCs w:val="24"/>
        </w:rPr>
        <w:t xml:space="preserve">‘Labour Strife in the South Wales Coalfield. By David Evans. » 6 Jan 1912 » The Spectator Archive’, </w:t>
      </w:r>
      <w:r w:rsidRPr="00D67CA6">
        <w:rPr>
          <w:rFonts w:ascii="Calibri" w:hAnsi="Calibri" w:cs="Calibri"/>
          <w:i/>
          <w:iCs/>
          <w:szCs w:val="24"/>
        </w:rPr>
        <w:t>The Spectator Archive</w:t>
      </w:r>
      <w:r w:rsidRPr="00D67CA6">
        <w:rPr>
          <w:rFonts w:ascii="Calibri" w:hAnsi="Calibri" w:cs="Calibri"/>
          <w:szCs w:val="24"/>
        </w:rPr>
        <w:t xml:space="preserve"> &lt;http://archive.spectator.co.uk/article/6th-january-1912/36/labour-strife-in-the-south-wales-coalfield-by-davi&gt; [accessed 30 March 2018].</w:t>
      </w:r>
      <w:r>
        <w:fldChar w:fldCharType="end"/>
      </w:r>
    </w:p>
  </w:footnote>
  <w:footnote w:id="39">
    <w:p w14:paraId="757FB13E" w14:textId="580409B6"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{"citationID":"VZoZsB6A","properties":{"formattedCitation":"\\uc0\\u8216{}Welsh Newspapers Online THE PARLEY FOR PEACE. I|1910-11-12|Evening Express - Welsh Newspapers Online\\uc0\\u8217{} &lt;http://newspapers.library.wales/view/4225255/4225258/72/rhondda%20leader%20AND%20lleufer%20thomas&gt; [accessed 30 March 2018].","plainCitation":"‘Welsh Newspapers Online THE PARLEY FOR PEACE. I|1910-11-12|Evening Express - Welsh Newspapers Online’ &lt;http://newspapers.library.wales/view/4225255/4225258/72/rhondda%20leader%20AND%20lleufer%20thomas&gt; [accessed 30 March 2018].","noteIndex":38},"citationItems":[{"id":289,"uris":["http://zotero.org/users/local/wNuioCXQ/items/SZHPZJNY"],"uri":["http://zotero.org/users/local/wNuioCXQ/items/SZHPZJNY"],"itemData":{"id":289,"type":"webpage","title":"Welsh Newspapers Online THE PARLEY FOR PEACE. i|1910-11-12|Evening Express - Welsh Newspapers Online","abstract":"Discover 15 million articles and 1.1 million pages","URL":"http://newspapers.library.wales/view/4225255/4225258/72/rhondda%20leader%20AND%20lleufer%20thomas","language":"en","accessed":{"date-parts":[["2018",3,30]]}}}],"schema":"https://github.com/citation-style-language/schema/raw/master/csl-citation.json"} </w:instrText>
      </w:r>
      <w:r>
        <w:fldChar w:fldCharType="separate"/>
      </w:r>
      <w:r w:rsidRPr="00FC1ED8">
        <w:rPr>
          <w:rFonts w:ascii="Calibri" w:hAnsi="Calibri" w:cs="Calibri"/>
          <w:szCs w:val="24"/>
        </w:rPr>
        <w:t>‘Welsh Newspapers Online THE PARLEY FOR PEACE. I|1910-11-12|Evening Express - Welsh Newspapers Online’ &lt;http://newspapers.library.wales/view/4225255/4225258/72/rhondda%20leader%20AND%20lleufer%20thomas&gt; [accessed 30 March 2018].</w:t>
      </w:r>
      <w:r>
        <w:fldChar w:fldCharType="end"/>
      </w:r>
    </w:p>
  </w:footnote>
  <w:footnote w:id="40">
    <w:p w14:paraId="183A0EAA" w14:textId="14E0E4C5" w:rsidR="00F23ACA" w:rsidRDefault="00F23ACA" w:rsidP="006933D6">
      <w:pPr>
        <w:pStyle w:val="FootnoteText"/>
      </w:pPr>
      <w:r w:rsidRPr="00B43DBD">
        <w:rPr>
          <w:rStyle w:val="FootnoteReference"/>
        </w:rPr>
        <w:footnoteRef/>
      </w:r>
      <w:r>
        <w:t xml:space="preserve"> </w:t>
      </w:r>
      <w:r>
        <w:fldChar w:fldCharType="begin"/>
      </w:r>
      <w:r>
        <w:instrText xml:space="preserve"> ADDIN ZOTERO_ITEM CSL_CITATION {"citationID":"2CyIZVEl","properties":{"formattedCitation":"Bowen.","plainCitation":"Bowen.","noteIndex":39},"citationItems":[{"id":286,"uris":["http://zotero.org/users/local/wNuioCXQ/items/LHRBIXAU"],"uri":["http://zotero.org/users/local/wNuioCXQ/items/LHRBIXAU"],"itemData":{"id":286,"type":"book","title":"A new history of Wales","publisher":"Gomer","publisher-place":"Llandysul","number-of-pages":"198","source":"librarycatalogue.uwtsd.ac.uk","event-place":"Llandysul","abstract":"'A New History of Wales' rips up some of the stereotypes of Welsh history. A collection of 25 accessible and entertaining essays, by some of Wales' leading historians tackle the commonly accepted realities of Welsh history and debunks them as myths.","ISBN":"978-1-84851-385-3","call-number":"942.9 NEW","language":"eng","author":[{"family":"Bowen","given":"H. V."}],"issued":{"date-parts":[["2011"]]}}}],"schema":"https://github.com/citation-style-language/schema/raw/master/csl-citation.json"} </w:instrText>
      </w:r>
      <w:r>
        <w:fldChar w:fldCharType="separate"/>
      </w:r>
      <w:r w:rsidRPr="001B58FF">
        <w:rPr>
          <w:rFonts w:ascii="Calibri" w:hAnsi="Calibri" w:cs="Calibri"/>
        </w:rPr>
        <w:t>Bowen.</w:t>
      </w:r>
      <w:r>
        <w:fldChar w:fldCharType="end"/>
      </w:r>
      <w:r>
        <w:t>p.147</w:t>
      </w:r>
    </w:p>
  </w:footnote>
  <w:footnote w:id="41">
    <w:p w14:paraId="06515C90" w14:textId="0E1AC025" w:rsidR="00F23ACA" w:rsidRDefault="00F23ACA" w:rsidP="006933D6">
      <w:pPr>
        <w:pStyle w:val="FootnoteText"/>
      </w:pPr>
      <w:r w:rsidRPr="00B43DBD">
        <w:rPr>
          <w:rStyle w:val="FootnoteReference"/>
        </w:rPr>
        <w:footnoteRef/>
      </w:r>
      <w:r>
        <w:t xml:space="preserve"> </w:t>
      </w:r>
      <w:r>
        <w:fldChar w:fldCharType="begin"/>
      </w:r>
      <w:r>
        <w:instrText xml:space="preserve"> ADDIN ZOTERO_ITEM CSL_CITATION {"citationID":"oKdzQZQ1","properties":{"formattedCitation":"Bowen.","plainCitation":"Bowen.","noteIndex":40},"citationItems":[{"id":286,"uris":["http://zotero.org/users/local/wNuioCXQ/items/LHRBIXAU"],"uri":["http://zotero.org/users/local/wNuioCXQ/items/LHRBIXAU"],"itemData":{"id":286,"type":"book","title":"A new history of Wales","publisher":"Gomer","publisher-place":"Llandysul","number-of-pages":"198","source":"librarycatalogue.uwtsd.ac.uk","event-place":"Llandysul","abstract":"'A New History of Wales' rips up some of the stereotypes of Welsh history. A collection of 25 accessible and entertaining essays, by some of Wales' leading historians tackle the commonly accepted realities of Welsh history and debunks them as myths.","ISBN":"978-1-84851-385-3","call-number":"942.9 NEW","language":"eng","author":[{"family":"Bowen","given":"H. V."}],"issued":{"date-parts":[["2011"]]}}}],"schema":"https://github.com/citation-style-language/schema/raw/master/csl-citation.json"} </w:instrText>
      </w:r>
      <w:r>
        <w:fldChar w:fldCharType="separate"/>
      </w:r>
      <w:r w:rsidRPr="00F84928">
        <w:rPr>
          <w:rFonts w:ascii="Calibri" w:hAnsi="Calibri" w:cs="Calibri"/>
        </w:rPr>
        <w:t>Bowen.</w:t>
      </w:r>
      <w:r>
        <w:fldChar w:fldCharType="end"/>
      </w:r>
      <w:r>
        <w:t xml:space="preserve"> 148</w:t>
      </w:r>
    </w:p>
  </w:footnote>
  <w:footnote w:id="42">
    <w:p w14:paraId="7A58BAC1" w14:textId="76C9B4C0" w:rsidR="00F23ACA" w:rsidRDefault="00F23ACA" w:rsidP="006933D6">
      <w:pPr>
        <w:pStyle w:val="FootnoteText"/>
      </w:pPr>
      <w:r w:rsidRPr="00B43DBD">
        <w:rPr>
          <w:rStyle w:val="FootnoteReference"/>
        </w:rPr>
        <w:footnoteRef/>
      </w:r>
      <w:r>
        <w:t xml:space="preserve"> </w:t>
      </w:r>
      <w:r>
        <w:fldChar w:fldCharType="begin"/>
      </w:r>
      <w:r>
        <w:instrText xml:space="preserve"> ADDIN ZOTERO_ITEM CSL_CITATION {"citationID":"yjUhQMhH","properties":{"formattedCitation":"Bowen.","plainCitation":"Bowen.","noteIndex":41},"citationItems":[{"id":286,"uris":["http://zotero.org/users/local/wNuioCXQ/items/LHRBIXAU"],"uri":["http://zotero.org/users/local/wNuioCXQ/items/LHRBIXAU"],"itemData":{"id":286,"type":"book","title":"A new history of Wales","publisher":"Gomer","publisher-place":"Llandysul","number-of-pages":"198","source":"librarycatalogue.uwtsd.ac.uk","event-place":"Llandysul","abstract":"'A New History of Wales' rips up some of the stereotypes of Welsh history. A collection of 25 accessible and entertaining essays, by some of Wales' leading historians tackle the commonly accepted realities of Welsh history and debunks them as myths.","ISBN":"978-1-84851-385-3","call-number":"942.9 NEW","language":"eng","author":[{"family":"Bowen","given":"H. V."}],"issued":{"date-parts":[["2011"]]}}}],"schema":"https://github.com/citation-style-language/schema/raw/master/csl-citation.json"} </w:instrText>
      </w:r>
      <w:r>
        <w:fldChar w:fldCharType="separate"/>
      </w:r>
      <w:r w:rsidRPr="002E4DE1">
        <w:rPr>
          <w:rFonts w:ascii="Calibri" w:hAnsi="Calibri" w:cs="Calibri"/>
        </w:rPr>
        <w:t>Bowen.</w:t>
      </w:r>
      <w:r>
        <w:fldChar w:fldCharType="end"/>
      </w:r>
      <w:r>
        <w:t>148</w:t>
      </w:r>
    </w:p>
  </w:footnote>
  <w:footnote w:id="43">
    <w:p w14:paraId="70E30763" w14:textId="3268FCC0"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{"citationID":"zCpoyRdj","properties":{"formattedCitation":"WalesOnline, \\uc0\\u8216{}Dan O\\uc0\\u8217{}Neill: Tonypandy Riots Left a Legacy of Bitterness\\uc0\\u8217{}, {\\i{}Walesonline}, 2010 &lt;http://www.walesonline.co.uk/news/local-news/dan-oneill-tonypandy-riots-left-1883151&gt; [accessed 30 March 2018].","plainCitation":"WalesOnline, ‘Dan O’Neill: Tonypandy Riots Left a Legacy of Bitterness’, Walesonline, 2010 &lt;http://www.walesonline.co.uk/news/local-news/dan-oneill-tonypandy-riots-left-1883151&gt; [accessed 30 March 2018].","noteIndex":42},"citationItems":[{"id":297,"uris":["http://zotero.org/users/local/wNuioCXQ/items/Z7D43L6Q"],"uri":["http://zotero.org/users/local/wNuioCXQ/items/Z7D43L6Q"],"itemData":{"id":297,"type":"webpage","title":"Dan O'Neill: Tonypandy riots left a legacy of bitterness","container-title":"walesonline","abstract":"If the fearsome battles between police and miners during the strike of 1984 can be summed up in one word, that word would be Orgreave, the Yorkshire coke depot where picketing pitmen and police in full riot gear went to war.","URL":"http://www.walesonline.co.uk/news/local-news/dan-oneill-tonypandy-riots-left-1883151","shortTitle":"Dan O'Neill","author":[{"family":"WalesOnline","given":""}],"issued":{"date-parts":[["2010",11,2]]},"accessed":{"date-parts":[["2018",3,30]]}}}],"schema":"https://github.com/citation-style-language/schema/raw/master/csl-citation.json"} </w:instrText>
      </w:r>
      <w:r>
        <w:fldChar w:fldCharType="separate"/>
      </w:r>
      <w:r w:rsidRPr="004E0FC9">
        <w:rPr>
          <w:rFonts w:ascii="Calibri" w:hAnsi="Calibri" w:cs="Calibri"/>
          <w:szCs w:val="24"/>
        </w:rPr>
        <w:t xml:space="preserve">WalesOnline, ‘Dan O’Neill: Tonypandy Riots Left a Legacy of Bitterness’, </w:t>
      </w:r>
      <w:r w:rsidRPr="004E0FC9">
        <w:rPr>
          <w:rFonts w:ascii="Calibri" w:hAnsi="Calibri" w:cs="Calibri"/>
          <w:i/>
          <w:iCs/>
          <w:szCs w:val="24"/>
        </w:rPr>
        <w:t>Walesonline</w:t>
      </w:r>
      <w:r w:rsidRPr="004E0FC9">
        <w:rPr>
          <w:rFonts w:ascii="Calibri" w:hAnsi="Calibri" w:cs="Calibri"/>
          <w:szCs w:val="24"/>
        </w:rPr>
        <w:t>, 2010 &lt;http://www.walesonline.co.uk/news/local-news/dan-oneill-tonypandy-riots-left-1883151&gt; [accessed 30 March 2018].</w:t>
      </w:r>
      <w:r>
        <w:fldChar w:fldCharType="end"/>
      </w:r>
    </w:p>
  </w:footnote>
  <w:footnote w:id="44">
    <w:p w14:paraId="154FB4BD" w14:textId="68F38964" w:rsidR="00F23ACA" w:rsidRDefault="00F23ACA">
      <w:pPr>
        <w:pStyle w:val="FootnoteText"/>
      </w:pPr>
      <w:r w:rsidRPr="00B43DBD">
        <w:rPr>
          <w:rStyle w:val="FootnoteReference"/>
        </w:rPr>
        <w:footnoteRef/>
      </w:r>
      <w:r>
        <w:t xml:space="preserve"> </w:t>
      </w:r>
      <w:r>
        <w:fldChar w:fldCharType="begin"/>
      </w:r>
      <w:r>
        <w:instrText xml:space="preserve"> ADDIN ZOTERO_ITEM CSL_CITATION {"citationID":"ti8qpFuQ","properties":{"formattedCitation":"WalesOnline.","plainCitation":"WalesOnline.","noteIndex":43},"citationItems":[{"id":297,"uris":["http://zotero.org/users/local/wNuioCXQ/items/Z7D43L6Q"],"uri":["http://zotero.org/users/local/wNuioCXQ/items/Z7D43L6Q"],"itemData":{"id":297,"type":"webpage","title":"Dan O'Neill: Tonypandy riots left a legacy of bitterness","container-title":"walesonline","abstract":"If the fearsome battles between police and miners during the strike of 1984 can be summed up in one word, that word would be Orgreave, the Yorkshire coke depot where picketing pitmen and police in full riot gear went to war.","URL":"http://www.walesonline.co.uk/news/local-news/dan-oneill-tonypandy-riots-left-1883151","shortTitle":"Dan O'Neill","author":[{"family":"WalesOnline","given":""}],"issued":{"date-parts":[["2010",11,2]]},"accessed":{"date-parts":[["2018",3,30]]}}}],"schema":"https://github.com/citation-style-language/schema/raw/master/csl-citation.json"} </w:instrText>
      </w:r>
      <w:r>
        <w:fldChar w:fldCharType="separate"/>
      </w:r>
      <w:r w:rsidRPr="004E0FC9">
        <w:rPr>
          <w:rFonts w:ascii="Calibri" w:hAnsi="Calibri" w:cs="Calibri"/>
        </w:rPr>
        <w:t>WalesOnline.</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191478"/>
    <w:multiLevelType w:val="hybridMultilevel"/>
    <w:tmpl w:val="6A4EB2A2"/>
    <w:lvl w:ilvl="0" w:tplc="8D3A70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OzNDc1s4DQxko6SsGpxcWZ+XkgBWa1AIsNGrUsAAAA"/>
  </w:docVars>
  <w:rsids>
    <w:rsidRoot w:val="00FE4471"/>
    <w:rsid w:val="00003A67"/>
    <w:rsid w:val="000132BB"/>
    <w:rsid w:val="000203DC"/>
    <w:rsid w:val="00020967"/>
    <w:rsid w:val="00026B37"/>
    <w:rsid w:val="00035CFF"/>
    <w:rsid w:val="0004023E"/>
    <w:rsid w:val="00046148"/>
    <w:rsid w:val="00047F7B"/>
    <w:rsid w:val="00050009"/>
    <w:rsid w:val="00050D51"/>
    <w:rsid w:val="000554C6"/>
    <w:rsid w:val="00071EFD"/>
    <w:rsid w:val="000727C4"/>
    <w:rsid w:val="00087D0B"/>
    <w:rsid w:val="000A6EE4"/>
    <w:rsid w:val="000B7543"/>
    <w:rsid w:val="000C65F0"/>
    <w:rsid w:val="000C77DB"/>
    <w:rsid w:val="000E40EE"/>
    <w:rsid w:val="001012B3"/>
    <w:rsid w:val="00104DDF"/>
    <w:rsid w:val="001110E0"/>
    <w:rsid w:val="0011147F"/>
    <w:rsid w:val="00126039"/>
    <w:rsid w:val="0014580D"/>
    <w:rsid w:val="00156E36"/>
    <w:rsid w:val="001619AC"/>
    <w:rsid w:val="00163247"/>
    <w:rsid w:val="001A4537"/>
    <w:rsid w:val="001B58FF"/>
    <w:rsid w:val="001C595E"/>
    <w:rsid w:val="001D02C2"/>
    <w:rsid w:val="001E77B2"/>
    <w:rsid w:val="001F51CE"/>
    <w:rsid w:val="001F630A"/>
    <w:rsid w:val="0021431D"/>
    <w:rsid w:val="0021529C"/>
    <w:rsid w:val="0021572A"/>
    <w:rsid w:val="00223E16"/>
    <w:rsid w:val="00230747"/>
    <w:rsid w:val="0023279C"/>
    <w:rsid w:val="00241BC4"/>
    <w:rsid w:val="002673F4"/>
    <w:rsid w:val="00272A80"/>
    <w:rsid w:val="00287E4D"/>
    <w:rsid w:val="00292CD1"/>
    <w:rsid w:val="00295BC2"/>
    <w:rsid w:val="00296484"/>
    <w:rsid w:val="002B0129"/>
    <w:rsid w:val="002C0B14"/>
    <w:rsid w:val="002C60F4"/>
    <w:rsid w:val="002D5733"/>
    <w:rsid w:val="002E0ED1"/>
    <w:rsid w:val="002E2EE3"/>
    <w:rsid w:val="002E44AD"/>
    <w:rsid w:val="002E4DE1"/>
    <w:rsid w:val="0030020C"/>
    <w:rsid w:val="0030733A"/>
    <w:rsid w:val="00310AB4"/>
    <w:rsid w:val="00310BA4"/>
    <w:rsid w:val="0031473C"/>
    <w:rsid w:val="00316256"/>
    <w:rsid w:val="003237CC"/>
    <w:rsid w:val="00334935"/>
    <w:rsid w:val="00334FFC"/>
    <w:rsid w:val="00340BEB"/>
    <w:rsid w:val="0034340C"/>
    <w:rsid w:val="00354FFA"/>
    <w:rsid w:val="00357AFA"/>
    <w:rsid w:val="003745EB"/>
    <w:rsid w:val="00384748"/>
    <w:rsid w:val="00386C44"/>
    <w:rsid w:val="0039184A"/>
    <w:rsid w:val="003936F0"/>
    <w:rsid w:val="00393F75"/>
    <w:rsid w:val="003A32E7"/>
    <w:rsid w:val="003A4FA8"/>
    <w:rsid w:val="003C2A31"/>
    <w:rsid w:val="003C6C02"/>
    <w:rsid w:val="003C7356"/>
    <w:rsid w:val="003D3971"/>
    <w:rsid w:val="003F0B85"/>
    <w:rsid w:val="003F2716"/>
    <w:rsid w:val="003F4A8C"/>
    <w:rsid w:val="003F64D4"/>
    <w:rsid w:val="0040282C"/>
    <w:rsid w:val="00402B60"/>
    <w:rsid w:val="00402F12"/>
    <w:rsid w:val="004062D0"/>
    <w:rsid w:val="00407F34"/>
    <w:rsid w:val="00415C03"/>
    <w:rsid w:val="00415E29"/>
    <w:rsid w:val="004332AA"/>
    <w:rsid w:val="00434DEC"/>
    <w:rsid w:val="0044128C"/>
    <w:rsid w:val="00444480"/>
    <w:rsid w:val="00446080"/>
    <w:rsid w:val="00456C97"/>
    <w:rsid w:val="00457B9C"/>
    <w:rsid w:val="00461399"/>
    <w:rsid w:val="004643EC"/>
    <w:rsid w:val="004673C3"/>
    <w:rsid w:val="0047269F"/>
    <w:rsid w:val="004A0EF5"/>
    <w:rsid w:val="004A58EA"/>
    <w:rsid w:val="004B111B"/>
    <w:rsid w:val="004C5813"/>
    <w:rsid w:val="004D19E7"/>
    <w:rsid w:val="004E0FC9"/>
    <w:rsid w:val="004E2909"/>
    <w:rsid w:val="004E645F"/>
    <w:rsid w:val="004E6DC5"/>
    <w:rsid w:val="004E72FA"/>
    <w:rsid w:val="00501799"/>
    <w:rsid w:val="005021E2"/>
    <w:rsid w:val="0050245B"/>
    <w:rsid w:val="005058EF"/>
    <w:rsid w:val="005113E4"/>
    <w:rsid w:val="00522910"/>
    <w:rsid w:val="00530B5F"/>
    <w:rsid w:val="00557AED"/>
    <w:rsid w:val="00561435"/>
    <w:rsid w:val="005842D4"/>
    <w:rsid w:val="005848D8"/>
    <w:rsid w:val="00584B46"/>
    <w:rsid w:val="00585DBB"/>
    <w:rsid w:val="0059219F"/>
    <w:rsid w:val="005967A7"/>
    <w:rsid w:val="0059706D"/>
    <w:rsid w:val="005A22AE"/>
    <w:rsid w:val="005B0D94"/>
    <w:rsid w:val="005B20C6"/>
    <w:rsid w:val="005B5996"/>
    <w:rsid w:val="005B59F2"/>
    <w:rsid w:val="005B70DD"/>
    <w:rsid w:val="005D0839"/>
    <w:rsid w:val="005E0C3B"/>
    <w:rsid w:val="005E2210"/>
    <w:rsid w:val="005F2383"/>
    <w:rsid w:val="00600FAB"/>
    <w:rsid w:val="00611A58"/>
    <w:rsid w:val="006207CE"/>
    <w:rsid w:val="00623D6C"/>
    <w:rsid w:val="00625BE5"/>
    <w:rsid w:val="0062669A"/>
    <w:rsid w:val="0063545F"/>
    <w:rsid w:val="00635E0F"/>
    <w:rsid w:val="00642E41"/>
    <w:rsid w:val="006474E1"/>
    <w:rsid w:val="0065571E"/>
    <w:rsid w:val="00656C5A"/>
    <w:rsid w:val="00662062"/>
    <w:rsid w:val="006641E2"/>
    <w:rsid w:val="00687306"/>
    <w:rsid w:val="006903A2"/>
    <w:rsid w:val="00690B61"/>
    <w:rsid w:val="00690D3F"/>
    <w:rsid w:val="006933D6"/>
    <w:rsid w:val="006B15AB"/>
    <w:rsid w:val="006C1412"/>
    <w:rsid w:val="006E45FC"/>
    <w:rsid w:val="006E7193"/>
    <w:rsid w:val="006F72FD"/>
    <w:rsid w:val="00705EB2"/>
    <w:rsid w:val="0071299F"/>
    <w:rsid w:val="00721141"/>
    <w:rsid w:val="00723851"/>
    <w:rsid w:val="007240F7"/>
    <w:rsid w:val="00733CFC"/>
    <w:rsid w:val="00734B00"/>
    <w:rsid w:val="00747AD5"/>
    <w:rsid w:val="00753151"/>
    <w:rsid w:val="007627F7"/>
    <w:rsid w:val="00763C4A"/>
    <w:rsid w:val="00765AEC"/>
    <w:rsid w:val="007664D4"/>
    <w:rsid w:val="00781223"/>
    <w:rsid w:val="007839FD"/>
    <w:rsid w:val="007936B0"/>
    <w:rsid w:val="007A5709"/>
    <w:rsid w:val="007B4AE8"/>
    <w:rsid w:val="007D18D4"/>
    <w:rsid w:val="007D6208"/>
    <w:rsid w:val="007D6D25"/>
    <w:rsid w:val="007E13F3"/>
    <w:rsid w:val="007E36A4"/>
    <w:rsid w:val="007E75A7"/>
    <w:rsid w:val="007F4D7E"/>
    <w:rsid w:val="00802DF8"/>
    <w:rsid w:val="00803C7B"/>
    <w:rsid w:val="0080583F"/>
    <w:rsid w:val="008133D3"/>
    <w:rsid w:val="00814158"/>
    <w:rsid w:val="00817967"/>
    <w:rsid w:val="00833C32"/>
    <w:rsid w:val="00854C31"/>
    <w:rsid w:val="008627C8"/>
    <w:rsid w:val="0086477B"/>
    <w:rsid w:val="00873E58"/>
    <w:rsid w:val="00882E9D"/>
    <w:rsid w:val="0088499B"/>
    <w:rsid w:val="008901D2"/>
    <w:rsid w:val="008941B3"/>
    <w:rsid w:val="00895455"/>
    <w:rsid w:val="008A140D"/>
    <w:rsid w:val="008A2CBE"/>
    <w:rsid w:val="008A51F6"/>
    <w:rsid w:val="008B5A4C"/>
    <w:rsid w:val="008D35E1"/>
    <w:rsid w:val="008D370F"/>
    <w:rsid w:val="008E01AD"/>
    <w:rsid w:val="008E0AFA"/>
    <w:rsid w:val="008E2539"/>
    <w:rsid w:val="008E2784"/>
    <w:rsid w:val="008E5E90"/>
    <w:rsid w:val="008F1559"/>
    <w:rsid w:val="00925F08"/>
    <w:rsid w:val="00940D8B"/>
    <w:rsid w:val="00974AFC"/>
    <w:rsid w:val="00977102"/>
    <w:rsid w:val="00983984"/>
    <w:rsid w:val="00986FB9"/>
    <w:rsid w:val="0099458D"/>
    <w:rsid w:val="009C611D"/>
    <w:rsid w:val="009D1C2F"/>
    <w:rsid w:val="009D3FB5"/>
    <w:rsid w:val="009E0037"/>
    <w:rsid w:val="009E0FE6"/>
    <w:rsid w:val="009E6ACA"/>
    <w:rsid w:val="009F3DF1"/>
    <w:rsid w:val="00A214CC"/>
    <w:rsid w:val="00A30A5A"/>
    <w:rsid w:val="00A57D3F"/>
    <w:rsid w:val="00A6550F"/>
    <w:rsid w:val="00A667AE"/>
    <w:rsid w:val="00A66F43"/>
    <w:rsid w:val="00A7068C"/>
    <w:rsid w:val="00A837F6"/>
    <w:rsid w:val="00AA2D0A"/>
    <w:rsid w:val="00AA46DB"/>
    <w:rsid w:val="00AB532D"/>
    <w:rsid w:val="00AB6F5D"/>
    <w:rsid w:val="00AC524C"/>
    <w:rsid w:val="00AD1937"/>
    <w:rsid w:val="00AD255A"/>
    <w:rsid w:val="00AD6D61"/>
    <w:rsid w:val="00AF150C"/>
    <w:rsid w:val="00B32291"/>
    <w:rsid w:val="00B3741B"/>
    <w:rsid w:val="00B43DBD"/>
    <w:rsid w:val="00B62680"/>
    <w:rsid w:val="00B627B6"/>
    <w:rsid w:val="00B62D30"/>
    <w:rsid w:val="00B70790"/>
    <w:rsid w:val="00B713A2"/>
    <w:rsid w:val="00B74D6B"/>
    <w:rsid w:val="00B806D6"/>
    <w:rsid w:val="00B8227A"/>
    <w:rsid w:val="00B93E29"/>
    <w:rsid w:val="00BB4FF8"/>
    <w:rsid w:val="00BB6736"/>
    <w:rsid w:val="00BC0488"/>
    <w:rsid w:val="00BD6FBD"/>
    <w:rsid w:val="00C06C49"/>
    <w:rsid w:val="00C14E1A"/>
    <w:rsid w:val="00C256FE"/>
    <w:rsid w:val="00C27B10"/>
    <w:rsid w:val="00C31105"/>
    <w:rsid w:val="00C37AB9"/>
    <w:rsid w:val="00C40E29"/>
    <w:rsid w:val="00C41B1B"/>
    <w:rsid w:val="00C63ECC"/>
    <w:rsid w:val="00C654A6"/>
    <w:rsid w:val="00C723AE"/>
    <w:rsid w:val="00C72801"/>
    <w:rsid w:val="00C819CD"/>
    <w:rsid w:val="00C83B06"/>
    <w:rsid w:val="00C91643"/>
    <w:rsid w:val="00C92A22"/>
    <w:rsid w:val="00C92B88"/>
    <w:rsid w:val="00C96D7A"/>
    <w:rsid w:val="00CC14F0"/>
    <w:rsid w:val="00CD13A8"/>
    <w:rsid w:val="00CD358F"/>
    <w:rsid w:val="00CF047F"/>
    <w:rsid w:val="00CF187F"/>
    <w:rsid w:val="00D01A36"/>
    <w:rsid w:val="00D05E68"/>
    <w:rsid w:val="00D10585"/>
    <w:rsid w:val="00D1188D"/>
    <w:rsid w:val="00D269F1"/>
    <w:rsid w:val="00D277CA"/>
    <w:rsid w:val="00D35B1E"/>
    <w:rsid w:val="00D44DEF"/>
    <w:rsid w:val="00D53431"/>
    <w:rsid w:val="00D547AB"/>
    <w:rsid w:val="00D54A93"/>
    <w:rsid w:val="00D5781A"/>
    <w:rsid w:val="00D57A51"/>
    <w:rsid w:val="00D62544"/>
    <w:rsid w:val="00D630DE"/>
    <w:rsid w:val="00D67CA6"/>
    <w:rsid w:val="00D76F68"/>
    <w:rsid w:val="00D820A3"/>
    <w:rsid w:val="00D83A84"/>
    <w:rsid w:val="00D840CE"/>
    <w:rsid w:val="00DB1780"/>
    <w:rsid w:val="00DC074C"/>
    <w:rsid w:val="00DD12C2"/>
    <w:rsid w:val="00DE123A"/>
    <w:rsid w:val="00DF34E3"/>
    <w:rsid w:val="00DF443A"/>
    <w:rsid w:val="00E10E52"/>
    <w:rsid w:val="00E15216"/>
    <w:rsid w:val="00E25629"/>
    <w:rsid w:val="00E40B15"/>
    <w:rsid w:val="00E4613C"/>
    <w:rsid w:val="00E46BE7"/>
    <w:rsid w:val="00E5013C"/>
    <w:rsid w:val="00E502F0"/>
    <w:rsid w:val="00E64221"/>
    <w:rsid w:val="00E77879"/>
    <w:rsid w:val="00E81BCD"/>
    <w:rsid w:val="00E84157"/>
    <w:rsid w:val="00E86E65"/>
    <w:rsid w:val="00E90F75"/>
    <w:rsid w:val="00E95DFC"/>
    <w:rsid w:val="00EC0343"/>
    <w:rsid w:val="00EC107E"/>
    <w:rsid w:val="00EC1305"/>
    <w:rsid w:val="00EC2C0B"/>
    <w:rsid w:val="00ED38BB"/>
    <w:rsid w:val="00EE0A58"/>
    <w:rsid w:val="00EE3DD4"/>
    <w:rsid w:val="00EE5DA3"/>
    <w:rsid w:val="00EF7DE9"/>
    <w:rsid w:val="00F01857"/>
    <w:rsid w:val="00F01C96"/>
    <w:rsid w:val="00F062AF"/>
    <w:rsid w:val="00F13015"/>
    <w:rsid w:val="00F23ACA"/>
    <w:rsid w:val="00F26E12"/>
    <w:rsid w:val="00F27E5E"/>
    <w:rsid w:val="00F310C1"/>
    <w:rsid w:val="00F404B7"/>
    <w:rsid w:val="00F43E97"/>
    <w:rsid w:val="00F52BAF"/>
    <w:rsid w:val="00F532AE"/>
    <w:rsid w:val="00F56A49"/>
    <w:rsid w:val="00F64EBA"/>
    <w:rsid w:val="00F76777"/>
    <w:rsid w:val="00F82FAF"/>
    <w:rsid w:val="00F84928"/>
    <w:rsid w:val="00F90609"/>
    <w:rsid w:val="00F95660"/>
    <w:rsid w:val="00FB716A"/>
    <w:rsid w:val="00FC1ED8"/>
    <w:rsid w:val="00FC2C6A"/>
    <w:rsid w:val="00FC4D5C"/>
    <w:rsid w:val="00FC5963"/>
    <w:rsid w:val="00FD39B5"/>
    <w:rsid w:val="00FE1F55"/>
    <w:rsid w:val="00FE35CE"/>
    <w:rsid w:val="00FE4471"/>
    <w:rsid w:val="00FE7198"/>
    <w:rsid w:val="00FF2D3F"/>
    <w:rsid w:val="00FF386F"/>
    <w:rsid w:val="00FF5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A9DF62"/>
  <w15:chartTrackingRefBased/>
  <w15:docId w15:val="{672D4E4A-E9AE-432E-816E-BE421A974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95B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5BC2"/>
    <w:rPr>
      <w:sz w:val="20"/>
      <w:szCs w:val="20"/>
    </w:rPr>
  </w:style>
  <w:style w:type="character" w:styleId="FootnoteReference">
    <w:name w:val="footnote reference"/>
    <w:basedOn w:val="DefaultParagraphFont"/>
    <w:uiPriority w:val="99"/>
    <w:semiHidden/>
    <w:unhideWhenUsed/>
    <w:rsid w:val="00295BC2"/>
    <w:rPr>
      <w:vertAlign w:val="superscript"/>
    </w:rPr>
  </w:style>
  <w:style w:type="character" w:styleId="EndnoteReference">
    <w:name w:val="endnote reference"/>
    <w:basedOn w:val="DefaultParagraphFont"/>
    <w:uiPriority w:val="99"/>
    <w:semiHidden/>
    <w:unhideWhenUsed/>
    <w:rsid w:val="008A2CBE"/>
    <w:rPr>
      <w:vertAlign w:val="superscript"/>
    </w:rPr>
  </w:style>
  <w:style w:type="paragraph" w:styleId="Header">
    <w:name w:val="header"/>
    <w:basedOn w:val="Normal"/>
    <w:link w:val="HeaderChar"/>
    <w:uiPriority w:val="99"/>
    <w:semiHidden/>
    <w:unhideWhenUsed/>
    <w:rsid w:val="005842D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842D4"/>
  </w:style>
  <w:style w:type="paragraph" w:styleId="Footer">
    <w:name w:val="footer"/>
    <w:basedOn w:val="Normal"/>
    <w:link w:val="FooterChar"/>
    <w:uiPriority w:val="99"/>
    <w:semiHidden/>
    <w:unhideWhenUsed/>
    <w:rsid w:val="005842D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842D4"/>
  </w:style>
  <w:style w:type="paragraph" w:styleId="ListParagraph">
    <w:name w:val="List Paragraph"/>
    <w:basedOn w:val="Normal"/>
    <w:uiPriority w:val="34"/>
    <w:qFormat/>
    <w:rsid w:val="0050245B"/>
    <w:pPr>
      <w:ind w:left="720"/>
      <w:contextualSpacing/>
    </w:pPr>
  </w:style>
  <w:style w:type="paragraph" w:styleId="Bibliography">
    <w:name w:val="Bibliography"/>
    <w:basedOn w:val="Normal"/>
    <w:next w:val="Normal"/>
    <w:uiPriority w:val="37"/>
    <w:unhideWhenUsed/>
    <w:rsid w:val="0059706D"/>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2925</Words>
  <Characters>16556</Characters>
  <Application>Microsoft Office Word</Application>
  <DocSecurity>0</DocSecurity>
  <Lines>250</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Laura-Cait Driscoll (1500941)</dc:creator>
  <cp:keywords/>
  <dc:description/>
  <cp:lastModifiedBy>Laura-Cait Driscoll (1500941)</cp:lastModifiedBy>
  <cp:revision>2</cp:revision>
  <dcterms:created xsi:type="dcterms:W3CDTF">2018-03-30T21:36:00Z</dcterms:created>
  <dcterms:modified xsi:type="dcterms:W3CDTF">2018-03-30T21:36:00Z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zotero-version="5.0.38"&gt;&lt;session id="bJa638T3"/&gt;&lt;style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