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426E5"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noProof/>
          <w:color w:val="000000" w:themeColor="text1"/>
        </w:rPr>
        <w:drawing>
          <wp:inline distT="114300" distB="114300" distL="114300" distR="114300" wp14:anchorId="295503A9" wp14:editId="3D7A3506">
            <wp:extent cx="1292715" cy="5000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292715" cy="500063"/>
                    </a:xfrm>
                    <a:prstGeom prst="rect">
                      <a:avLst/>
                    </a:prstGeom>
                    <a:ln/>
                  </pic:spPr>
                </pic:pic>
              </a:graphicData>
            </a:graphic>
          </wp:inline>
        </w:drawing>
      </w:r>
    </w:p>
    <w:p w14:paraId="01F4DC7D"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LCBB6004: Strategic Management and Sustainability</w:t>
      </w:r>
    </w:p>
    <w:p w14:paraId="29BB4ADA" w14:textId="77777777" w:rsidR="001E2AC0" w:rsidRPr="0058665E" w:rsidRDefault="001E2AC0">
      <w:pPr>
        <w:jc w:val="center"/>
        <w:rPr>
          <w:rFonts w:asciiTheme="majorBidi" w:hAnsiTheme="majorBidi" w:cstheme="majorBidi"/>
          <w:b/>
          <w:bCs/>
          <w:color w:val="000000" w:themeColor="text1"/>
        </w:rPr>
      </w:pPr>
    </w:p>
    <w:p w14:paraId="113363D1"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BS (Hons) Business Management</w:t>
      </w:r>
    </w:p>
    <w:p w14:paraId="7B891281" w14:textId="77777777" w:rsidR="001E2AC0" w:rsidRPr="0058665E" w:rsidRDefault="001E2AC0">
      <w:pPr>
        <w:jc w:val="center"/>
        <w:rPr>
          <w:rFonts w:asciiTheme="majorBidi" w:hAnsiTheme="majorBidi" w:cstheme="majorBidi"/>
          <w:b/>
          <w:bCs/>
          <w:color w:val="000000" w:themeColor="text1"/>
        </w:rPr>
      </w:pPr>
    </w:p>
    <w:p w14:paraId="5497C6F0"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Component 1: Coursework- Written Report</w:t>
      </w:r>
    </w:p>
    <w:p w14:paraId="5DB7CA90" w14:textId="77777777" w:rsidR="001E2AC0" w:rsidRPr="0058665E" w:rsidRDefault="001E2AC0">
      <w:pPr>
        <w:jc w:val="center"/>
        <w:rPr>
          <w:rFonts w:asciiTheme="majorBidi" w:hAnsiTheme="majorBidi" w:cstheme="majorBidi"/>
          <w:b/>
          <w:bCs/>
          <w:color w:val="000000" w:themeColor="text1"/>
        </w:rPr>
      </w:pPr>
    </w:p>
    <w:p w14:paraId="6EE2ED4C"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Student ID: 2246905</w:t>
      </w:r>
    </w:p>
    <w:p w14:paraId="12B66789" w14:textId="77777777" w:rsidR="001E2AC0" w:rsidRPr="0058665E" w:rsidRDefault="001E2AC0">
      <w:pPr>
        <w:jc w:val="center"/>
        <w:rPr>
          <w:rFonts w:asciiTheme="majorBidi" w:hAnsiTheme="majorBidi" w:cstheme="majorBidi"/>
          <w:b/>
          <w:bCs/>
          <w:color w:val="000000" w:themeColor="text1"/>
        </w:rPr>
      </w:pPr>
    </w:p>
    <w:p w14:paraId="7AAEAE09"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Student Name: TUDORITA TATIANA BADESCU</w:t>
      </w:r>
    </w:p>
    <w:p w14:paraId="1A57831C" w14:textId="77777777" w:rsidR="001E2AC0" w:rsidRPr="0058665E" w:rsidRDefault="001E2AC0">
      <w:pPr>
        <w:jc w:val="center"/>
        <w:rPr>
          <w:rFonts w:asciiTheme="majorBidi" w:hAnsiTheme="majorBidi" w:cstheme="majorBidi"/>
          <w:b/>
          <w:bCs/>
          <w:color w:val="000000" w:themeColor="text1"/>
        </w:rPr>
      </w:pPr>
    </w:p>
    <w:p w14:paraId="2A4D9C1F"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 xml:space="preserve">Module Leader/ Lecturer: Dr. </w:t>
      </w:r>
      <w:proofErr w:type="spellStart"/>
      <w:r w:rsidRPr="0058665E">
        <w:rPr>
          <w:rFonts w:asciiTheme="majorBidi" w:hAnsiTheme="majorBidi" w:cstheme="majorBidi"/>
          <w:b/>
          <w:bCs/>
          <w:color w:val="000000" w:themeColor="text1"/>
        </w:rPr>
        <w:t>Anupam</w:t>
      </w:r>
      <w:proofErr w:type="spellEnd"/>
      <w:r w:rsidRPr="0058665E">
        <w:rPr>
          <w:rFonts w:asciiTheme="majorBidi" w:hAnsiTheme="majorBidi" w:cstheme="majorBidi"/>
          <w:b/>
          <w:bCs/>
          <w:color w:val="000000" w:themeColor="text1"/>
        </w:rPr>
        <w:t xml:space="preserve"> </w:t>
      </w:r>
      <w:proofErr w:type="spellStart"/>
      <w:r w:rsidRPr="0058665E">
        <w:rPr>
          <w:rFonts w:asciiTheme="majorBidi" w:hAnsiTheme="majorBidi" w:cstheme="majorBidi"/>
          <w:b/>
          <w:bCs/>
          <w:color w:val="000000" w:themeColor="text1"/>
        </w:rPr>
        <w:t>Mazumdar</w:t>
      </w:r>
      <w:proofErr w:type="spellEnd"/>
      <w:r w:rsidRPr="0058665E">
        <w:rPr>
          <w:rFonts w:asciiTheme="majorBidi" w:hAnsiTheme="majorBidi" w:cstheme="majorBidi"/>
          <w:b/>
          <w:bCs/>
          <w:color w:val="000000" w:themeColor="text1"/>
        </w:rPr>
        <w:t xml:space="preserve">, Dr </w:t>
      </w:r>
      <w:proofErr w:type="spellStart"/>
      <w:r w:rsidRPr="0058665E">
        <w:rPr>
          <w:rFonts w:asciiTheme="majorBidi" w:hAnsiTheme="majorBidi" w:cstheme="majorBidi"/>
          <w:b/>
          <w:bCs/>
          <w:color w:val="000000" w:themeColor="text1"/>
        </w:rPr>
        <w:t>Prithwa</w:t>
      </w:r>
      <w:proofErr w:type="spellEnd"/>
      <w:r w:rsidRPr="0058665E">
        <w:rPr>
          <w:rFonts w:asciiTheme="majorBidi" w:hAnsiTheme="majorBidi" w:cstheme="majorBidi"/>
          <w:b/>
          <w:bCs/>
          <w:color w:val="000000" w:themeColor="text1"/>
        </w:rPr>
        <w:t xml:space="preserve"> Bhattacharya</w:t>
      </w:r>
    </w:p>
    <w:p w14:paraId="7E6B07A8" w14:textId="77777777" w:rsidR="001E2AC0" w:rsidRPr="0058665E" w:rsidRDefault="001E2AC0">
      <w:pPr>
        <w:jc w:val="center"/>
        <w:rPr>
          <w:rFonts w:asciiTheme="majorBidi" w:hAnsiTheme="majorBidi" w:cstheme="majorBidi"/>
          <w:b/>
          <w:bCs/>
          <w:color w:val="000000" w:themeColor="text1"/>
        </w:rPr>
      </w:pPr>
    </w:p>
    <w:p w14:paraId="6B11B349" w14:textId="77777777" w:rsidR="001E2AC0" w:rsidRPr="0058665E" w:rsidRDefault="001E2AC0">
      <w:pPr>
        <w:rPr>
          <w:rFonts w:asciiTheme="majorBidi" w:hAnsiTheme="majorBidi" w:cstheme="majorBidi"/>
          <w:b/>
          <w:bCs/>
          <w:color w:val="000000" w:themeColor="text1"/>
        </w:rPr>
      </w:pPr>
    </w:p>
    <w:p w14:paraId="2117F015" w14:textId="77777777" w:rsidR="001E2AC0" w:rsidRPr="0058665E" w:rsidRDefault="001E2AC0">
      <w:pPr>
        <w:rPr>
          <w:rFonts w:asciiTheme="majorBidi" w:hAnsiTheme="majorBidi" w:cstheme="majorBidi"/>
          <w:b/>
          <w:bCs/>
          <w:color w:val="000000" w:themeColor="text1"/>
        </w:rPr>
      </w:pPr>
    </w:p>
    <w:p w14:paraId="2E621325" w14:textId="77777777" w:rsidR="001E2AC0" w:rsidRPr="0058665E" w:rsidRDefault="001E2AC0">
      <w:pPr>
        <w:rPr>
          <w:rFonts w:asciiTheme="majorBidi" w:hAnsiTheme="majorBidi" w:cstheme="majorBidi"/>
          <w:b/>
          <w:bCs/>
          <w:color w:val="000000" w:themeColor="text1"/>
        </w:rPr>
      </w:pPr>
    </w:p>
    <w:p w14:paraId="03855128"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br w:type="page"/>
      </w:r>
    </w:p>
    <w:p w14:paraId="2C870F6C" w14:textId="77777777" w:rsidR="001E2AC0" w:rsidRPr="0058665E" w:rsidRDefault="005838B2">
      <w:pPr>
        <w:rPr>
          <w:rFonts w:asciiTheme="majorBidi" w:hAnsiTheme="majorBidi" w:cstheme="majorBidi"/>
          <w:b/>
          <w:bCs/>
          <w:color w:val="000000" w:themeColor="text1"/>
        </w:rPr>
      </w:pPr>
      <w:r w:rsidRPr="0058665E">
        <w:rPr>
          <w:rFonts w:asciiTheme="majorBidi" w:hAnsiTheme="majorBidi" w:cstheme="majorBidi"/>
          <w:b/>
          <w:bCs/>
          <w:color w:val="000000" w:themeColor="text1"/>
        </w:rPr>
        <w:lastRenderedPageBreak/>
        <w:t>Executive summary</w:t>
      </w:r>
    </w:p>
    <w:p w14:paraId="54677C4C"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The report’s purpose was to conduct a strategic analysis of Jaguar Land Rover, a major automotive manufacturer in the UK. The analyses were done from the internal and external perspective through the use of PESTLE, Porter’s Five Forces, VRIO, Value Chain, Resource-Based View and SWOT frameworks. Through the identification of main macroeconomic challenges of inflation, consumer behaviour and supply chain uncertainties, the report suggested four major strategic alternatives. The alternatives were related to s</w:t>
      </w:r>
      <w:r w:rsidRPr="0058665E">
        <w:rPr>
          <w:rFonts w:asciiTheme="majorBidi" w:hAnsiTheme="majorBidi" w:cstheme="majorBidi"/>
          <w:color w:val="000000" w:themeColor="text1"/>
        </w:rPr>
        <w:t xml:space="preserve">trengthening EV leadership, investing in digital transformation, global expansion and AI adoption. </w:t>
      </w:r>
    </w:p>
    <w:p w14:paraId="21185630" w14:textId="77777777" w:rsidR="001E2AC0" w:rsidRPr="0058665E" w:rsidRDefault="001E2AC0">
      <w:pPr>
        <w:rPr>
          <w:rFonts w:asciiTheme="majorBidi" w:hAnsiTheme="majorBidi" w:cstheme="majorBidi"/>
          <w:b/>
          <w:bCs/>
          <w:color w:val="000000" w:themeColor="text1"/>
        </w:rPr>
      </w:pPr>
    </w:p>
    <w:p w14:paraId="3DAF3C77" w14:textId="77777777" w:rsidR="001E2AC0" w:rsidRPr="0058665E" w:rsidRDefault="005838B2">
      <w:pPr>
        <w:rPr>
          <w:rFonts w:asciiTheme="majorBidi" w:hAnsiTheme="majorBidi" w:cstheme="majorBidi"/>
          <w:b/>
          <w:bCs/>
          <w:color w:val="000000" w:themeColor="text1"/>
        </w:rPr>
      </w:pPr>
      <w:bookmarkStart w:id="0" w:name="_s8ccrgcmijme" w:colFirst="0" w:colLast="0"/>
      <w:bookmarkEnd w:id="0"/>
      <w:r w:rsidRPr="0058665E">
        <w:rPr>
          <w:rFonts w:asciiTheme="majorBidi" w:hAnsiTheme="majorBidi" w:cstheme="majorBidi"/>
          <w:color w:val="000000" w:themeColor="text1"/>
        </w:rPr>
        <w:br w:type="page"/>
      </w:r>
    </w:p>
    <w:p w14:paraId="06AF7095" w14:textId="77777777" w:rsidR="001E2AC0" w:rsidRPr="0058665E" w:rsidRDefault="005838B2">
      <w:pPr>
        <w:keepNext/>
        <w:keepLines/>
        <w:pBdr>
          <w:top w:val="nil"/>
          <w:left w:val="nil"/>
          <w:bottom w:val="nil"/>
          <w:right w:val="nil"/>
          <w:between w:val="nil"/>
        </w:pBdr>
        <w:spacing w:before="240" w:line="259" w:lineRule="auto"/>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lastRenderedPageBreak/>
        <w:t>Table of Contents</w:t>
      </w:r>
    </w:p>
    <w:sdt>
      <w:sdtPr>
        <w:rPr>
          <w:rFonts w:asciiTheme="majorBidi" w:hAnsiTheme="majorBidi" w:cstheme="majorBidi"/>
          <w:color w:val="000000" w:themeColor="text1"/>
        </w:rPr>
        <w:id w:val="-1630409229"/>
        <w:docPartObj>
          <w:docPartGallery w:val="Table of Contents"/>
          <w:docPartUnique/>
        </w:docPartObj>
      </w:sdtPr>
      <w:sdtEndPr/>
      <w:sdtContent>
        <w:p w14:paraId="343A157C" w14:textId="1F34339A" w:rsidR="000C62D4" w:rsidRPr="0058665E" w:rsidRDefault="005838B2">
          <w:pPr>
            <w:pStyle w:val="TOC1"/>
            <w:tabs>
              <w:tab w:val="right" w:leader="dot" w:pos="9019"/>
            </w:tabs>
            <w:rPr>
              <w:rFonts w:asciiTheme="majorBidi" w:hAnsiTheme="majorBidi" w:cstheme="majorBidi"/>
              <w:noProof/>
              <w:color w:val="000000" w:themeColor="text1"/>
            </w:rPr>
          </w:pPr>
          <w:r w:rsidRPr="0058665E">
            <w:rPr>
              <w:rFonts w:asciiTheme="majorBidi" w:hAnsiTheme="majorBidi" w:cstheme="majorBidi"/>
              <w:color w:val="000000" w:themeColor="text1"/>
            </w:rPr>
            <w:fldChar w:fldCharType="begin"/>
          </w:r>
          <w:r w:rsidRPr="0058665E">
            <w:rPr>
              <w:rFonts w:asciiTheme="majorBidi" w:hAnsiTheme="majorBidi" w:cstheme="majorBidi"/>
              <w:color w:val="000000" w:themeColor="text1"/>
            </w:rPr>
            <w:instrText xml:space="preserve"> TOC \h \u \z \t "Heading 1,1,Heading 2,2,Heading 3,3,"</w:instrText>
          </w:r>
          <w:r w:rsidRPr="0058665E">
            <w:rPr>
              <w:rFonts w:asciiTheme="majorBidi" w:hAnsiTheme="majorBidi" w:cstheme="majorBidi"/>
              <w:color w:val="000000" w:themeColor="text1"/>
            </w:rPr>
            <w:fldChar w:fldCharType="separate"/>
          </w:r>
          <w:hyperlink w:anchor="_Toc215400083" w:history="1">
            <w:r w:rsidR="000C62D4" w:rsidRPr="0058665E">
              <w:rPr>
                <w:rStyle w:val="Hyperlink"/>
                <w:rFonts w:asciiTheme="majorBidi" w:hAnsiTheme="majorBidi" w:cstheme="majorBidi"/>
                <w:noProof/>
                <w:color w:val="000000" w:themeColor="text1"/>
              </w:rPr>
              <w:t>1. Introduction</w:t>
            </w:r>
            <w:r w:rsidR="000C62D4" w:rsidRPr="0058665E">
              <w:rPr>
                <w:rFonts w:asciiTheme="majorBidi" w:hAnsiTheme="majorBidi" w:cstheme="majorBidi"/>
                <w:noProof/>
                <w:webHidden/>
                <w:color w:val="000000" w:themeColor="text1"/>
              </w:rPr>
              <w:tab/>
            </w:r>
            <w:r w:rsidR="000C62D4" w:rsidRPr="0058665E">
              <w:rPr>
                <w:rFonts w:asciiTheme="majorBidi" w:hAnsiTheme="majorBidi" w:cstheme="majorBidi"/>
                <w:noProof/>
                <w:webHidden/>
                <w:color w:val="000000" w:themeColor="text1"/>
              </w:rPr>
              <w:fldChar w:fldCharType="begin"/>
            </w:r>
            <w:r w:rsidR="000C62D4" w:rsidRPr="0058665E">
              <w:rPr>
                <w:rFonts w:asciiTheme="majorBidi" w:hAnsiTheme="majorBidi" w:cstheme="majorBidi"/>
                <w:noProof/>
                <w:webHidden/>
                <w:color w:val="000000" w:themeColor="text1"/>
              </w:rPr>
              <w:instrText xml:space="preserve"> PAGEREF _Toc215400083 \h </w:instrText>
            </w:r>
            <w:r w:rsidR="000C62D4" w:rsidRPr="0058665E">
              <w:rPr>
                <w:rFonts w:asciiTheme="majorBidi" w:hAnsiTheme="majorBidi" w:cstheme="majorBidi"/>
                <w:noProof/>
                <w:webHidden/>
                <w:color w:val="000000" w:themeColor="text1"/>
              </w:rPr>
            </w:r>
            <w:r w:rsidR="000C62D4" w:rsidRPr="0058665E">
              <w:rPr>
                <w:rFonts w:asciiTheme="majorBidi" w:hAnsiTheme="majorBidi" w:cstheme="majorBidi"/>
                <w:noProof/>
                <w:webHidden/>
                <w:color w:val="000000" w:themeColor="text1"/>
              </w:rPr>
              <w:fldChar w:fldCharType="separate"/>
            </w:r>
            <w:r w:rsidR="000C62D4" w:rsidRPr="0058665E">
              <w:rPr>
                <w:rFonts w:asciiTheme="majorBidi" w:hAnsiTheme="majorBidi" w:cstheme="majorBidi"/>
                <w:noProof/>
                <w:webHidden/>
                <w:color w:val="000000" w:themeColor="text1"/>
              </w:rPr>
              <w:t>4</w:t>
            </w:r>
            <w:r w:rsidR="000C62D4" w:rsidRPr="0058665E">
              <w:rPr>
                <w:rFonts w:asciiTheme="majorBidi" w:hAnsiTheme="majorBidi" w:cstheme="majorBidi"/>
                <w:noProof/>
                <w:webHidden/>
                <w:color w:val="000000" w:themeColor="text1"/>
              </w:rPr>
              <w:fldChar w:fldCharType="end"/>
            </w:r>
          </w:hyperlink>
        </w:p>
        <w:p w14:paraId="33570B2B" w14:textId="5D12B95D" w:rsidR="000C62D4" w:rsidRPr="0058665E" w:rsidRDefault="000C62D4">
          <w:pPr>
            <w:pStyle w:val="TOC1"/>
            <w:tabs>
              <w:tab w:val="right" w:leader="dot" w:pos="9019"/>
            </w:tabs>
            <w:rPr>
              <w:rFonts w:asciiTheme="majorBidi" w:hAnsiTheme="majorBidi" w:cstheme="majorBidi"/>
              <w:noProof/>
              <w:color w:val="000000" w:themeColor="text1"/>
            </w:rPr>
          </w:pPr>
          <w:hyperlink w:anchor="_Toc215400084" w:history="1">
            <w:r w:rsidRPr="0058665E">
              <w:rPr>
                <w:rStyle w:val="Hyperlink"/>
                <w:rFonts w:asciiTheme="majorBidi" w:hAnsiTheme="majorBidi" w:cstheme="majorBidi"/>
                <w:noProof/>
                <w:color w:val="000000" w:themeColor="text1"/>
              </w:rPr>
              <w:t>2. Strategy analysis</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_Toc215400084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5</w:t>
            </w:r>
            <w:r w:rsidRPr="0058665E">
              <w:rPr>
                <w:rFonts w:asciiTheme="majorBidi" w:hAnsiTheme="majorBidi" w:cstheme="majorBidi"/>
                <w:noProof/>
                <w:webHidden/>
                <w:color w:val="000000" w:themeColor="text1"/>
              </w:rPr>
              <w:fldChar w:fldCharType="end"/>
            </w:r>
          </w:hyperlink>
        </w:p>
        <w:p w14:paraId="2D543149" w14:textId="5B292FDB" w:rsidR="000C62D4" w:rsidRPr="0058665E" w:rsidRDefault="000C62D4">
          <w:pPr>
            <w:pStyle w:val="TOC2"/>
            <w:tabs>
              <w:tab w:val="right" w:leader="dot" w:pos="9019"/>
            </w:tabs>
            <w:rPr>
              <w:rFonts w:asciiTheme="majorBidi" w:hAnsiTheme="majorBidi" w:cstheme="majorBidi"/>
              <w:noProof/>
              <w:color w:val="000000" w:themeColor="text1"/>
            </w:rPr>
          </w:pPr>
          <w:hyperlink w:anchor="_Toc215400085" w:history="1">
            <w:r w:rsidRPr="0058665E">
              <w:rPr>
                <w:rStyle w:val="Hyperlink"/>
                <w:rFonts w:asciiTheme="majorBidi" w:hAnsiTheme="majorBidi" w:cstheme="majorBidi"/>
                <w:noProof/>
                <w:color w:val="000000" w:themeColor="text1"/>
              </w:rPr>
              <w:t>2.1 External environmental audit</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_Toc215400085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5</w:t>
            </w:r>
            <w:r w:rsidRPr="0058665E">
              <w:rPr>
                <w:rFonts w:asciiTheme="majorBidi" w:hAnsiTheme="majorBidi" w:cstheme="majorBidi"/>
                <w:noProof/>
                <w:webHidden/>
                <w:color w:val="000000" w:themeColor="text1"/>
              </w:rPr>
              <w:fldChar w:fldCharType="end"/>
            </w:r>
          </w:hyperlink>
        </w:p>
        <w:p w14:paraId="11F38DFF" w14:textId="5048E7C4" w:rsidR="000C62D4" w:rsidRPr="0058665E" w:rsidRDefault="000C62D4">
          <w:pPr>
            <w:pStyle w:val="TOC2"/>
            <w:tabs>
              <w:tab w:val="right" w:leader="dot" w:pos="9019"/>
            </w:tabs>
            <w:rPr>
              <w:rFonts w:asciiTheme="majorBidi" w:hAnsiTheme="majorBidi" w:cstheme="majorBidi"/>
              <w:noProof/>
              <w:color w:val="000000" w:themeColor="text1"/>
            </w:rPr>
          </w:pPr>
          <w:hyperlink w:anchor="_Toc215400086" w:history="1">
            <w:r w:rsidRPr="0058665E">
              <w:rPr>
                <w:rStyle w:val="Hyperlink"/>
                <w:rFonts w:asciiTheme="majorBidi" w:hAnsiTheme="majorBidi" w:cstheme="majorBidi"/>
                <w:noProof/>
                <w:color w:val="000000" w:themeColor="text1"/>
              </w:rPr>
              <w:t>2.2 Internal environment audit</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_Toc215400086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9</w:t>
            </w:r>
            <w:r w:rsidRPr="0058665E">
              <w:rPr>
                <w:rFonts w:asciiTheme="majorBidi" w:hAnsiTheme="majorBidi" w:cstheme="majorBidi"/>
                <w:noProof/>
                <w:webHidden/>
                <w:color w:val="000000" w:themeColor="text1"/>
              </w:rPr>
              <w:fldChar w:fldCharType="end"/>
            </w:r>
          </w:hyperlink>
        </w:p>
        <w:p w14:paraId="479B2642" w14:textId="741C1AB9" w:rsidR="000C62D4" w:rsidRPr="0058665E" w:rsidRDefault="000C62D4">
          <w:pPr>
            <w:pStyle w:val="TOC2"/>
            <w:tabs>
              <w:tab w:val="right" w:leader="dot" w:pos="9019"/>
            </w:tabs>
            <w:rPr>
              <w:rFonts w:asciiTheme="majorBidi" w:hAnsiTheme="majorBidi" w:cstheme="majorBidi"/>
              <w:noProof/>
              <w:color w:val="000000" w:themeColor="text1"/>
            </w:rPr>
          </w:pPr>
          <w:hyperlink w:anchor="_Toc215400087" w:history="1">
            <w:r w:rsidRPr="0058665E">
              <w:rPr>
                <w:rStyle w:val="Hyperlink"/>
                <w:rFonts w:asciiTheme="majorBidi" w:hAnsiTheme="majorBidi" w:cstheme="majorBidi"/>
                <w:noProof/>
                <w:color w:val="000000" w:themeColor="text1"/>
              </w:rPr>
              <w:t>2.3 SWOT analysis</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_Toc215400087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12</w:t>
            </w:r>
            <w:r w:rsidRPr="0058665E">
              <w:rPr>
                <w:rFonts w:asciiTheme="majorBidi" w:hAnsiTheme="majorBidi" w:cstheme="majorBidi"/>
                <w:noProof/>
                <w:webHidden/>
                <w:color w:val="000000" w:themeColor="text1"/>
              </w:rPr>
              <w:fldChar w:fldCharType="end"/>
            </w:r>
          </w:hyperlink>
        </w:p>
        <w:p w14:paraId="26179BC7" w14:textId="53249260" w:rsidR="000C62D4" w:rsidRPr="0058665E" w:rsidRDefault="000C62D4">
          <w:pPr>
            <w:pStyle w:val="TOC1"/>
            <w:tabs>
              <w:tab w:val="right" w:leader="dot" w:pos="9019"/>
            </w:tabs>
            <w:rPr>
              <w:rFonts w:asciiTheme="majorBidi" w:hAnsiTheme="majorBidi" w:cstheme="majorBidi"/>
              <w:noProof/>
              <w:color w:val="000000" w:themeColor="text1"/>
            </w:rPr>
          </w:pPr>
          <w:hyperlink w:anchor="_Toc215400088" w:history="1">
            <w:r w:rsidRPr="0058665E">
              <w:rPr>
                <w:rStyle w:val="Hyperlink"/>
                <w:rFonts w:asciiTheme="majorBidi" w:hAnsiTheme="majorBidi" w:cstheme="majorBidi"/>
                <w:noProof/>
                <w:color w:val="000000" w:themeColor="text1"/>
              </w:rPr>
              <w:t>3. Strategy formation</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_Toc215400088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13</w:t>
            </w:r>
            <w:r w:rsidRPr="0058665E">
              <w:rPr>
                <w:rFonts w:asciiTheme="majorBidi" w:hAnsiTheme="majorBidi" w:cstheme="majorBidi"/>
                <w:noProof/>
                <w:webHidden/>
                <w:color w:val="000000" w:themeColor="text1"/>
              </w:rPr>
              <w:fldChar w:fldCharType="end"/>
            </w:r>
          </w:hyperlink>
        </w:p>
        <w:p w14:paraId="72BFE70C" w14:textId="37F683CE" w:rsidR="000C62D4" w:rsidRPr="0058665E" w:rsidRDefault="000C62D4">
          <w:pPr>
            <w:pStyle w:val="TOC1"/>
            <w:tabs>
              <w:tab w:val="right" w:leader="dot" w:pos="9019"/>
            </w:tabs>
            <w:rPr>
              <w:rFonts w:asciiTheme="majorBidi" w:hAnsiTheme="majorBidi" w:cstheme="majorBidi"/>
              <w:noProof/>
              <w:color w:val="000000" w:themeColor="text1"/>
            </w:rPr>
          </w:pPr>
          <w:hyperlink w:anchor="_Toc215400089" w:history="1">
            <w:r w:rsidRPr="0058665E">
              <w:rPr>
                <w:rStyle w:val="Hyperlink"/>
                <w:rFonts w:asciiTheme="majorBidi" w:hAnsiTheme="majorBidi" w:cstheme="majorBidi"/>
                <w:noProof/>
                <w:color w:val="000000" w:themeColor="text1"/>
              </w:rPr>
              <w:t>4. Conclusion</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_Toc215400089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14</w:t>
            </w:r>
            <w:r w:rsidRPr="0058665E">
              <w:rPr>
                <w:rFonts w:asciiTheme="majorBidi" w:hAnsiTheme="majorBidi" w:cstheme="majorBidi"/>
                <w:noProof/>
                <w:webHidden/>
                <w:color w:val="000000" w:themeColor="text1"/>
              </w:rPr>
              <w:fldChar w:fldCharType="end"/>
            </w:r>
          </w:hyperlink>
        </w:p>
        <w:p w14:paraId="470FBBAF" w14:textId="20945471" w:rsidR="000C62D4" w:rsidRPr="0058665E" w:rsidRDefault="000C62D4">
          <w:pPr>
            <w:pStyle w:val="TOC1"/>
            <w:tabs>
              <w:tab w:val="right" w:leader="dot" w:pos="9019"/>
            </w:tabs>
            <w:rPr>
              <w:rFonts w:asciiTheme="majorBidi" w:hAnsiTheme="majorBidi" w:cstheme="majorBidi"/>
              <w:noProof/>
              <w:color w:val="000000" w:themeColor="text1"/>
            </w:rPr>
          </w:pPr>
          <w:hyperlink w:anchor="_Toc215400090" w:history="1">
            <w:r w:rsidRPr="0058665E">
              <w:rPr>
                <w:rStyle w:val="Hyperlink"/>
                <w:rFonts w:asciiTheme="majorBidi" w:hAnsiTheme="majorBidi" w:cstheme="majorBidi"/>
                <w:noProof/>
                <w:color w:val="000000" w:themeColor="text1"/>
              </w:rPr>
              <w:t>5. Recommendations</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_Toc215400090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15</w:t>
            </w:r>
            <w:r w:rsidRPr="0058665E">
              <w:rPr>
                <w:rFonts w:asciiTheme="majorBidi" w:hAnsiTheme="majorBidi" w:cstheme="majorBidi"/>
                <w:noProof/>
                <w:webHidden/>
                <w:color w:val="000000" w:themeColor="text1"/>
              </w:rPr>
              <w:fldChar w:fldCharType="end"/>
            </w:r>
          </w:hyperlink>
        </w:p>
        <w:p w14:paraId="419FFA06" w14:textId="1D5F5B3C" w:rsidR="000C62D4" w:rsidRPr="0058665E" w:rsidRDefault="000C62D4">
          <w:pPr>
            <w:pStyle w:val="TOC1"/>
            <w:tabs>
              <w:tab w:val="right" w:leader="dot" w:pos="9019"/>
            </w:tabs>
            <w:rPr>
              <w:rFonts w:asciiTheme="majorBidi" w:hAnsiTheme="majorBidi" w:cstheme="majorBidi"/>
              <w:noProof/>
              <w:color w:val="000000" w:themeColor="text1"/>
            </w:rPr>
          </w:pPr>
          <w:hyperlink w:anchor="_Toc215400091" w:history="1">
            <w:r w:rsidRPr="0058665E">
              <w:rPr>
                <w:rStyle w:val="Hyperlink"/>
                <w:rFonts w:asciiTheme="majorBidi" w:hAnsiTheme="majorBidi" w:cstheme="majorBidi"/>
                <w:noProof/>
                <w:color w:val="000000" w:themeColor="text1"/>
              </w:rPr>
              <w:t>6. References</w:t>
            </w:r>
            <w:r w:rsidRPr="0058665E">
              <w:rPr>
                <w:rFonts w:asciiTheme="majorBidi" w:hAnsiTheme="majorBidi" w:cstheme="majorBidi"/>
                <w:noProof/>
                <w:webHidden/>
                <w:color w:val="000000" w:themeColor="text1"/>
              </w:rPr>
              <w:tab/>
            </w:r>
            <w:r w:rsidRPr="0058665E">
              <w:rPr>
                <w:rFonts w:asciiTheme="majorBidi" w:hAnsiTheme="majorBidi" w:cstheme="majorBidi"/>
                <w:noProof/>
                <w:webHidden/>
                <w:color w:val="000000" w:themeColor="text1"/>
              </w:rPr>
              <w:fldChar w:fldCharType="begin"/>
            </w:r>
            <w:r w:rsidRPr="0058665E">
              <w:rPr>
                <w:rFonts w:asciiTheme="majorBidi" w:hAnsiTheme="majorBidi" w:cstheme="majorBidi"/>
                <w:noProof/>
                <w:webHidden/>
                <w:color w:val="000000" w:themeColor="text1"/>
              </w:rPr>
              <w:instrText xml:space="preserve"> PAGEREF _Toc215400091 \h </w:instrText>
            </w:r>
            <w:r w:rsidRPr="0058665E">
              <w:rPr>
                <w:rFonts w:asciiTheme="majorBidi" w:hAnsiTheme="majorBidi" w:cstheme="majorBidi"/>
                <w:noProof/>
                <w:webHidden/>
                <w:color w:val="000000" w:themeColor="text1"/>
              </w:rPr>
            </w:r>
            <w:r w:rsidRPr="0058665E">
              <w:rPr>
                <w:rFonts w:asciiTheme="majorBidi" w:hAnsiTheme="majorBidi" w:cstheme="majorBidi"/>
                <w:noProof/>
                <w:webHidden/>
                <w:color w:val="000000" w:themeColor="text1"/>
              </w:rPr>
              <w:fldChar w:fldCharType="separate"/>
            </w:r>
            <w:r w:rsidRPr="0058665E">
              <w:rPr>
                <w:rFonts w:asciiTheme="majorBidi" w:hAnsiTheme="majorBidi" w:cstheme="majorBidi"/>
                <w:noProof/>
                <w:webHidden/>
                <w:color w:val="000000" w:themeColor="text1"/>
              </w:rPr>
              <w:t>16</w:t>
            </w:r>
            <w:r w:rsidRPr="0058665E">
              <w:rPr>
                <w:rFonts w:asciiTheme="majorBidi" w:hAnsiTheme="majorBidi" w:cstheme="majorBidi"/>
                <w:noProof/>
                <w:webHidden/>
                <w:color w:val="000000" w:themeColor="text1"/>
              </w:rPr>
              <w:fldChar w:fldCharType="end"/>
            </w:r>
          </w:hyperlink>
        </w:p>
        <w:p w14:paraId="5F38178D" w14:textId="31477CAA"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fldChar w:fldCharType="end"/>
          </w:r>
        </w:p>
      </w:sdtContent>
    </w:sdt>
    <w:p w14:paraId="05EC6A25" w14:textId="77777777" w:rsidR="001E2AC0" w:rsidRPr="0058665E" w:rsidRDefault="005838B2">
      <w:pPr>
        <w:pStyle w:val="Heading1"/>
        <w:rPr>
          <w:rFonts w:asciiTheme="majorBidi" w:hAnsiTheme="majorBidi" w:cstheme="majorBidi"/>
          <w:color w:val="000000" w:themeColor="text1"/>
        </w:rPr>
      </w:pPr>
      <w:r w:rsidRPr="0058665E">
        <w:rPr>
          <w:rFonts w:asciiTheme="majorBidi" w:hAnsiTheme="majorBidi" w:cstheme="majorBidi"/>
          <w:color w:val="000000" w:themeColor="text1"/>
        </w:rPr>
        <w:br w:type="page"/>
      </w:r>
    </w:p>
    <w:p w14:paraId="59B0D2D3" w14:textId="77777777" w:rsidR="001E2AC0" w:rsidRPr="0058665E" w:rsidRDefault="005838B2">
      <w:pPr>
        <w:pStyle w:val="Heading1"/>
        <w:rPr>
          <w:rFonts w:asciiTheme="majorBidi" w:hAnsiTheme="majorBidi" w:cstheme="majorBidi"/>
          <w:color w:val="000000" w:themeColor="text1"/>
        </w:rPr>
      </w:pPr>
      <w:bookmarkStart w:id="1" w:name="_Toc215400083"/>
      <w:r w:rsidRPr="0058665E">
        <w:rPr>
          <w:rFonts w:asciiTheme="majorBidi" w:hAnsiTheme="majorBidi" w:cstheme="majorBidi"/>
          <w:color w:val="000000" w:themeColor="text1"/>
        </w:rPr>
        <w:lastRenderedPageBreak/>
        <w:t>1. Introduction</w:t>
      </w:r>
      <w:bookmarkEnd w:id="1"/>
    </w:p>
    <w:p w14:paraId="6F94CA22"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Strategic management is identified as a major supporting factor towards business success and smooth operations, as required by the management and external environment (</w:t>
      </w:r>
      <w:proofErr w:type="spellStart"/>
      <w:r w:rsidRPr="0058665E">
        <w:rPr>
          <w:rFonts w:asciiTheme="majorBidi" w:hAnsiTheme="majorBidi" w:cstheme="majorBidi"/>
          <w:color w:val="000000" w:themeColor="text1"/>
        </w:rPr>
        <w:t>Mukonori</w:t>
      </w:r>
      <w:proofErr w:type="spellEnd"/>
      <w:r w:rsidRPr="0058665E">
        <w:rPr>
          <w:rFonts w:asciiTheme="majorBidi" w:hAnsiTheme="majorBidi" w:cstheme="majorBidi"/>
          <w:color w:val="000000" w:themeColor="text1"/>
        </w:rPr>
        <w:t xml:space="preserve"> and </w:t>
      </w:r>
      <w:proofErr w:type="spellStart"/>
      <w:r w:rsidRPr="0058665E">
        <w:rPr>
          <w:rFonts w:asciiTheme="majorBidi" w:hAnsiTheme="majorBidi" w:cstheme="majorBidi"/>
          <w:color w:val="000000" w:themeColor="text1"/>
        </w:rPr>
        <w:t>Qutieshat</w:t>
      </w:r>
      <w:proofErr w:type="spellEnd"/>
      <w:r w:rsidRPr="0058665E">
        <w:rPr>
          <w:rFonts w:asciiTheme="majorBidi" w:hAnsiTheme="majorBidi" w:cstheme="majorBidi"/>
          <w:color w:val="000000" w:themeColor="text1"/>
        </w:rPr>
        <w:t xml:space="preserve">, 2025; Rodrigues </w:t>
      </w:r>
      <w:r w:rsidRPr="0058665E">
        <w:rPr>
          <w:rFonts w:asciiTheme="majorBidi" w:hAnsiTheme="majorBidi" w:cstheme="majorBidi"/>
          <w:i/>
          <w:iCs/>
          <w:color w:val="000000" w:themeColor="text1"/>
        </w:rPr>
        <w:t>et al.</w:t>
      </w:r>
      <w:r w:rsidRPr="0058665E">
        <w:rPr>
          <w:rFonts w:asciiTheme="majorBidi" w:hAnsiTheme="majorBidi" w:cstheme="majorBidi"/>
          <w:color w:val="000000" w:themeColor="text1"/>
        </w:rPr>
        <w:t xml:space="preserve">, 2021). </w:t>
      </w:r>
      <w:proofErr w:type="spellStart"/>
      <w:r w:rsidRPr="0058665E">
        <w:rPr>
          <w:rFonts w:asciiTheme="majorBidi" w:hAnsiTheme="majorBidi" w:cstheme="majorBidi"/>
          <w:color w:val="000000" w:themeColor="text1"/>
        </w:rPr>
        <w:t>Quantive</w:t>
      </w:r>
      <w:proofErr w:type="spellEnd"/>
      <w:r w:rsidRPr="0058665E">
        <w:rPr>
          <w:rFonts w:asciiTheme="majorBidi" w:hAnsiTheme="majorBidi" w:cstheme="majorBidi"/>
          <w:color w:val="000000" w:themeColor="text1"/>
        </w:rPr>
        <w:t xml:space="preserve"> (2025) puts strategic management as the overall corporate plan, actions and the big decisions undertaken in the process to achieve long-term goals. Within this, strategies related to corporate, business, functional, operating and competitive can be found to make the decisions more inclusive of the internal and external environment associated with the business. Alharbi (2024) represented the aspect of strategic management is emphatically related</w:t>
      </w:r>
      <w:r w:rsidRPr="0058665E">
        <w:rPr>
          <w:rFonts w:asciiTheme="majorBidi" w:hAnsiTheme="majorBidi" w:cstheme="majorBidi"/>
          <w:color w:val="000000" w:themeColor="text1"/>
        </w:rPr>
        <w:t xml:space="preserve"> to the automotive sector, based on its rapidly changing external environment and internal decisions. In the automotive sector, Jaguar Land Rover (JLR) has made a significant impact in national contributions. JLR’s vision is to become the most desirable brand, as it provides distinction with modernist design and emotional connection with automobiles (Jaguar Land Rover Automotive PLC, 2025). Considering the case of Jaguar Land Rover, this report provides a discussion of the strategy analysis from various lan</w:t>
      </w:r>
      <w:r w:rsidRPr="0058665E">
        <w:rPr>
          <w:rFonts w:asciiTheme="majorBidi" w:hAnsiTheme="majorBidi" w:cstheme="majorBidi"/>
          <w:color w:val="000000" w:themeColor="text1"/>
        </w:rPr>
        <w:t xml:space="preserve">dscapes, such as external environment, internal environment and the organisational capabilities. These analyses will provide an insight into the strategic alternatives that can be adopted by the brand whilst also suggesting actionable visions. The analysis of the current strategic formulation in the organisation will pave the way for this report to highlight the key alternatives. </w:t>
      </w:r>
    </w:p>
    <w:p w14:paraId="3A1B6041" w14:textId="77777777" w:rsidR="001E2AC0" w:rsidRPr="0058665E" w:rsidRDefault="001E2AC0">
      <w:pPr>
        <w:rPr>
          <w:rFonts w:asciiTheme="majorBidi" w:hAnsiTheme="majorBidi" w:cstheme="majorBidi"/>
          <w:b/>
          <w:bCs/>
          <w:color w:val="000000" w:themeColor="text1"/>
        </w:rPr>
      </w:pPr>
    </w:p>
    <w:p w14:paraId="474878A7" w14:textId="77777777" w:rsidR="001E2AC0" w:rsidRPr="0058665E" w:rsidRDefault="005838B2">
      <w:pPr>
        <w:pStyle w:val="Heading1"/>
        <w:rPr>
          <w:rFonts w:asciiTheme="majorBidi" w:hAnsiTheme="majorBidi" w:cstheme="majorBidi"/>
          <w:color w:val="000000" w:themeColor="text1"/>
        </w:rPr>
      </w:pPr>
      <w:bookmarkStart w:id="2" w:name="_g5vvkql4atn6" w:colFirst="0" w:colLast="0"/>
      <w:bookmarkEnd w:id="2"/>
      <w:r w:rsidRPr="0058665E">
        <w:rPr>
          <w:rFonts w:asciiTheme="majorBidi" w:hAnsiTheme="majorBidi" w:cstheme="majorBidi"/>
          <w:color w:val="000000" w:themeColor="text1"/>
        </w:rPr>
        <w:br w:type="page"/>
      </w:r>
    </w:p>
    <w:p w14:paraId="42496CBE" w14:textId="77777777" w:rsidR="001E2AC0" w:rsidRPr="0058665E" w:rsidRDefault="005838B2">
      <w:pPr>
        <w:pStyle w:val="Heading1"/>
        <w:rPr>
          <w:rFonts w:asciiTheme="majorBidi" w:hAnsiTheme="majorBidi" w:cstheme="majorBidi"/>
          <w:color w:val="000000" w:themeColor="text1"/>
        </w:rPr>
      </w:pPr>
      <w:bookmarkStart w:id="3" w:name="_Toc215400084"/>
      <w:r w:rsidRPr="0058665E">
        <w:rPr>
          <w:rFonts w:asciiTheme="majorBidi" w:hAnsiTheme="majorBidi" w:cstheme="majorBidi"/>
          <w:color w:val="000000" w:themeColor="text1"/>
        </w:rPr>
        <w:lastRenderedPageBreak/>
        <w:t>2. Strategy analysis</w:t>
      </w:r>
      <w:bookmarkEnd w:id="3"/>
    </w:p>
    <w:p w14:paraId="15DD9935" w14:textId="77777777" w:rsidR="001E2AC0" w:rsidRPr="0058665E" w:rsidRDefault="005838B2">
      <w:pPr>
        <w:pStyle w:val="Heading2"/>
        <w:rPr>
          <w:rFonts w:asciiTheme="majorBidi" w:hAnsiTheme="majorBidi" w:cstheme="majorBidi"/>
          <w:color w:val="000000" w:themeColor="text1"/>
        </w:rPr>
      </w:pPr>
      <w:bookmarkStart w:id="4" w:name="_Toc215400085"/>
      <w:r w:rsidRPr="0058665E">
        <w:rPr>
          <w:rFonts w:asciiTheme="majorBidi" w:hAnsiTheme="majorBidi" w:cstheme="majorBidi"/>
          <w:color w:val="000000" w:themeColor="text1"/>
        </w:rPr>
        <w:t>2.1 External environmental audit</w:t>
      </w:r>
      <w:bookmarkEnd w:id="4"/>
    </w:p>
    <w:p w14:paraId="714B341B"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The analysis of the external factors close to the strategic decisions (</w:t>
      </w:r>
      <w:proofErr w:type="spellStart"/>
      <w:r w:rsidRPr="0058665E">
        <w:rPr>
          <w:rFonts w:asciiTheme="majorBidi" w:hAnsiTheme="majorBidi" w:cstheme="majorBidi"/>
          <w:color w:val="000000" w:themeColor="text1"/>
        </w:rPr>
        <w:t>Shatilo</w:t>
      </w:r>
      <w:proofErr w:type="spellEnd"/>
      <w:r w:rsidRPr="0058665E">
        <w:rPr>
          <w:rFonts w:asciiTheme="majorBidi" w:hAnsiTheme="majorBidi" w:cstheme="majorBidi"/>
          <w:color w:val="000000" w:themeColor="text1"/>
        </w:rPr>
        <w:t xml:space="preserve">, 2020), hence Jaguar Land Rover must evaluate them precisely. The use of PESTLE and Porter’s Fives Forces has been deemed necessary by this report. </w:t>
      </w:r>
    </w:p>
    <w:p w14:paraId="6D1AF64D" w14:textId="77777777" w:rsidR="001E2AC0" w:rsidRPr="0058665E" w:rsidRDefault="005838B2">
      <w:pPr>
        <w:rPr>
          <w:rFonts w:asciiTheme="majorBidi" w:hAnsiTheme="majorBidi" w:cstheme="majorBidi"/>
          <w:b/>
          <w:bCs/>
          <w:i/>
          <w:iCs/>
          <w:color w:val="000000" w:themeColor="text1"/>
        </w:rPr>
      </w:pPr>
      <w:r w:rsidRPr="0058665E">
        <w:rPr>
          <w:rFonts w:asciiTheme="majorBidi" w:hAnsiTheme="majorBidi" w:cstheme="majorBidi"/>
          <w:b/>
          <w:bCs/>
          <w:i/>
          <w:iCs/>
          <w:color w:val="000000" w:themeColor="text1"/>
        </w:rPr>
        <w:t>PESTLE analysis</w:t>
      </w:r>
    </w:p>
    <w:p w14:paraId="3E67E9F9"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Political: </w:t>
      </w:r>
      <w:r w:rsidRPr="0058665E">
        <w:rPr>
          <w:rFonts w:asciiTheme="majorBidi" w:hAnsiTheme="majorBidi" w:cstheme="majorBidi"/>
          <w:color w:val="000000" w:themeColor="text1"/>
        </w:rPr>
        <w:t xml:space="preserve">While perceiving the external environment from a political viewpoint, Brexit’s impact is visible on the sourcing and manufacturing. In this case, Jolly (2021) shared that Brexit has forced the UK automotive sector to manufacture or source 70% of materials from other counties, which has also decreased to 50% effective by January 2024. On the other hand, government support has also become a major external element to the growth of the sector through its infrastructure and digital policies. </w:t>
      </w:r>
    </w:p>
    <w:p w14:paraId="3387D4FE"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noProof/>
          <w:color w:val="000000" w:themeColor="text1"/>
        </w:rPr>
        <w:drawing>
          <wp:inline distT="114300" distB="114300" distL="114300" distR="114300" wp14:anchorId="1450FDBA" wp14:editId="0222742F">
            <wp:extent cx="5731200" cy="2895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2895600"/>
                    </a:xfrm>
                    <a:prstGeom prst="rect">
                      <a:avLst/>
                    </a:prstGeom>
                    <a:ln/>
                  </pic:spPr>
                </pic:pic>
              </a:graphicData>
            </a:graphic>
          </wp:inline>
        </w:drawing>
      </w:r>
    </w:p>
    <w:p w14:paraId="7D02DE73"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Figure 1: Battery production facility in Northumberland, UK</w:t>
      </w:r>
    </w:p>
    <w:p w14:paraId="721CDB3C" w14:textId="77777777" w:rsidR="001E2AC0" w:rsidRPr="0058665E" w:rsidRDefault="005838B2">
      <w:pPr>
        <w:jc w:val="center"/>
        <w:rPr>
          <w:rFonts w:asciiTheme="majorBidi" w:hAnsiTheme="majorBidi" w:cstheme="majorBidi"/>
          <w:color w:val="000000" w:themeColor="text1"/>
        </w:rPr>
      </w:pPr>
      <w:r w:rsidRPr="0058665E">
        <w:rPr>
          <w:rFonts w:asciiTheme="majorBidi" w:hAnsiTheme="majorBidi" w:cstheme="majorBidi"/>
          <w:color w:val="000000" w:themeColor="text1"/>
        </w:rPr>
        <w:t>(Source: Jolly, 2021)</w:t>
      </w:r>
    </w:p>
    <w:p w14:paraId="58137792"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Economic: </w:t>
      </w:r>
      <w:r w:rsidRPr="0058665E">
        <w:rPr>
          <w:rFonts w:asciiTheme="majorBidi" w:hAnsiTheme="majorBidi" w:cstheme="majorBidi"/>
          <w:color w:val="000000" w:themeColor="text1"/>
        </w:rPr>
        <w:t xml:space="preserve">The UK government and corporate investments in automotive infrastructure is highlighting an improvement, as it is creating more than 1,700 jobs recently (Leggett, 2025). On the other hand, the impact of rising labour costs and the lack of skilled workforce has also weakened the production and operations for the automotive industry (Brady, 2023). </w:t>
      </w:r>
    </w:p>
    <w:p w14:paraId="7DDEEFBB"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noProof/>
          <w:color w:val="000000" w:themeColor="text1"/>
        </w:rPr>
        <w:lastRenderedPageBreak/>
        <w:drawing>
          <wp:inline distT="114300" distB="114300" distL="114300" distR="114300" wp14:anchorId="7ECFD79B" wp14:editId="068F5FC8">
            <wp:extent cx="5731200" cy="41656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4165600"/>
                    </a:xfrm>
                    <a:prstGeom prst="rect">
                      <a:avLst/>
                    </a:prstGeom>
                    <a:ln w="12700">
                      <a:solidFill>
                        <a:srgbClr val="000000"/>
                      </a:solidFill>
                      <a:prstDash val="solid"/>
                    </a:ln>
                  </pic:spPr>
                </pic:pic>
              </a:graphicData>
            </a:graphic>
          </wp:inline>
        </w:drawing>
      </w:r>
    </w:p>
    <w:p w14:paraId="6C9FD503"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Figure 2: Declining car manufacturing in the UK</w:t>
      </w:r>
    </w:p>
    <w:p w14:paraId="4ABBCC80" w14:textId="77777777" w:rsidR="001E2AC0" w:rsidRPr="0058665E" w:rsidRDefault="005838B2">
      <w:pPr>
        <w:jc w:val="center"/>
        <w:rPr>
          <w:rFonts w:asciiTheme="majorBidi" w:hAnsiTheme="majorBidi" w:cstheme="majorBidi"/>
          <w:color w:val="000000" w:themeColor="text1"/>
        </w:rPr>
      </w:pPr>
      <w:r w:rsidRPr="0058665E">
        <w:rPr>
          <w:rFonts w:asciiTheme="majorBidi" w:hAnsiTheme="majorBidi" w:cstheme="majorBidi"/>
          <w:color w:val="000000" w:themeColor="text1"/>
        </w:rPr>
        <w:t>(Source: Leggett, 2025)</w:t>
      </w:r>
    </w:p>
    <w:p w14:paraId="21A12072"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Social: </w:t>
      </w:r>
      <w:r w:rsidRPr="0058665E">
        <w:rPr>
          <w:rFonts w:asciiTheme="majorBidi" w:hAnsiTheme="majorBidi" w:cstheme="majorBidi"/>
          <w:color w:val="000000" w:themeColor="text1"/>
        </w:rPr>
        <w:t xml:space="preserve">It is studied by Mandys and Taneja (2024) that consumers are increasingly demanding green and sustainable fossil fuel automobiles, directly influencing their decisions in the market. Alongside this, British consumers are also concerned with heritage brands representing their culture and history while making purchase decisions. </w:t>
      </w:r>
    </w:p>
    <w:p w14:paraId="3D667601"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noProof/>
          <w:color w:val="000000" w:themeColor="text1"/>
        </w:rPr>
        <w:drawing>
          <wp:inline distT="114300" distB="114300" distL="114300" distR="114300" wp14:anchorId="455A399F" wp14:editId="31616AEB">
            <wp:extent cx="5731200" cy="2171700"/>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171700"/>
                    </a:xfrm>
                    <a:prstGeom prst="rect">
                      <a:avLst/>
                    </a:prstGeom>
                    <a:ln w="12700">
                      <a:solidFill>
                        <a:srgbClr val="000000"/>
                      </a:solidFill>
                      <a:prstDash val="solid"/>
                    </a:ln>
                  </pic:spPr>
                </pic:pic>
              </a:graphicData>
            </a:graphic>
          </wp:inline>
        </w:drawing>
      </w:r>
    </w:p>
    <w:p w14:paraId="1EC9CDDF"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Figure 3: Rise in green automobile choices</w:t>
      </w:r>
    </w:p>
    <w:p w14:paraId="3EEB9EC2" w14:textId="77777777" w:rsidR="001E2AC0" w:rsidRPr="0058665E" w:rsidRDefault="005838B2">
      <w:pPr>
        <w:jc w:val="center"/>
        <w:rPr>
          <w:rFonts w:asciiTheme="majorBidi" w:hAnsiTheme="majorBidi" w:cstheme="majorBidi"/>
          <w:color w:val="000000" w:themeColor="text1"/>
        </w:rPr>
      </w:pPr>
      <w:r w:rsidRPr="0058665E">
        <w:rPr>
          <w:rFonts w:asciiTheme="majorBidi" w:hAnsiTheme="majorBidi" w:cstheme="majorBidi"/>
          <w:color w:val="000000" w:themeColor="text1"/>
        </w:rPr>
        <w:t>(Source: Mandys and Taneja, 2024)</w:t>
      </w:r>
    </w:p>
    <w:p w14:paraId="70363B89"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lastRenderedPageBreak/>
        <w:t xml:space="preserve">Technological: </w:t>
      </w:r>
      <w:r w:rsidRPr="0058665E">
        <w:rPr>
          <w:rFonts w:asciiTheme="majorBidi" w:hAnsiTheme="majorBidi" w:cstheme="majorBidi"/>
          <w:color w:val="000000" w:themeColor="text1"/>
        </w:rPr>
        <w:t xml:space="preserve">Technically, the production of eclectic vehicles and growth with the market demand has become very crucial in the automotive sector. However, a focus on EV production has slowed down other automobile production by 11.8% in 2024 (SMMT, 2025). Thus, a concern to transform with the market demand has become crucial. </w:t>
      </w:r>
    </w:p>
    <w:p w14:paraId="6B96E669"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noProof/>
          <w:color w:val="000000" w:themeColor="text1"/>
        </w:rPr>
        <w:drawing>
          <wp:inline distT="114300" distB="114300" distL="114300" distR="114300" wp14:anchorId="014F9144" wp14:editId="648493A6">
            <wp:extent cx="5731200" cy="4508500"/>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31200" cy="4508500"/>
                    </a:xfrm>
                    <a:prstGeom prst="rect">
                      <a:avLst/>
                    </a:prstGeom>
                    <a:ln w="12700">
                      <a:solidFill>
                        <a:srgbClr val="000000"/>
                      </a:solidFill>
                      <a:prstDash val="solid"/>
                    </a:ln>
                  </pic:spPr>
                </pic:pic>
              </a:graphicData>
            </a:graphic>
          </wp:inline>
        </w:drawing>
      </w:r>
    </w:p>
    <w:p w14:paraId="17123CDD"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Figure 4: UK car production rate over the years</w:t>
      </w:r>
    </w:p>
    <w:p w14:paraId="31B5A15C" w14:textId="77777777" w:rsidR="001E2AC0" w:rsidRPr="0058665E" w:rsidRDefault="005838B2">
      <w:pPr>
        <w:jc w:val="center"/>
        <w:rPr>
          <w:rFonts w:asciiTheme="majorBidi" w:hAnsiTheme="majorBidi" w:cstheme="majorBidi"/>
          <w:color w:val="000000" w:themeColor="text1"/>
        </w:rPr>
      </w:pPr>
      <w:r w:rsidRPr="0058665E">
        <w:rPr>
          <w:rFonts w:asciiTheme="majorBidi" w:hAnsiTheme="majorBidi" w:cstheme="majorBidi"/>
          <w:color w:val="000000" w:themeColor="text1"/>
        </w:rPr>
        <w:t>(Source: SMMT, 2025)</w:t>
      </w:r>
    </w:p>
    <w:p w14:paraId="1FFC0D4E"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Legal: </w:t>
      </w:r>
      <w:r w:rsidRPr="0058665E">
        <w:rPr>
          <w:rFonts w:asciiTheme="majorBidi" w:hAnsiTheme="majorBidi" w:cstheme="majorBidi"/>
          <w:color w:val="000000" w:themeColor="text1"/>
        </w:rPr>
        <w:t xml:space="preserve">The recent developments and policy changes have influenced automotive manufacturing in terms of units and transformation. The implications of the </w:t>
      </w:r>
      <w:r w:rsidRPr="0058665E">
        <w:rPr>
          <w:rFonts w:asciiTheme="majorBidi" w:hAnsiTheme="majorBidi" w:cstheme="majorBidi"/>
          <w:b/>
          <w:bCs/>
          <w:i/>
          <w:iCs/>
          <w:color w:val="000000" w:themeColor="text1"/>
        </w:rPr>
        <w:t>Automated Vehicles Act 2024</w:t>
      </w:r>
      <w:r w:rsidRPr="0058665E">
        <w:rPr>
          <w:rFonts w:asciiTheme="majorBidi" w:hAnsiTheme="majorBidi" w:cstheme="majorBidi"/>
          <w:color w:val="000000" w:themeColor="text1"/>
        </w:rPr>
        <w:t xml:space="preserve"> is also identified on the aspects of limited deployment of self-driving vehicles as of now (Legislation UK, 2024). </w:t>
      </w:r>
    </w:p>
    <w:p w14:paraId="23973CBC"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Environmental: </w:t>
      </w:r>
      <w:r w:rsidRPr="0058665E">
        <w:rPr>
          <w:rFonts w:asciiTheme="majorBidi" w:hAnsiTheme="majorBidi" w:cstheme="majorBidi"/>
          <w:color w:val="000000" w:themeColor="text1"/>
        </w:rPr>
        <w:t xml:space="preserve">The sector is also influenced by the </w:t>
      </w:r>
      <w:r w:rsidRPr="0058665E">
        <w:rPr>
          <w:rFonts w:asciiTheme="majorBidi" w:hAnsiTheme="majorBidi" w:cstheme="majorBidi"/>
          <w:b/>
          <w:bCs/>
          <w:i/>
          <w:iCs/>
          <w:color w:val="000000" w:themeColor="text1"/>
        </w:rPr>
        <w:t xml:space="preserve">Net Zero Policy </w:t>
      </w:r>
      <w:r w:rsidRPr="0058665E">
        <w:rPr>
          <w:rFonts w:asciiTheme="majorBidi" w:hAnsiTheme="majorBidi" w:cstheme="majorBidi"/>
          <w:color w:val="000000" w:themeColor="text1"/>
        </w:rPr>
        <w:t xml:space="preserve">for mobility and transport of vehicles considering the production with greater focus on carbon reduction process and equipment (SMMT, 2024). It has also emphasised the improvisation of supply chain and sourcing for car manufacturers. </w:t>
      </w:r>
    </w:p>
    <w:p w14:paraId="7C01B223" w14:textId="77777777" w:rsidR="001E2AC0" w:rsidRPr="0058665E" w:rsidRDefault="001E2AC0">
      <w:pPr>
        <w:rPr>
          <w:rFonts w:asciiTheme="majorBidi" w:hAnsiTheme="majorBidi" w:cstheme="majorBidi"/>
          <w:color w:val="000000" w:themeColor="text1"/>
        </w:rPr>
      </w:pPr>
    </w:p>
    <w:p w14:paraId="681BF19B" w14:textId="77777777" w:rsidR="001E2AC0" w:rsidRPr="0058665E" w:rsidRDefault="005838B2">
      <w:pPr>
        <w:rPr>
          <w:rFonts w:asciiTheme="majorBidi" w:hAnsiTheme="majorBidi" w:cstheme="majorBidi"/>
          <w:b/>
          <w:bCs/>
          <w:i/>
          <w:iCs/>
          <w:color w:val="000000" w:themeColor="text1"/>
        </w:rPr>
      </w:pPr>
      <w:r w:rsidRPr="0058665E">
        <w:rPr>
          <w:rFonts w:asciiTheme="majorBidi" w:hAnsiTheme="majorBidi" w:cstheme="majorBidi"/>
          <w:b/>
          <w:bCs/>
          <w:i/>
          <w:iCs/>
          <w:color w:val="000000" w:themeColor="text1"/>
        </w:rPr>
        <w:t>Porter’s Five Forces</w:t>
      </w:r>
    </w:p>
    <w:p w14:paraId="1310C21E"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Bargaining power- Buyers: </w:t>
      </w:r>
      <w:r w:rsidRPr="0058665E">
        <w:rPr>
          <w:rFonts w:asciiTheme="majorBidi" w:hAnsiTheme="majorBidi" w:cstheme="majorBidi"/>
          <w:color w:val="000000" w:themeColor="text1"/>
        </w:rPr>
        <w:t xml:space="preserve">The report by Deloitte (2025) indicates a rapid rise in consumer demand towards automobiles with a rise of 4.2% in sales in 2024. With positive demand for cars, the sector is perceiving a high bargaining power with the influence from ongoing economic uncertainty. </w:t>
      </w:r>
    </w:p>
    <w:p w14:paraId="04F3C794"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noProof/>
          <w:color w:val="000000" w:themeColor="text1"/>
        </w:rPr>
        <w:drawing>
          <wp:inline distT="114300" distB="114300" distL="114300" distR="114300" wp14:anchorId="4D213F1E" wp14:editId="0F7F31DA">
            <wp:extent cx="5731200" cy="4749800"/>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4749800"/>
                    </a:xfrm>
                    <a:prstGeom prst="rect">
                      <a:avLst/>
                    </a:prstGeom>
                    <a:ln w="12700">
                      <a:solidFill>
                        <a:srgbClr val="000000"/>
                      </a:solidFill>
                      <a:prstDash val="solid"/>
                    </a:ln>
                  </pic:spPr>
                </pic:pic>
              </a:graphicData>
            </a:graphic>
          </wp:inline>
        </w:drawing>
      </w:r>
    </w:p>
    <w:p w14:paraId="173C219B"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Figure 5: UK car sales between 2019-2024</w:t>
      </w:r>
    </w:p>
    <w:p w14:paraId="78E1EA8E" w14:textId="77777777" w:rsidR="001E2AC0" w:rsidRPr="0058665E" w:rsidRDefault="005838B2">
      <w:pPr>
        <w:jc w:val="center"/>
        <w:rPr>
          <w:rFonts w:asciiTheme="majorBidi" w:hAnsiTheme="majorBidi" w:cstheme="majorBidi"/>
          <w:color w:val="000000" w:themeColor="text1"/>
        </w:rPr>
      </w:pPr>
      <w:r w:rsidRPr="0058665E">
        <w:rPr>
          <w:rFonts w:asciiTheme="majorBidi" w:hAnsiTheme="majorBidi" w:cstheme="majorBidi"/>
          <w:color w:val="000000" w:themeColor="text1"/>
        </w:rPr>
        <w:t>(Source: Deloitte, 2024)</w:t>
      </w:r>
    </w:p>
    <w:p w14:paraId="0DF05315"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Bargaining power- Suppliers: </w:t>
      </w:r>
      <w:r w:rsidRPr="0058665E">
        <w:rPr>
          <w:rFonts w:asciiTheme="majorBidi" w:hAnsiTheme="majorBidi" w:cstheme="majorBidi"/>
          <w:color w:val="000000" w:themeColor="text1"/>
        </w:rPr>
        <w:t xml:space="preserve">With rising complexities, the car manufacturers in the UK are affected by the aspects of supply chain issues such as high energy costs and competition (Kelly, 2025). Higher energy costs are straining the power of businesses in achieving raw materials easily. </w:t>
      </w:r>
    </w:p>
    <w:p w14:paraId="57B00C18"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Threat of substitutes: </w:t>
      </w:r>
      <w:r w:rsidRPr="0058665E">
        <w:rPr>
          <w:rFonts w:asciiTheme="majorBidi" w:hAnsiTheme="majorBidi" w:cstheme="majorBidi"/>
          <w:color w:val="000000" w:themeColor="text1"/>
        </w:rPr>
        <w:t xml:space="preserve">While Jaguar Land Rover positions itself as a luxury brand, it is competed by alternatives such as Mercedes, Audi, and BMW in the European market (Winton, 2023). Consumers are readily provided with choices and alternatives on the same price point in the market. </w:t>
      </w:r>
    </w:p>
    <w:p w14:paraId="17CCC8CB"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Threat of new entrants: </w:t>
      </w:r>
      <w:r w:rsidRPr="0058665E">
        <w:rPr>
          <w:rFonts w:asciiTheme="majorBidi" w:hAnsiTheme="majorBidi" w:cstheme="majorBidi"/>
          <w:color w:val="000000" w:themeColor="text1"/>
        </w:rPr>
        <w:t xml:space="preserve">New entrants in the luxury sport and SUV category are partially concerning for Jaguar Land Rover. With its positioning and market dominance, JLR marks itself safe from new entrants. </w:t>
      </w:r>
    </w:p>
    <w:p w14:paraId="263FBF95"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Competitive rivalry: </w:t>
      </w:r>
      <w:r w:rsidRPr="0058665E">
        <w:rPr>
          <w:rFonts w:asciiTheme="majorBidi" w:hAnsiTheme="majorBidi" w:cstheme="majorBidi"/>
          <w:color w:val="000000" w:themeColor="text1"/>
        </w:rPr>
        <w:t xml:space="preserve">Winton (2023) aligned the competitive scale for JLR by listing Mercedes, Audi, and BMW as intense European competitors in the market. The development of such factors remains critical for the performance of the brand. </w:t>
      </w:r>
    </w:p>
    <w:p w14:paraId="76A57491" w14:textId="77777777" w:rsidR="001E2AC0" w:rsidRPr="0058665E" w:rsidRDefault="001E2AC0">
      <w:pPr>
        <w:rPr>
          <w:rFonts w:asciiTheme="majorBidi" w:hAnsiTheme="majorBidi" w:cstheme="majorBidi"/>
          <w:b/>
          <w:bCs/>
          <w:color w:val="000000" w:themeColor="text1"/>
        </w:rPr>
      </w:pPr>
    </w:p>
    <w:p w14:paraId="4475DCC8" w14:textId="77777777" w:rsidR="001E2AC0" w:rsidRPr="0058665E" w:rsidRDefault="005838B2">
      <w:pPr>
        <w:pStyle w:val="Heading2"/>
        <w:rPr>
          <w:rFonts w:asciiTheme="majorBidi" w:hAnsiTheme="majorBidi" w:cstheme="majorBidi"/>
          <w:color w:val="000000" w:themeColor="text1"/>
        </w:rPr>
      </w:pPr>
      <w:bookmarkStart w:id="5" w:name="_Toc215400086"/>
      <w:r w:rsidRPr="0058665E">
        <w:rPr>
          <w:rFonts w:asciiTheme="majorBidi" w:hAnsiTheme="majorBidi" w:cstheme="majorBidi"/>
          <w:color w:val="000000" w:themeColor="text1"/>
        </w:rPr>
        <w:t>2.2 Internal environment audit</w:t>
      </w:r>
      <w:bookmarkEnd w:id="5"/>
    </w:p>
    <w:p w14:paraId="78A3B31A"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The analysis of the internal environment will also be insightful to foster strategic decisions (</w:t>
      </w:r>
      <w:proofErr w:type="spellStart"/>
      <w:r w:rsidRPr="0058665E">
        <w:rPr>
          <w:rFonts w:asciiTheme="majorBidi" w:hAnsiTheme="majorBidi" w:cstheme="majorBidi"/>
          <w:color w:val="000000" w:themeColor="text1"/>
        </w:rPr>
        <w:t>Mousa</w:t>
      </w:r>
      <w:proofErr w:type="spellEnd"/>
      <w:r w:rsidRPr="0058665E">
        <w:rPr>
          <w:rFonts w:asciiTheme="majorBidi" w:hAnsiTheme="majorBidi" w:cstheme="majorBidi"/>
          <w:color w:val="000000" w:themeColor="text1"/>
        </w:rPr>
        <w:t xml:space="preserve">, </w:t>
      </w:r>
      <w:proofErr w:type="spellStart"/>
      <w:r w:rsidRPr="0058665E">
        <w:rPr>
          <w:rFonts w:asciiTheme="majorBidi" w:hAnsiTheme="majorBidi" w:cstheme="majorBidi"/>
          <w:color w:val="000000" w:themeColor="text1"/>
        </w:rPr>
        <w:t>Auso</w:t>
      </w:r>
      <w:proofErr w:type="spellEnd"/>
      <w:r w:rsidRPr="0058665E">
        <w:rPr>
          <w:rFonts w:asciiTheme="majorBidi" w:hAnsiTheme="majorBidi" w:cstheme="majorBidi"/>
          <w:color w:val="000000" w:themeColor="text1"/>
        </w:rPr>
        <w:t xml:space="preserve"> and </w:t>
      </w:r>
      <w:proofErr w:type="spellStart"/>
      <w:r w:rsidRPr="0058665E">
        <w:rPr>
          <w:rFonts w:asciiTheme="majorBidi" w:hAnsiTheme="majorBidi" w:cstheme="majorBidi"/>
          <w:color w:val="000000" w:themeColor="text1"/>
        </w:rPr>
        <w:t>Gurler</w:t>
      </w:r>
      <w:proofErr w:type="spellEnd"/>
      <w:r w:rsidRPr="0058665E">
        <w:rPr>
          <w:rFonts w:asciiTheme="majorBidi" w:hAnsiTheme="majorBidi" w:cstheme="majorBidi"/>
          <w:color w:val="000000" w:themeColor="text1"/>
        </w:rPr>
        <w:t>, 2024). With the application of Value Chain analysis, VRIO analysis and Resource-Based View, the internal environment can be fostered.</w:t>
      </w:r>
    </w:p>
    <w:p w14:paraId="3B1AF377" w14:textId="77777777" w:rsidR="001E2AC0" w:rsidRPr="0058665E" w:rsidRDefault="005838B2">
      <w:pPr>
        <w:rPr>
          <w:rFonts w:asciiTheme="majorBidi" w:hAnsiTheme="majorBidi" w:cstheme="majorBidi"/>
          <w:b/>
          <w:bCs/>
          <w:i/>
          <w:iCs/>
          <w:color w:val="000000" w:themeColor="text1"/>
        </w:rPr>
      </w:pPr>
      <w:r w:rsidRPr="0058665E">
        <w:rPr>
          <w:rFonts w:asciiTheme="majorBidi" w:hAnsiTheme="majorBidi" w:cstheme="majorBidi"/>
          <w:b/>
          <w:bCs/>
          <w:i/>
          <w:iCs/>
          <w:color w:val="000000" w:themeColor="text1"/>
        </w:rPr>
        <w:t>Value Chain Analysis</w:t>
      </w:r>
    </w:p>
    <w:p w14:paraId="13FB025C"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Jaguar Land Rover has perceived its future decisions and market performance through its “</w:t>
      </w:r>
      <w:r w:rsidRPr="0058665E">
        <w:rPr>
          <w:rFonts w:asciiTheme="majorBidi" w:hAnsiTheme="majorBidi" w:cstheme="majorBidi"/>
          <w:b/>
          <w:bCs/>
          <w:i/>
          <w:iCs/>
          <w:color w:val="000000" w:themeColor="text1"/>
        </w:rPr>
        <w:t>Reimagine</w:t>
      </w:r>
      <w:r w:rsidRPr="0058665E">
        <w:rPr>
          <w:rFonts w:asciiTheme="majorBidi" w:hAnsiTheme="majorBidi" w:cstheme="majorBidi"/>
          <w:color w:val="000000" w:themeColor="text1"/>
        </w:rPr>
        <w:t xml:space="preserve">” strategy (Jaguar Land Rover Automotive PLC, 2025b). Through this, vital strategies and actions were undertaken considerably. </w:t>
      </w:r>
    </w:p>
    <w:p w14:paraId="1F964D01" w14:textId="77777777" w:rsidR="001E2AC0" w:rsidRPr="0058665E" w:rsidRDefault="005838B2">
      <w:pPr>
        <w:numPr>
          <w:ilvl w:val="0"/>
          <w:numId w:val="4"/>
        </w:numPr>
        <w:rPr>
          <w:rFonts w:asciiTheme="majorBidi" w:hAnsiTheme="majorBidi" w:cstheme="majorBidi"/>
          <w:b/>
          <w:bCs/>
          <w:color w:val="000000" w:themeColor="text1"/>
        </w:rPr>
      </w:pPr>
      <w:r w:rsidRPr="0058665E">
        <w:rPr>
          <w:rFonts w:asciiTheme="majorBidi" w:hAnsiTheme="majorBidi" w:cstheme="majorBidi"/>
          <w:b/>
          <w:bCs/>
          <w:color w:val="000000" w:themeColor="text1"/>
        </w:rPr>
        <w:t>Primary activities</w:t>
      </w:r>
    </w:p>
    <w:p w14:paraId="6414E113"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Inbound logistics: </w:t>
      </w:r>
      <w:r w:rsidRPr="0058665E">
        <w:rPr>
          <w:rFonts w:asciiTheme="majorBidi" w:hAnsiTheme="majorBidi" w:cstheme="majorBidi"/>
          <w:color w:val="000000" w:themeColor="text1"/>
        </w:rPr>
        <w:t xml:space="preserve">JLR has strengthened its supply chain network by adding new suppliers. Jessen (2025) highlighted JLR’s move in bringing 50 new industry experts to strengthen EV production sourcing. </w:t>
      </w:r>
    </w:p>
    <w:p w14:paraId="100B7B35"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Operations: </w:t>
      </w:r>
      <w:r w:rsidRPr="0058665E">
        <w:rPr>
          <w:rFonts w:asciiTheme="majorBidi" w:hAnsiTheme="majorBidi" w:cstheme="majorBidi"/>
          <w:color w:val="000000" w:themeColor="text1"/>
        </w:rPr>
        <w:t xml:space="preserve">JLR has multiple manufacturing plants established in major UK locations for domestic supply such as Solihull, Halewood and Wolverhampton. Whereas, Slovakia is also selected as a manufacturing location for its global supply of automobiles. </w:t>
      </w:r>
    </w:p>
    <w:p w14:paraId="238269E9"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Outbound logistics: </w:t>
      </w:r>
      <w:r w:rsidRPr="0058665E">
        <w:rPr>
          <w:rFonts w:asciiTheme="majorBidi" w:hAnsiTheme="majorBidi" w:cstheme="majorBidi"/>
          <w:color w:val="000000" w:themeColor="text1"/>
        </w:rPr>
        <w:t xml:space="preserve">JLR has secured distribution and supply networks in major regions around the globe to reach its target markets. Through dealerships and manufacturing units in top locations, JLR is able to meet global demands. </w:t>
      </w:r>
    </w:p>
    <w:p w14:paraId="5D25D853"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Marketing and sales: </w:t>
      </w:r>
      <w:r w:rsidRPr="0058665E">
        <w:rPr>
          <w:rFonts w:asciiTheme="majorBidi" w:hAnsiTheme="majorBidi" w:cstheme="majorBidi"/>
          <w:color w:val="000000" w:themeColor="text1"/>
        </w:rPr>
        <w:t xml:space="preserve">For marketing and promotional purposes, JLR’s partnership with Accenture and Spark44 has facilitated personalisation, multi-platform targeting and creative marketing activities in the market (Accenture, 2021). </w:t>
      </w:r>
    </w:p>
    <w:p w14:paraId="0FE8C956"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After-sales service: </w:t>
      </w:r>
      <w:r w:rsidRPr="0058665E">
        <w:rPr>
          <w:rFonts w:asciiTheme="majorBidi" w:hAnsiTheme="majorBidi" w:cstheme="majorBidi"/>
          <w:color w:val="000000" w:themeColor="text1"/>
        </w:rPr>
        <w:t xml:space="preserve">For after-sales services, globalised service centres in primary locations are well connected with technology and communication. Alongside this, loyalty programs are also a major factor in the overall service for the customers. </w:t>
      </w:r>
    </w:p>
    <w:p w14:paraId="7080B245" w14:textId="77777777" w:rsidR="001E2AC0" w:rsidRPr="0058665E" w:rsidRDefault="005838B2">
      <w:pPr>
        <w:numPr>
          <w:ilvl w:val="0"/>
          <w:numId w:val="4"/>
        </w:numPr>
        <w:rPr>
          <w:rFonts w:asciiTheme="majorBidi" w:hAnsiTheme="majorBidi" w:cstheme="majorBidi"/>
          <w:b/>
          <w:bCs/>
          <w:color w:val="000000" w:themeColor="text1"/>
        </w:rPr>
      </w:pPr>
      <w:r w:rsidRPr="0058665E">
        <w:rPr>
          <w:rFonts w:asciiTheme="majorBidi" w:hAnsiTheme="majorBidi" w:cstheme="majorBidi"/>
          <w:b/>
          <w:bCs/>
          <w:color w:val="000000" w:themeColor="text1"/>
        </w:rPr>
        <w:t>Support activities</w:t>
      </w:r>
    </w:p>
    <w:p w14:paraId="1443EC97"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Firm infrastructure: </w:t>
      </w:r>
      <w:r w:rsidRPr="0058665E">
        <w:rPr>
          <w:rFonts w:asciiTheme="majorBidi" w:hAnsiTheme="majorBidi" w:cstheme="majorBidi"/>
          <w:color w:val="000000" w:themeColor="text1"/>
        </w:rPr>
        <w:t xml:space="preserve">From a strategic perspective, JLR’s Reimagine strategy is fostering digital infrastructure to support the EV transformation and other industrial demands for the brand. Within this strategic perception of the brand, aspects such as collaboration with innovators has also supported the infrastructural development and improvement over the years (Jaguar Land Rover Automotive PLC, 2025b). This has also supported the reduction of the carbon footprint through co-creation and innovation. </w:t>
      </w:r>
    </w:p>
    <w:p w14:paraId="0CD82983"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Human resource management: </w:t>
      </w:r>
      <w:r w:rsidRPr="0058665E">
        <w:rPr>
          <w:rFonts w:asciiTheme="majorBidi" w:hAnsiTheme="majorBidi" w:cstheme="majorBidi"/>
          <w:color w:val="000000" w:themeColor="text1"/>
        </w:rPr>
        <w:t xml:space="preserve">The automotive manufacturer employs more than 30,000 employees globally while investing heavily on their upskilling and alignment with its strategic motive of bringing electric vehicles in the market with commendable force. JLR’s partnership with Warwick Manufacturing Group (WMG) remains crucial for the training and development of the employees related to digital and EV skills (Warwick Business Partnerships, 2023). Specific industry skills related to engineering and data roles have been facilitated through </w:t>
      </w:r>
      <w:r w:rsidRPr="0058665E">
        <w:rPr>
          <w:rFonts w:asciiTheme="majorBidi" w:hAnsiTheme="majorBidi" w:cstheme="majorBidi"/>
          <w:color w:val="000000" w:themeColor="text1"/>
        </w:rPr>
        <w:t xml:space="preserve">training programs and apprenticeships conducted by the brand. </w:t>
      </w:r>
    </w:p>
    <w:p w14:paraId="5BBD3319"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Technology: </w:t>
      </w:r>
      <w:r w:rsidRPr="0058665E">
        <w:rPr>
          <w:rFonts w:asciiTheme="majorBidi" w:hAnsiTheme="majorBidi" w:cstheme="majorBidi"/>
          <w:color w:val="000000" w:themeColor="text1"/>
        </w:rPr>
        <w:t xml:space="preserve">The strategic orientation of JLR is fostering the development of technology to support the transformation of EV vehicles in the organisation. Technology aiding sustainability, innovation and environment commitment remained the main concern from the organisation. </w:t>
      </w:r>
    </w:p>
    <w:p w14:paraId="045E1BE1"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Procurement: </w:t>
      </w:r>
      <w:r w:rsidRPr="0058665E">
        <w:rPr>
          <w:rFonts w:asciiTheme="majorBidi" w:hAnsiTheme="majorBidi" w:cstheme="majorBidi"/>
          <w:color w:val="000000" w:themeColor="text1"/>
        </w:rPr>
        <w:t xml:space="preserve">Strategic partnership has become a major factor in supporting the procurement of core materials. Also the domestic supply network in the UK has fostered the further landscape. </w:t>
      </w:r>
    </w:p>
    <w:p w14:paraId="29603964" w14:textId="77777777" w:rsidR="001E2AC0" w:rsidRPr="0058665E" w:rsidRDefault="001E2AC0">
      <w:pPr>
        <w:rPr>
          <w:rFonts w:asciiTheme="majorBidi" w:hAnsiTheme="majorBidi" w:cstheme="majorBidi"/>
          <w:color w:val="000000" w:themeColor="text1"/>
        </w:rPr>
      </w:pPr>
    </w:p>
    <w:p w14:paraId="6B868313" w14:textId="77777777" w:rsidR="001E2AC0" w:rsidRPr="0058665E" w:rsidRDefault="005838B2">
      <w:pPr>
        <w:rPr>
          <w:rFonts w:asciiTheme="majorBidi" w:hAnsiTheme="majorBidi" w:cstheme="majorBidi"/>
          <w:b/>
          <w:bCs/>
          <w:i/>
          <w:iCs/>
          <w:color w:val="000000" w:themeColor="text1"/>
        </w:rPr>
      </w:pPr>
      <w:r w:rsidRPr="0058665E">
        <w:rPr>
          <w:rFonts w:asciiTheme="majorBidi" w:hAnsiTheme="majorBidi" w:cstheme="majorBidi"/>
          <w:b/>
          <w:bCs/>
          <w:i/>
          <w:iCs/>
          <w:color w:val="000000" w:themeColor="text1"/>
        </w:rPr>
        <w:t>Resource-based View</w:t>
      </w:r>
    </w:p>
    <w:p w14:paraId="225F5043"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 xml:space="preserve">Barney’s model, the </w:t>
      </w:r>
      <w:r w:rsidRPr="0058665E">
        <w:rPr>
          <w:rFonts w:asciiTheme="majorBidi" w:hAnsiTheme="majorBidi" w:cstheme="majorBidi"/>
          <w:b/>
          <w:bCs/>
          <w:i/>
          <w:iCs/>
          <w:color w:val="000000" w:themeColor="text1"/>
        </w:rPr>
        <w:t xml:space="preserve">Resource-Based View </w:t>
      </w:r>
      <w:r w:rsidRPr="0058665E">
        <w:rPr>
          <w:rFonts w:asciiTheme="majorBidi" w:hAnsiTheme="majorBidi" w:cstheme="majorBidi"/>
          <w:color w:val="000000" w:themeColor="text1"/>
        </w:rPr>
        <w:t xml:space="preserve">can be utilised to differentiate the key sources that can foster competitive advantage. Mailani </w:t>
      </w:r>
      <w:r w:rsidRPr="0058665E">
        <w:rPr>
          <w:rFonts w:asciiTheme="majorBidi" w:hAnsiTheme="majorBidi" w:cstheme="majorBidi"/>
          <w:i/>
          <w:iCs/>
          <w:color w:val="000000" w:themeColor="text1"/>
        </w:rPr>
        <w:t>et al</w:t>
      </w:r>
      <w:r w:rsidRPr="0058665E">
        <w:rPr>
          <w:rFonts w:asciiTheme="majorBidi" w:hAnsiTheme="majorBidi" w:cstheme="majorBidi"/>
          <w:color w:val="000000" w:themeColor="text1"/>
        </w:rPr>
        <w:t xml:space="preserve">. (2024) and </w:t>
      </w:r>
      <w:proofErr w:type="spellStart"/>
      <w:r w:rsidRPr="0058665E">
        <w:rPr>
          <w:rFonts w:asciiTheme="majorBidi" w:hAnsiTheme="majorBidi" w:cstheme="majorBidi"/>
          <w:color w:val="000000" w:themeColor="text1"/>
        </w:rPr>
        <w:t>Ristyawan</w:t>
      </w:r>
      <w:proofErr w:type="spellEnd"/>
      <w:r w:rsidRPr="0058665E">
        <w:rPr>
          <w:rFonts w:asciiTheme="majorBidi" w:hAnsiTheme="majorBidi" w:cstheme="majorBidi"/>
          <w:color w:val="000000" w:themeColor="text1"/>
        </w:rPr>
        <w:t xml:space="preserve">, </w:t>
      </w:r>
      <w:proofErr w:type="spellStart"/>
      <w:r w:rsidRPr="0058665E">
        <w:rPr>
          <w:rFonts w:asciiTheme="majorBidi" w:hAnsiTheme="majorBidi" w:cstheme="majorBidi"/>
          <w:color w:val="000000" w:themeColor="text1"/>
        </w:rPr>
        <w:t>Putro</w:t>
      </w:r>
      <w:proofErr w:type="spellEnd"/>
      <w:r w:rsidRPr="0058665E">
        <w:rPr>
          <w:rFonts w:asciiTheme="majorBidi" w:hAnsiTheme="majorBidi" w:cstheme="majorBidi"/>
          <w:color w:val="000000" w:themeColor="text1"/>
        </w:rPr>
        <w:t xml:space="preserve"> and </w:t>
      </w:r>
      <w:proofErr w:type="spellStart"/>
      <w:r w:rsidRPr="0058665E">
        <w:rPr>
          <w:rFonts w:asciiTheme="majorBidi" w:hAnsiTheme="majorBidi" w:cstheme="majorBidi"/>
          <w:color w:val="000000" w:themeColor="text1"/>
        </w:rPr>
        <w:t>Siallagan</w:t>
      </w:r>
      <w:proofErr w:type="spellEnd"/>
      <w:r w:rsidRPr="0058665E">
        <w:rPr>
          <w:rFonts w:asciiTheme="majorBidi" w:hAnsiTheme="majorBidi" w:cstheme="majorBidi"/>
          <w:color w:val="000000" w:themeColor="text1"/>
        </w:rPr>
        <w:t xml:space="preserve"> (2023) suggested the use of this framework to determine a company’s sustainable advantage in terms of customer innovation and supply chain improvement. The identification of JLR’s tangible and intangible resources will help determine its advantage over rivals. </w:t>
      </w:r>
    </w:p>
    <w:p w14:paraId="3D96E498" w14:textId="77777777" w:rsidR="001E2AC0" w:rsidRPr="0058665E" w:rsidRDefault="001E2AC0">
      <w:pPr>
        <w:rPr>
          <w:rFonts w:asciiTheme="majorBidi" w:hAnsiTheme="majorBidi" w:cstheme="majorBidi"/>
          <w:color w:val="000000" w:themeColor="text1"/>
        </w:rPr>
      </w:pP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3105"/>
        <w:gridCol w:w="4320"/>
      </w:tblGrid>
      <w:tr w:rsidR="0058665E" w:rsidRPr="0058665E" w14:paraId="2EE12D81" w14:textId="77777777">
        <w:tc>
          <w:tcPr>
            <w:tcW w:w="1575" w:type="dxa"/>
            <w:tcMar>
              <w:top w:w="100" w:type="dxa"/>
              <w:left w:w="100" w:type="dxa"/>
              <w:bottom w:w="100" w:type="dxa"/>
              <w:right w:w="100" w:type="dxa"/>
            </w:tcMar>
          </w:tcPr>
          <w:p w14:paraId="60CC7548" w14:textId="77777777" w:rsidR="001E2AC0" w:rsidRPr="0058665E" w:rsidRDefault="001E2AC0">
            <w:pPr>
              <w:widowControl w:val="0"/>
              <w:pBdr>
                <w:top w:val="nil"/>
                <w:left w:val="nil"/>
                <w:bottom w:val="nil"/>
                <w:right w:val="nil"/>
                <w:between w:val="nil"/>
              </w:pBdr>
              <w:rPr>
                <w:rFonts w:asciiTheme="majorBidi" w:hAnsiTheme="majorBidi" w:cstheme="majorBidi"/>
                <w:color w:val="000000" w:themeColor="text1"/>
              </w:rPr>
            </w:pPr>
          </w:p>
        </w:tc>
        <w:tc>
          <w:tcPr>
            <w:tcW w:w="3105" w:type="dxa"/>
            <w:tcMar>
              <w:top w:w="100" w:type="dxa"/>
              <w:left w:w="100" w:type="dxa"/>
              <w:bottom w:w="100" w:type="dxa"/>
              <w:right w:w="100" w:type="dxa"/>
            </w:tcMar>
          </w:tcPr>
          <w:p w14:paraId="1EBC31BC" w14:textId="77777777" w:rsidR="001E2AC0" w:rsidRPr="0058665E" w:rsidRDefault="005838B2">
            <w:pPr>
              <w:widowControl w:val="0"/>
              <w:pBdr>
                <w:top w:val="nil"/>
                <w:left w:val="nil"/>
                <w:bottom w:val="nil"/>
                <w:right w:val="nil"/>
                <w:between w:val="nil"/>
              </w:pBd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Resource</w:t>
            </w:r>
          </w:p>
        </w:tc>
        <w:tc>
          <w:tcPr>
            <w:tcW w:w="4320" w:type="dxa"/>
            <w:tcMar>
              <w:top w:w="100" w:type="dxa"/>
              <w:left w:w="100" w:type="dxa"/>
              <w:bottom w:w="100" w:type="dxa"/>
              <w:right w:w="100" w:type="dxa"/>
            </w:tcMar>
          </w:tcPr>
          <w:p w14:paraId="34CCC653" w14:textId="77777777" w:rsidR="001E2AC0" w:rsidRPr="0058665E" w:rsidRDefault="005838B2">
            <w:pPr>
              <w:widowControl w:val="0"/>
              <w:pBdr>
                <w:top w:val="nil"/>
                <w:left w:val="nil"/>
                <w:bottom w:val="nil"/>
                <w:right w:val="nil"/>
                <w:between w:val="nil"/>
              </w:pBd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Strategic value</w:t>
            </w:r>
          </w:p>
        </w:tc>
      </w:tr>
      <w:tr w:rsidR="0058665E" w:rsidRPr="0058665E" w14:paraId="32846F68" w14:textId="77777777">
        <w:trPr>
          <w:trHeight w:val="440"/>
        </w:trPr>
        <w:tc>
          <w:tcPr>
            <w:tcW w:w="1575" w:type="dxa"/>
            <w:vMerge w:val="restart"/>
            <w:tcMar>
              <w:top w:w="100" w:type="dxa"/>
              <w:left w:w="100" w:type="dxa"/>
              <w:bottom w:w="100" w:type="dxa"/>
              <w:right w:w="100" w:type="dxa"/>
            </w:tcMar>
          </w:tcPr>
          <w:p w14:paraId="0F9B6F0E"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Tangible resources</w:t>
            </w:r>
          </w:p>
        </w:tc>
        <w:tc>
          <w:tcPr>
            <w:tcW w:w="3105" w:type="dxa"/>
            <w:tcMar>
              <w:top w:w="100" w:type="dxa"/>
              <w:left w:w="100" w:type="dxa"/>
              <w:bottom w:w="100" w:type="dxa"/>
              <w:right w:w="100" w:type="dxa"/>
            </w:tcMar>
          </w:tcPr>
          <w:p w14:paraId="5900209C"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Manufacturing plants</w:t>
            </w:r>
          </w:p>
        </w:tc>
        <w:tc>
          <w:tcPr>
            <w:tcW w:w="4320" w:type="dxa"/>
            <w:tcMar>
              <w:top w:w="100" w:type="dxa"/>
              <w:left w:w="100" w:type="dxa"/>
              <w:bottom w:w="100" w:type="dxa"/>
              <w:right w:w="100" w:type="dxa"/>
            </w:tcMar>
          </w:tcPr>
          <w:p w14:paraId="74EFE72C"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Advanced manufacturing facilities around the UK and globe have supported faster production.</w:t>
            </w:r>
          </w:p>
        </w:tc>
      </w:tr>
      <w:tr w:rsidR="0058665E" w:rsidRPr="0058665E" w14:paraId="5AB9EFBF" w14:textId="77777777">
        <w:trPr>
          <w:trHeight w:val="440"/>
        </w:trPr>
        <w:tc>
          <w:tcPr>
            <w:tcW w:w="1575" w:type="dxa"/>
            <w:vMerge/>
            <w:tcMar>
              <w:top w:w="100" w:type="dxa"/>
              <w:left w:w="100" w:type="dxa"/>
              <w:bottom w:w="100" w:type="dxa"/>
              <w:right w:w="100" w:type="dxa"/>
            </w:tcMar>
          </w:tcPr>
          <w:p w14:paraId="1DB2BC54" w14:textId="77777777" w:rsidR="001E2AC0" w:rsidRPr="0058665E" w:rsidRDefault="001E2AC0">
            <w:pPr>
              <w:widowControl w:val="0"/>
              <w:pBdr>
                <w:top w:val="nil"/>
                <w:left w:val="nil"/>
                <w:bottom w:val="nil"/>
                <w:right w:val="nil"/>
                <w:between w:val="nil"/>
              </w:pBdr>
              <w:spacing w:line="276" w:lineRule="auto"/>
              <w:jc w:val="left"/>
              <w:rPr>
                <w:rFonts w:asciiTheme="majorBidi" w:hAnsiTheme="majorBidi" w:cstheme="majorBidi"/>
                <w:color w:val="000000" w:themeColor="text1"/>
              </w:rPr>
            </w:pPr>
          </w:p>
        </w:tc>
        <w:tc>
          <w:tcPr>
            <w:tcW w:w="3105" w:type="dxa"/>
            <w:tcMar>
              <w:top w:w="100" w:type="dxa"/>
              <w:left w:w="100" w:type="dxa"/>
              <w:bottom w:w="100" w:type="dxa"/>
              <w:right w:w="100" w:type="dxa"/>
            </w:tcMar>
          </w:tcPr>
          <w:p w14:paraId="6CEFAA4B"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Financial backing</w:t>
            </w:r>
          </w:p>
        </w:tc>
        <w:tc>
          <w:tcPr>
            <w:tcW w:w="4320" w:type="dxa"/>
            <w:tcMar>
              <w:top w:w="100" w:type="dxa"/>
              <w:left w:w="100" w:type="dxa"/>
              <w:bottom w:w="100" w:type="dxa"/>
              <w:right w:w="100" w:type="dxa"/>
            </w:tcMar>
          </w:tcPr>
          <w:p w14:paraId="4164FFE6"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Tata Group's financial backup has supported easy supply chain development</w:t>
            </w:r>
          </w:p>
        </w:tc>
      </w:tr>
      <w:tr w:rsidR="0058665E" w:rsidRPr="0058665E" w14:paraId="1FA54F6E" w14:textId="77777777">
        <w:trPr>
          <w:trHeight w:val="440"/>
        </w:trPr>
        <w:tc>
          <w:tcPr>
            <w:tcW w:w="1575" w:type="dxa"/>
            <w:vMerge/>
            <w:tcMar>
              <w:top w:w="100" w:type="dxa"/>
              <w:left w:w="100" w:type="dxa"/>
              <w:bottom w:w="100" w:type="dxa"/>
              <w:right w:w="100" w:type="dxa"/>
            </w:tcMar>
          </w:tcPr>
          <w:p w14:paraId="2A2F6062" w14:textId="77777777" w:rsidR="001E2AC0" w:rsidRPr="0058665E" w:rsidRDefault="001E2AC0">
            <w:pPr>
              <w:widowControl w:val="0"/>
              <w:pBdr>
                <w:top w:val="nil"/>
                <w:left w:val="nil"/>
                <w:bottom w:val="nil"/>
                <w:right w:val="nil"/>
                <w:between w:val="nil"/>
              </w:pBdr>
              <w:spacing w:line="276" w:lineRule="auto"/>
              <w:jc w:val="left"/>
              <w:rPr>
                <w:rFonts w:asciiTheme="majorBidi" w:hAnsiTheme="majorBidi" w:cstheme="majorBidi"/>
                <w:color w:val="000000" w:themeColor="text1"/>
              </w:rPr>
            </w:pPr>
          </w:p>
        </w:tc>
        <w:tc>
          <w:tcPr>
            <w:tcW w:w="3105" w:type="dxa"/>
            <w:tcMar>
              <w:top w:w="100" w:type="dxa"/>
              <w:left w:w="100" w:type="dxa"/>
              <w:bottom w:w="100" w:type="dxa"/>
              <w:right w:w="100" w:type="dxa"/>
            </w:tcMar>
          </w:tcPr>
          <w:p w14:paraId="76915BF3"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Research and development</w:t>
            </w:r>
          </w:p>
        </w:tc>
        <w:tc>
          <w:tcPr>
            <w:tcW w:w="4320" w:type="dxa"/>
            <w:tcMar>
              <w:top w:w="100" w:type="dxa"/>
              <w:left w:w="100" w:type="dxa"/>
              <w:bottom w:w="100" w:type="dxa"/>
              <w:right w:w="100" w:type="dxa"/>
            </w:tcMar>
          </w:tcPr>
          <w:p w14:paraId="41817D00"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Supporting the fast-paced and strategic growth of the business. </w:t>
            </w:r>
          </w:p>
        </w:tc>
      </w:tr>
      <w:tr w:rsidR="0058665E" w:rsidRPr="0058665E" w14:paraId="3C11B738" w14:textId="77777777">
        <w:trPr>
          <w:trHeight w:val="440"/>
        </w:trPr>
        <w:tc>
          <w:tcPr>
            <w:tcW w:w="1575" w:type="dxa"/>
            <w:vMerge/>
            <w:tcMar>
              <w:top w:w="100" w:type="dxa"/>
              <w:left w:w="100" w:type="dxa"/>
              <w:bottom w:w="100" w:type="dxa"/>
              <w:right w:w="100" w:type="dxa"/>
            </w:tcMar>
          </w:tcPr>
          <w:p w14:paraId="23E4EE0D" w14:textId="77777777" w:rsidR="001E2AC0" w:rsidRPr="0058665E" w:rsidRDefault="001E2AC0">
            <w:pPr>
              <w:widowControl w:val="0"/>
              <w:pBdr>
                <w:top w:val="nil"/>
                <w:left w:val="nil"/>
                <w:bottom w:val="nil"/>
                <w:right w:val="nil"/>
                <w:between w:val="nil"/>
              </w:pBdr>
              <w:spacing w:line="276" w:lineRule="auto"/>
              <w:jc w:val="left"/>
              <w:rPr>
                <w:rFonts w:asciiTheme="majorBidi" w:hAnsiTheme="majorBidi" w:cstheme="majorBidi"/>
                <w:color w:val="000000" w:themeColor="text1"/>
              </w:rPr>
            </w:pPr>
          </w:p>
        </w:tc>
        <w:tc>
          <w:tcPr>
            <w:tcW w:w="3105" w:type="dxa"/>
            <w:tcMar>
              <w:top w:w="100" w:type="dxa"/>
              <w:left w:w="100" w:type="dxa"/>
              <w:bottom w:w="100" w:type="dxa"/>
              <w:right w:w="100" w:type="dxa"/>
            </w:tcMar>
          </w:tcPr>
          <w:p w14:paraId="208D4051"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Human resources</w:t>
            </w:r>
          </w:p>
        </w:tc>
        <w:tc>
          <w:tcPr>
            <w:tcW w:w="4320" w:type="dxa"/>
            <w:tcMar>
              <w:top w:w="100" w:type="dxa"/>
              <w:left w:w="100" w:type="dxa"/>
              <w:bottom w:w="100" w:type="dxa"/>
              <w:right w:w="100" w:type="dxa"/>
            </w:tcMar>
          </w:tcPr>
          <w:p w14:paraId="65E923DD"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Trained and skilled workforce supporting the achievement of strategic vision and goals. </w:t>
            </w:r>
          </w:p>
        </w:tc>
      </w:tr>
      <w:tr w:rsidR="0058665E" w:rsidRPr="0058665E" w14:paraId="081503AE" w14:textId="77777777">
        <w:trPr>
          <w:trHeight w:val="440"/>
        </w:trPr>
        <w:tc>
          <w:tcPr>
            <w:tcW w:w="1575" w:type="dxa"/>
            <w:vMerge/>
            <w:tcMar>
              <w:top w:w="100" w:type="dxa"/>
              <w:left w:w="100" w:type="dxa"/>
              <w:bottom w:w="100" w:type="dxa"/>
              <w:right w:w="100" w:type="dxa"/>
            </w:tcMar>
          </w:tcPr>
          <w:p w14:paraId="0EAEA255" w14:textId="77777777" w:rsidR="001E2AC0" w:rsidRPr="0058665E" w:rsidRDefault="001E2AC0">
            <w:pPr>
              <w:widowControl w:val="0"/>
              <w:pBdr>
                <w:top w:val="nil"/>
                <w:left w:val="nil"/>
                <w:bottom w:val="nil"/>
                <w:right w:val="nil"/>
                <w:between w:val="nil"/>
              </w:pBdr>
              <w:spacing w:line="276" w:lineRule="auto"/>
              <w:jc w:val="left"/>
              <w:rPr>
                <w:rFonts w:asciiTheme="majorBidi" w:hAnsiTheme="majorBidi" w:cstheme="majorBidi"/>
                <w:color w:val="000000" w:themeColor="text1"/>
              </w:rPr>
            </w:pPr>
          </w:p>
        </w:tc>
        <w:tc>
          <w:tcPr>
            <w:tcW w:w="3105" w:type="dxa"/>
            <w:tcMar>
              <w:top w:w="100" w:type="dxa"/>
              <w:left w:w="100" w:type="dxa"/>
              <w:bottom w:w="100" w:type="dxa"/>
              <w:right w:w="100" w:type="dxa"/>
            </w:tcMar>
          </w:tcPr>
          <w:p w14:paraId="5C965930"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Technology infrastructure</w:t>
            </w:r>
          </w:p>
        </w:tc>
        <w:tc>
          <w:tcPr>
            <w:tcW w:w="4320" w:type="dxa"/>
            <w:tcMar>
              <w:top w:w="100" w:type="dxa"/>
              <w:left w:w="100" w:type="dxa"/>
              <w:bottom w:w="100" w:type="dxa"/>
              <w:right w:w="100" w:type="dxa"/>
            </w:tcMar>
          </w:tcPr>
          <w:p w14:paraId="0EE87D21"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Allows the production of multiple electric and hybrid models based on market demand. </w:t>
            </w:r>
          </w:p>
        </w:tc>
      </w:tr>
      <w:tr w:rsidR="0058665E" w:rsidRPr="0058665E" w14:paraId="2A3DD9B7" w14:textId="77777777">
        <w:trPr>
          <w:trHeight w:val="440"/>
        </w:trPr>
        <w:tc>
          <w:tcPr>
            <w:tcW w:w="1575" w:type="dxa"/>
            <w:vMerge w:val="restart"/>
            <w:tcMar>
              <w:top w:w="100" w:type="dxa"/>
              <w:left w:w="100" w:type="dxa"/>
              <w:bottom w:w="100" w:type="dxa"/>
              <w:right w:w="100" w:type="dxa"/>
            </w:tcMar>
          </w:tcPr>
          <w:p w14:paraId="293ACF87"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Intangible resources</w:t>
            </w:r>
          </w:p>
        </w:tc>
        <w:tc>
          <w:tcPr>
            <w:tcW w:w="3105" w:type="dxa"/>
            <w:tcMar>
              <w:top w:w="100" w:type="dxa"/>
              <w:left w:w="100" w:type="dxa"/>
              <w:bottom w:w="100" w:type="dxa"/>
              <w:right w:w="100" w:type="dxa"/>
            </w:tcMar>
          </w:tcPr>
          <w:p w14:paraId="5038330D"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Brand equity</w:t>
            </w:r>
          </w:p>
        </w:tc>
        <w:tc>
          <w:tcPr>
            <w:tcW w:w="4320" w:type="dxa"/>
            <w:tcMar>
              <w:top w:w="100" w:type="dxa"/>
              <w:left w:w="100" w:type="dxa"/>
              <w:bottom w:w="100" w:type="dxa"/>
              <w:right w:w="100" w:type="dxa"/>
            </w:tcMar>
          </w:tcPr>
          <w:p w14:paraId="170B5EBB"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Providing iconic and heritage values to the public seeking the same in the UK market. </w:t>
            </w:r>
          </w:p>
        </w:tc>
      </w:tr>
      <w:tr w:rsidR="0058665E" w:rsidRPr="0058665E" w14:paraId="039B0261" w14:textId="77777777">
        <w:trPr>
          <w:trHeight w:val="440"/>
        </w:trPr>
        <w:tc>
          <w:tcPr>
            <w:tcW w:w="1575" w:type="dxa"/>
            <w:vMerge/>
            <w:tcMar>
              <w:top w:w="100" w:type="dxa"/>
              <w:left w:w="100" w:type="dxa"/>
              <w:bottom w:w="100" w:type="dxa"/>
              <w:right w:w="100" w:type="dxa"/>
            </w:tcMar>
          </w:tcPr>
          <w:p w14:paraId="21D61AA6" w14:textId="77777777" w:rsidR="001E2AC0" w:rsidRPr="0058665E" w:rsidRDefault="001E2AC0">
            <w:pPr>
              <w:widowControl w:val="0"/>
              <w:pBdr>
                <w:top w:val="nil"/>
                <w:left w:val="nil"/>
                <w:bottom w:val="nil"/>
                <w:right w:val="nil"/>
                <w:between w:val="nil"/>
              </w:pBdr>
              <w:spacing w:line="276" w:lineRule="auto"/>
              <w:jc w:val="left"/>
              <w:rPr>
                <w:rFonts w:asciiTheme="majorBidi" w:hAnsiTheme="majorBidi" w:cstheme="majorBidi"/>
                <w:color w:val="000000" w:themeColor="text1"/>
              </w:rPr>
            </w:pPr>
          </w:p>
        </w:tc>
        <w:tc>
          <w:tcPr>
            <w:tcW w:w="3105" w:type="dxa"/>
            <w:tcMar>
              <w:top w:w="100" w:type="dxa"/>
              <w:left w:w="100" w:type="dxa"/>
              <w:bottom w:w="100" w:type="dxa"/>
              <w:right w:w="100" w:type="dxa"/>
            </w:tcMar>
          </w:tcPr>
          <w:p w14:paraId="2DC90BA0"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Strategic vision</w:t>
            </w:r>
          </w:p>
        </w:tc>
        <w:tc>
          <w:tcPr>
            <w:tcW w:w="4320" w:type="dxa"/>
            <w:tcMar>
              <w:top w:w="100" w:type="dxa"/>
              <w:left w:w="100" w:type="dxa"/>
              <w:bottom w:w="100" w:type="dxa"/>
              <w:right w:w="100" w:type="dxa"/>
            </w:tcMar>
          </w:tcPr>
          <w:p w14:paraId="14CFD13E"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The long-term vision regarding the transformation towards electric vehicles remains essential. </w:t>
            </w:r>
          </w:p>
        </w:tc>
      </w:tr>
      <w:tr w:rsidR="0058665E" w:rsidRPr="0058665E" w14:paraId="5A6484B2" w14:textId="77777777">
        <w:trPr>
          <w:trHeight w:val="440"/>
        </w:trPr>
        <w:tc>
          <w:tcPr>
            <w:tcW w:w="1575" w:type="dxa"/>
            <w:vMerge/>
            <w:tcMar>
              <w:top w:w="100" w:type="dxa"/>
              <w:left w:w="100" w:type="dxa"/>
              <w:bottom w:w="100" w:type="dxa"/>
              <w:right w:w="100" w:type="dxa"/>
            </w:tcMar>
          </w:tcPr>
          <w:p w14:paraId="6CB70852" w14:textId="77777777" w:rsidR="001E2AC0" w:rsidRPr="0058665E" w:rsidRDefault="001E2AC0">
            <w:pPr>
              <w:widowControl w:val="0"/>
              <w:pBdr>
                <w:top w:val="nil"/>
                <w:left w:val="nil"/>
                <w:bottom w:val="nil"/>
                <w:right w:val="nil"/>
                <w:between w:val="nil"/>
              </w:pBdr>
              <w:spacing w:line="276" w:lineRule="auto"/>
              <w:jc w:val="left"/>
              <w:rPr>
                <w:rFonts w:asciiTheme="majorBidi" w:hAnsiTheme="majorBidi" w:cstheme="majorBidi"/>
                <w:color w:val="000000" w:themeColor="text1"/>
              </w:rPr>
            </w:pPr>
          </w:p>
        </w:tc>
        <w:tc>
          <w:tcPr>
            <w:tcW w:w="3105" w:type="dxa"/>
            <w:tcMar>
              <w:top w:w="100" w:type="dxa"/>
              <w:left w:w="100" w:type="dxa"/>
              <w:bottom w:w="100" w:type="dxa"/>
              <w:right w:w="100" w:type="dxa"/>
            </w:tcMar>
          </w:tcPr>
          <w:p w14:paraId="44C71DC3"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Engineering expertise</w:t>
            </w:r>
          </w:p>
        </w:tc>
        <w:tc>
          <w:tcPr>
            <w:tcW w:w="4320" w:type="dxa"/>
            <w:tcMar>
              <w:top w:w="100" w:type="dxa"/>
              <w:left w:w="100" w:type="dxa"/>
              <w:bottom w:w="100" w:type="dxa"/>
              <w:right w:w="100" w:type="dxa"/>
            </w:tcMar>
          </w:tcPr>
          <w:p w14:paraId="25CD91F1"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Provides distinct and unique design of vehicles in the market. </w:t>
            </w:r>
          </w:p>
        </w:tc>
      </w:tr>
      <w:tr w:rsidR="0058665E" w:rsidRPr="0058665E" w14:paraId="155EE342" w14:textId="77777777">
        <w:trPr>
          <w:trHeight w:val="1466"/>
        </w:trPr>
        <w:tc>
          <w:tcPr>
            <w:tcW w:w="1575" w:type="dxa"/>
            <w:vMerge/>
            <w:tcMar>
              <w:top w:w="100" w:type="dxa"/>
              <w:left w:w="100" w:type="dxa"/>
              <w:bottom w:w="100" w:type="dxa"/>
              <w:right w:w="100" w:type="dxa"/>
            </w:tcMar>
          </w:tcPr>
          <w:p w14:paraId="5D4378B4" w14:textId="77777777" w:rsidR="001E2AC0" w:rsidRPr="0058665E" w:rsidRDefault="001E2AC0">
            <w:pPr>
              <w:widowControl w:val="0"/>
              <w:pBdr>
                <w:top w:val="nil"/>
                <w:left w:val="nil"/>
                <w:bottom w:val="nil"/>
                <w:right w:val="nil"/>
                <w:between w:val="nil"/>
              </w:pBdr>
              <w:spacing w:line="276" w:lineRule="auto"/>
              <w:jc w:val="left"/>
              <w:rPr>
                <w:rFonts w:asciiTheme="majorBidi" w:hAnsiTheme="majorBidi" w:cstheme="majorBidi"/>
                <w:color w:val="000000" w:themeColor="text1"/>
              </w:rPr>
            </w:pPr>
          </w:p>
        </w:tc>
        <w:tc>
          <w:tcPr>
            <w:tcW w:w="3105" w:type="dxa"/>
            <w:tcMar>
              <w:top w:w="100" w:type="dxa"/>
              <w:left w:w="100" w:type="dxa"/>
              <w:bottom w:w="100" w:type="dxa"/>
              <w:right w:w="100" w:type="dxa"/>
            </w:tcMar>
          </w:tcPr>
          <w:p w14:paraId="007A7BA5" w14:textId="77777777" w:rsidR="001E2AC0" w:rsidRPr="0058665E" w:rsidRDefault="005838B2">
            <w:pPr>
              <w:widowControl w:val="0"/>
              <w:pBdr>
                <w:top w:val="nil"/>
                <w:left w:val="nil"/>
                <w:bottom w:val="nil"/>
                <w:right w:val="nil"/>
                <w:between w:val="nil"/>
              </w:pBdr>
              <w:rPr>
                <w:rFonts w:asciiTheme="majorBidi" w:hAnsiTheme="majorBidi" w:cstheme="majorBidi"/>
                <w:b/>
                <w:bCs/>
                <w:color w:val="000000" w:themeColor="text1"/>
              </w:rPr>
            </w:pPr>
            <w:r w:rsidRPr="0058665E">
              <w:rPr>
                <w:rFonts w:asciiTheme="majorBidi" w:hAnsiTheme="majorBidi" w:cstheme="majorBidi"/>
                <w:b/>
                <w:bCs/>
                <w:color w:val="000000" w:themeColor="text1"/>
              </w:rPr>
              <w:t>Supplier trust</w:t>
            </w:r>
          </w:p>
        </w:tc>
        <w:tc>
          <w:tcPr>
            <w:tcW w:w="4320" w:type="dxa"/>
            <w:tcMar>
              <w:top w:w="100" w:type="dxa"/>
              <w:left w:w="100" w:type="dxa"/>
              <w:bottom w:w="100" w:type="dxa"/>
              <w:right w:w="100" w:type="dxa"/>
            </w:tcMar>
          </w:tcPr>
          <w:p w14:paraId="75E60BC8" w14:textId="77777777" w:rsidR="001E2AC0" w:rsidRPr="0058665E" w:rsidRDefault="005838B2">
            <w:pPr>
              <w:widowControl w:val="0"/>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Long-term relationship development provides ease of distribution and procurement of materials. </w:t>
            </w:r>
          </w:p>
        </w:tc>
      </w:tr>
    </w:tbl>
    <w:p w14:paraId="744113B2"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Table 1: Resource-Based View of JLR</w:t>
      </w:r>
    </w:p>
    <w:p w14:paraId="7F9D80C2" w14:textId="77777777" w:rsidR="001E2AC0" w:rsidRPr="0058665E" w:rsidRDefault="001E2AC0">
      <w:pPr>
        <w:rPr>
          <w:rFonts w:asciiTheme="majorBidi" w:hAnsiTheme="majorBidi" w:cstheme="majorBidi"/>
          <w:color w:val="000000" w:themeColor="text1"/>
        </w:rPr>
      </w:pPr>
    </w:p>
    <w:p w14:paraId="58617E4C" w14:textId="77777777" w:rsidR="001E2AC0" w:rsidRPr="0058665E" w:rsidRDefault="005838B2">
      <w:pPr>
        <w:rPr>
          <w:rFonts w:asciiTheme="majorBidi" w:hAnsiTheme="majorBidi" w:cstheme="majorBidi"/>
          <w:b/>
          <w:bCs/>
          <w:i/>
          <w:iCs/>
          <w:color w:val="000000" w:themeColor="text1"/>
        </w:rPr>
      </w:pPr>
      <w:r w:rsidRPr="0058665E">
        <w:rPr>
          <w:rFonts w:asciiTheme="majorBidi" w:hAnsiTheme="majorBidi" w:cstheme="majorBidi"/>
          <w:b/>
          <w:bCs/>
          <w:i/>
          <w:iCs/>
          <w:color w:val="000000" w:themeColor="text1"/>
        </w:rPr>
        <w:t>VRIO Analysis</w:t>
      </w:r>
    </w:p>
    <w:p w14:paraId="2F371223" w14:textId="77777777" w:rsidR="001E2AC0" w:rsidRPr="0058665E" w:rsidRDefault="001E2AC0">
      <w:pPr>
        <w:rPr>
          <w:rFonts w:asciiTheme="majorBidi" w:hAnsiTheme="majorBidi" w:cstheme="majorBidi"/>
          <w:b/>
          <w:bCs/>
          <w:color w:val="000000" w:themeColor="text1"/>
        </w:rPr>
      </w:pP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58665E" w:rsidRPr="0058665E" w14:paraId="56A52F23" w14:textId="77777777">
        <w:tc>
          <w:tcPr>
            <w:tcW w:w="1504" w:type="dxa"/>
            <w:tcMar>
              <w:top w:w="100" w:type="dxa"/>
              <w:left w:w="100" w:type="dxa"/>
              <w:bottom w:w="100" w:type="dxa"/>
              <w:right w:w="100" w:type="dxa"/>
            </w:tcMar>
          </w:tcPr>
          <w:p w14:paraId="6EBF8B19"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Resource</w:t>
            </w:r>
          </w:p>
        </w:tc>
        <w:tc>
          <w:tcPr>
            <w:tcW w:w="1505" w:type="dxa"/>
            <w:tcMar>
              <w:top w:w="100" w:type="dxa"/>
              <w:left w:w="100" w:type="dxa"/>
              <w:bottom w:w="100" w:type="dxa"/>
              <w:right w:w="100" w:type="dxa"/>
            </w:tcMar>
          </w:tcPr>
          <w:p w14:paraId="45483BBD"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Valuable</w:t>
            </w:r>
          </w:p>
        </w:tc>
        <w:tc>
          <w:tcPr>
            <w:tcW w:w="1505" w:type="dxa"/>
            <w:tcMar>
              <w:top w:w="100" w:type="dxa"/>
              <w:left w:w="100" w:type="dxa"/>
              <w:bottom w:w="100" w:type="dxa"/>
              <w:right w:w="100" w:type="dxa"/>
            </w:tcMar>
          </w:tcPr>
          <w:p w14:paraId="7F288CA9"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Rare</w:t>
            </w:r>
          </w:p>
        </w:tc>
        <w:tc>
          <w:tcPr>
            <w:tcW w:w="1505" w:type="dxa"/>
            <w:tcMar>
              <w:top w:w="100" w:type="dxa"/>
              <w:left w:w="100" w:type="dxa"/>
              <w:bottom w:w="100" w:type="dxa"/>
              <w:right w:w="100" w:type="dxa"/>
            </w:tcMar>
          </w:tcPr>
          <w:p w14:paraId="51A928C7"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Inimitable</w:t>
            </w:r>
          </w:p>
        </w:tc>
        <w:tc>
          <w:tcPr>
            <w:tcW w:w="1505" w:type="dxa"/>
            <w:tcMar>
              <w:top w:w="100" w:type="dxa"/>
              <w:left w:w="100" w:type="dxa"/>
              <w:bottom w:w="100" w:type="dxa"/>
              <w:right w:w="100" w:type="dxa"/>
            </w:tcMar>
          </w:tcPr>
          <w:p w14:paraId="618E3E05"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Organised</w:t>
            </w:r>
          </w:p>
        </w:tc>
        <w:tc>
          <w:tcPr>
            <w:tcW w:w="1505" w:type="dxa"/>
            <w:tcMar>
              <w:top w:w="100" w:type="dxa"/>
              <w:left w:w="100" w:type="dxa"/>
              <w:bottom w:w="100" w:type="dxa"/>
              <w:right w:w="100" w:type="dxa"/>
            </w:tcMar>
          </w:tcPr>
          <w:p w14:paraId="28EE3CF4"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Competitive advantage</w:t>
            </w:r>
          </w:p>
        </w:tc>
      </w:tr>
      <w:tr w:rsidR="0058665E" w:rsidRPr="0058665E" w14:paraId="293FE07B" w14:textId="77777777">
        <w:tc>
          <w:tcPr>
            <w:tcW w:w="1504" w:type="dxa"/>
            <w:tcMar>
              <w:top w:w="100" w:type="dxa"/>
              <w:left w:w="100" w:type="dxa"/>
              <w:bottom w:w="100" w:type="dxa"/>
              <w:right w:w="100" w:type="dxa"/>
            </w:tcMar>
          </w:tcPr>
          <w:p w14:paraId="1A0E2B08"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Human resources</w:t>
            </w:r>
          </w:p>
        </w:tc>
        <w:tc>
          <w:tcPr>
            <w:tcW w:w="1505" w:type="dxa"/>
            <w:tcMar>
              <w:top w:w="100" w:type="dxa"/>
              <w:left w:w="100" w:type="dxa"/>
              <w:bottom w:w="100" w:type="dxa"/>
              <w:right w:w="100" w:type="dxa"/>
            </w:tcMar>
          </w:tcPr>
          <w:p w14:paraId="2C95992A"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0221B023"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No</w:t>
            </w:r>
          </w:p>
        </w:tc>
        <w:tc>
          <w:tcPr>
            <w:tcW w:w="1505" w:type="dxa"/>
            <w:tcMar>
              <w:top w:w="100" w:type="dxa"/>
              <w:left w:w="100" w:type="dxa"/>
              <w:bottom w:w="100" w:type="dxa"/>
              <w:right w:w="100" w:type="dxa"/>
            </w:tcMar>
          </w:tcPr>
          <w:p w14:paraId="616ED3F4"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No</w:t>
            </w:r>
          </w:p>
        </w:tc>
        <w:tc>
          <w:tcPr>
            <w:tcW w:w="1505" w:type="dxa"/>
            <w:tcMar>
              <w:top w:w="100" w:type="dxa"/>
              <w:left w:w="100" w:type="dxa"/>
              <w:bottom w:w="100" w:type="dxa"/>
              <w:right w:w="100" w:type="dxa"/>
            </w:tcMar>
          </w:tcPr>
          <w:p w14:paraId="73C61C0B"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122ED220"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Temporary competitive advantage</w:t>
            </w:r>
          </w:p>
        </w:tc>
      </w:tr>
      <w:tr w:rsidR="0058665E" w:rsidRPr="0058665E" w14:paraId="0B9BDC97" w14:textId="77777777">
        <w:tc>
          <w:tcPr>
            <w:tcW w:w="1504" w:type="dxa"/>
            <w:tcMar>
              <w:top w:w="100" w:type="dxa"/>
              <w:left w:w="100" w:type="dxa"/>
              <w:bottom w:w="100" w:type="dxa"/>
              <w:right w:w="100" w:type="dxa"/>
            </w:tcMar>
          </w:tcPr>
          <w:p w14:paraId="129393C5"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Supplier network</w:t>
            </w:r>
          </w:p>
        </w:tc>
        <w:tc>
          <w:tcPr>
            <w:tcW w:w="1505" w:type="dxa"/>
            <w:tcMar>
              <w:top w:w="100" w:type="dxa"/>
              <w:left w:w="100" w:type="dxa"/>
              <w:bottom w:w="100" w:type="dxa"/>
              <w:right w:w="100" w:type="dxa"/>
            </w:tcMar>
          </w:tcPr>
          <w:p w14:paraId="4298B22D"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 xml:space="preserve">Yes </w:t>
            </w:r>
          </w:p>
        </w:tc>
        <w:tc>
          <w:tcPr>
            <w:tcW w:w="1505" w:type="dxa"/>
            <w:tcMar>
              <w:top w:w="100" w:type="dxa"/>
              <w:left w:w="100" w:type="dxa"/>
              <w:bottom w:w="100" w:type="dxa"/>
              <w:right w:w="100" w:type="dxa"/>
            </w:tcMar>
          </w:tcPr>
          <w:p w14:paraId="76F8385E"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2B976E0D"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6B65C4F5"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3A41DBD9"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Sustained competitive advantage</w:t>
            </w:r>
          </w:p>
        </w:tc>
      </w:tr>
      <w:tr w:rsidR="0058665E" w:rsidRPr="0058665E" w14:paraId="7ABD956A" w14:textId="77777777">
        <w:tc>
          <w:tcPr>
            <w:tcW w:w="1504" w:type="dxa"/>
            <w:tcMar>
              <w:top w:w="100" w:type="dxa"/>
              <w:left w:w="100" w:type="dxa"/>
              <w:bottom w:w="100" w:type="dxa"/>
              <w:right w:w="100" w:type="dxa"/>
            </w:tcMar>
          </w:tcPr>
          <w:p w14:paraId="756A4EA4"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Research and development</w:t>
            </w:r>
          </w:p>
        </w:tc>
        <w:tc>
          <w:tcPr>
            <w:tcW w:w="1505" w:type="dxa"/>
            <w:tcMar>
              <w:top w:w="100" w:type="dxa"/>
              <w:left w:w="100" w:type="dxa"/>
              <w:bottom w:w="100" w:type="dxa"/>
              <w:right w:w="100" w:type="dxa"/>
            </w:tcMar>
          </w:tcPr>
          <w:p w14:paraId="0A57D5DA"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66B3D1CD"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1B849BDD"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No</w:t>
            </w:r>
          </w:p>
        </w:tc>
        <w:tc>
          <w:tcPr>
            <w:tcW w:w="1505" w:type="dxa"/>
            <w:tcMar>
              <w:top w:w="100" w:type="dxa"/>
              <w:left w:w="100" w:type="dxa"/>
              <w:bottom w:w="100" w:type="dxa"/>
              <w:right w:w="100" w:type="dxa"/>
            </w:tcMar>
          </w:tcPr>
          <w:p w14:paraId="495C2076"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6E562B07" w14:textId="77777777" w:rsidR="001E2AC0" w:rsidRPr="0058665E" w:rsidRDefault="005838B2">
            <w:pPr>
              <w:widowControl w:val="0"/>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Competitive parity</w:t>
            </w:r>
          </w:p>
        </w:tc>
      </w:tr>
      <w:tr w:rsidR="0058665E" w:rsidRPr="0058665E" w14:paraId="4D3AED0D" w14:textId="77777777">
        <w:tc>
          <w:tcPr>
            <w:tcW w:w="1504" w:type="dxa"/>
            <w:tcMar>
              <w:top w:w="100" w:type="dxa"/>
              <w:left w:w="100" w:type="dxa"/>
              <w:bottom w:w="100" w:type="dxa"/>
              <w:right w:w="100" w:type="dxa"/>
            </w:tcMar>
          </w:tcPr>
          <w:p w14:paraId="5619F6AC"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b/>
                <w:bCs/>
                <w:color w:val="000000" w:themeColor="text1"/>
              </w:rPr>
            </w:pPr>
            <w:r w:rsidRPr="0058665E">
              <w:rPr>
                <w:rFonts w:asciiTheme="majorBidi" w:hAnsiTheme="majorBidi" w:cstheme="majorBidi"/>
                <w:b/>
                <w:bCs/>
                <w:color w:val="000000" w:themeColor="text1"/>
              </w:rPr>
              <w:t>British heritage</w:t>
            </w:r>
          </w:p>
        </w:tc>
        <w:tc>
          <w:tcPr>
            <w:tcW w:w="1505" w:type="dxa"/>
            <w:tcMar>
              <w:top w:w="100" w:type="dxa"/>
              <w:left w:w="100" w:type="dxa"/>
              <w:bottom w:w="100" w:type="dxa"/>
              <w:right w:w="100" w:type="dxa"/>
            </w:tcMar>
          </w:tcPr>
          <w:p w14:paraId="3D19055E"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03EFBBAC"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1EFF64C4"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46C97E48"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Yes</w:t>
            </w:r>
          </w:p>
        </w:tc>
        <w:tc>
          <w:tcPr>
            <w:tcW w:w="1505" w:type="dxa"/>
            <w:tcMar>
              <w:top w:w="100" w:type="dxa"/>
              <w:left w:w="100" w:type="dxa"/>
              <w:bottom w:w="100" w:type="dxa"/>
              <w:right w:w="100" w:type="dxa"/>
            </w:tcMar>
          </w:tcPr>
          <w:p w14:paraId="3AFE6A25" w14:textId="77777777" w:rsidR="001E2AC0" w:rsidRPr="0058665E" w:rsidRDefault="005838B2">
            <w:pPr>
              <w:widowControl w:val="0"/>
              <w:pBdr>
                <w:top w:val="nil"/>
                <w:left w:val="nil"/>
                <w:bottom w:val="nil"/>
                <w:right w:val="nil"/>
                <w:between w:val="nil"/>
              </w:pBdr>
              <w:spacing w:line="240" w:lineRule="auto"/>
              <w:rPr>
                <w:rFonts w:asciiTheme="majorBidi" w:hAnsiTheme="majorBidi" w:cstheme="majorBidi"/>
                <w:color w:val="000000" w:themeColor="text1"/>
              </w:rPr>
            </w:pPr>
            <w:r w:rsidRPr="0058665E">
              <w:rPr>
                <w:rFonts w:asciiTheme="majorBidi" w:hAnsiTheme="majorBidi" w:cstheme="majorBidi"/>
                <w:color w:val="000000" w:themeColor="text1"/>
              </w:rPr>
              <w:t>Sustained Competitive advantage</w:t>
            </w:r>
          </w:p>
        </w:tc>
      </w:tr>
    </w:tbl>
    <w:p w14:paraId="68A4DCDE"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Table 2: VRIO analysis</w:t>
      </w:r>
    </w:p>
    <w:p w14:paraId="17BA25FD" w14:textId="77777777" w:rsidR="001E2AC0" w:rsidRPr="0058665E" w:rsidRDefault="001E2AC0">
      <w:pPr>
        <w:rPr>
          <w:rFonts w:asciiTheme="majorBidi" w:hAnsiTheme="majorBidi" w:cstheme="majorBidi"/>
          <w:b/>
          <w:bCs/>
          <w:color w:val="000000" w:themeColor="text1"/>
        </w:rPr>
      </w:pPr>
    </w:p>
    <w:p w14:paraId="5B501F9E" w14:textId="77777777" w:rsidR="001E2AC0" w:rsidRPr="0058665E" w:rsidRDefault="001E2AC0">
      <w:pPr>
        <w:rPr>
          <w:rFonts w:asciiTheme="majorBidi" w:hAnsiTheme="majorBidi" w:cstheme="majorBidi"/>
          <w:b/>
          <w:bCs/>
          <w:color w:val="000000" w:themeColor="text1"/>
        </w:rPr>
      </w:pPr>
    </w:p>
    <w:p w14:paraId="2BD9DFE5" w14:textId="77777777" w:rsidR="001E2AC0" w:rsidRPr="0058665E" w:rsidRDefault="005838B2">
      <w:pPr>
        <w:pStyle w:val="Heading2"/>
        <w:rPr>
          <w:rFonts w:asciiTheme="majorBidi" w:hAnsiTheme="majorBidi" w:cstheme="majorBidi"/>
          <w:color w:val="000000" w:themeColor="text1"/>
        </w:rPr>
      </w:pPr>
      <w:bookmarkStart w:id="6" w:name="_Toc215400087"/>
      <w:r w:rsidRPr="0058665E">
        <w:rPr>
          <w:rFonts w:asciiTheme="majorBidi" w:hAnsiTheme="majorBidi" w:cstheme="majorBidi"/>
          <w:color w:val="000000" w:themeColor="text1"/>
        </w:rPr>
        <w:t>2.3 SWOT analysis</w:t>
      </w:r>
      <w:bookmarkEnd w:id="6"/>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8665E" w:rsidRPr="0058665E" w14:paraId="1CDB6165" w14:textId="77777777">
        <w:tc>
          <w:tcPr>
            <w:tcW w:w="4514" w:type="dxa"/>
            <w:tcMar>
              <w:top w:w="100" w:type="dxa"/>
              <w:left w:w="100" w:type="dxa"/>
              <w:bottom w:w="100" w:type="dxa"/>
              <w:right w:w="100" w:type="dxa"/>
            </w:tcMar>
          </w:tcPr>
          <w:p w14:paraId="606F1275" w14:textId="77777777" w:rsidR="001E2AC0" w:rsidRPr="0058665E" w:rsidRDefault="005838B2">
            <w:pPr>
              <w:widowControl w:val="0"/>
              <w:pBdr>
                <w:top w:val="nil"/>
                <w:left w:val="nil"/>
                <w:bottom w:val="nil"/>
                <w:right w:val="nil"/>
                <w:between w:val="nil"/>
              </w:pBd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Strengths</w:t>
            </w:r>
          </w:p>
        </w:tc>
        <w:tc>
          <w:tcPr>
            <w:tcW w:w="4515" w:type="dxa"/>
            <w:tcMar>
              <w:top w:w="100" w:type="dxa"/>
              <w:left w:w="100" w:type="dxa"/>
              <w:bottom w:w="100" w:type="dxa"/>
              <w:right w:w="100" w:type="dxa"/>
            </w:tcMar>
          </w:tcPr>
          <w:p w14:paraId="2023EA2C" w14:textId="77777777" w:rsidR="001E2AC0" w:rsidRPr="0058665E" w:rsidRDefault="005838B2">
            <w:pPr>
              <w:widowControl w:val="0"/>
              <w:pBdr>
                <w:top w:val="nil"/>
                <w:left w:val="nil"/>
                <w:bottom w:val="nil"/>
                <w:right w:val="nil"/>
                <w:between w:val="nil"/>
              </w:pBd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Weaknesses</w:t>
            </w:r>
          </w:p>
        </w:tc>
      </w:tr>
      <w:tr w:rsidR="0058665E" w:rsidRPr="0058665E" w14:paraId="25E1B1BB" w14:textId="77777777">
        <w:tc>
          <w:tcPr>
            <w:tcW w:w="4514" w:type="dxa"/>
            <w:tcMar>
              <w:top w:w="100" w:type="dxa"/>
              <w:left w:w="100" w:type="dxa"/>
              <w:bottom w:w="100" w:type="dxa"/>
              <w:right w:w="100" w:type="dxa"/>
            </w:tcMar>
          </w:tcPr>
          <w:p w14:paraId="27341724" w14:textId="77777777" w:rsidR="001E2AC0" w:rsidRPr="0058665E" w:rsidRDefault="005838B2">
            <w:pPr>
              <w:widowControl w:val="0"/>
              <w:numPr>
                <w:ilvl w:val="0"/>
                <w:numId w:val="5"/>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JLR has a strong brand heritage and global reputation in the automotive sector (Jaguar Land Rover Automotive PLC, 2025a). </w:t>
            </w:r>
          </w:p>
          <w:p w14:paraId="14688371" w14:textId="77777777" w:rsidR="001E2AC0" w:rsidRPr="0058665E" w:rsidRDefault="005838B2">
            <w:pPr>
              <w:widowControl w:val="0"/>
              <w:numPr>
                <w:ilvl w:val="0"/>
                <w:numId w:val="5"/>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JLR also has a strong supplier network. </w:t>
            </w:r>
          </w:p>
          <w:p w14:paraId="088744D8" w14:textId="77777777" w:rsidR="001E2AC0" w:rsidRPr="0058665E" w:rsidRDefault="005838B2">
            <w:pPr>
              <w:widowControl w:val="0"/>
              <w:numPr>
                <w:ilvl w:val="0"/>
                <w:numId w:val="5"/>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A strong strategic vision towards EV transformation (Jaguar Land Rover Automotive PLC. 2025b). </w:t>
            </w:r>
          </w:p>
          <w:p w14:paraId="4868CE30" w14:textId="77777777" w:rsidR="001E2AC0" w:rsidRPr="0058665E" w:rsidRDefault="005838B2">
            <w:pPr>
              <w:widowControl w:val="0"/>
              <w:numPr>
                <w:ilvl w:val="0"/>
                <w:numId w:val="5"/>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Advanced research and development technology. </w:t>
            </w:r>
          </w:p>
        </w:tc>
        <w:tc>
          <w:tcPr>
            <w:tcW w:w="4515" w:type="dxa"/>
            <w:tcMar>
              <w:top w:w="100" w:type="dxa"/>
              <w:left w:w="100" w:type="dxa"/>
              <w:bottom w:w="100" w:type="dxa"/>
              <w:right w:w="100" w:type="dxa"/>
            </w:tcMar>
          </w:tcPr>
          <w:p w14:paraId="77BAD85B" w14:textId="77777777" w:rsidR="001E2AC0" w:rsidRPr="0058665E" w:rsidRDefault="005838B2">
            <w:pPr>
              <w:widowControl w:val="0"/>
              <w:numPr>
                <w:ilvl w:val="0"/>
                <w:numId w:val="1"/>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High production costs affect the workforce and operations (Brady, 2023). </w:t>
            </w:r>
          </w:p>
          <w:p w14:paraId="560B21DB" w14:textId="77777777" w:rsidR="001E2AC0" w:rsidRPr="0058665E" w:rsidRDefault="005838B2">
            <w:pPr>
              <w:widowControl w:val="0"/>
              <w:numPr>
                <w:ilvl w:val="0"/>
                <w:numId w:val="1"/>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Limited production units on a global scale as compared to rivals. </w:t>
            </w:r>
          </w:p>
          <w:p w14:paraId="041E9FB6" w14:textId="77777777" w:rsidR="001E2AC0" w:rsidRPr="0058665E" w:rsidRDefault="005838B2">
            <w:pPr>
              <w:widowControl w:val="0"/>
              <w:numPr>
                <w:ilvl w:val="0"/>
                <w:numId w:val="1"/>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Lack of product portfolio diversity. </w:t>
            </w:r>
          </w:p>
        </w:tc>
      </w:tr>
      <w:tr w:rsidR="0058665E" w:rsidRPr="0058665E" w14:paraId="21FB3D2C" w14:textId="77777777">
        <w:tc>
          <w:tcPr>
            <w:tcW w:w="4514" w:type="dxa"/>
            <w:tcMar>
              <w:top w:w="100" w:type="dxa"/>
              <w:left w:w="100" w:type="dxa"/>
              <w:bottom w:w="100" w:type="dxa"/>
              <w:right w:w="100" w:type="dxa"/>
            </w:tcMar>
          </w:tcPr>
          <w:p w14:paraId="5E6C17A4" w14:textId="77777777" w:rsidR="001E2AC0" w:rsidRPr="0058665E" w:rsidRDefault="005838B2">
            <w:pPr>
              <w:widowControl w:val="0"/>
              <w:pBdr>
                <w:top w:val="nil"/>
                <w:left w:val="nil"/>
                <w:bottom w:val="nil"/>
                <w:right w:val="nil"/>
                <w:between w:val="nil"/>
              </w:pBd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Opportunities</w:t>
            </w:r>
          </w:p>
        </w:tc>
        <w:tc>
          <w:tcPr>
            <w:tcW w:w="4515" w:type="dxa"/>
            <w:tcMar>
              <w:top w:w="100" w:type="dxa"/>
              <w:left w:w="100" w:type="dxa"/>
              <w:bottom w:w="100" w:type="dxa"/>
              <w:right w:w="100" w:type="dxa"/>
            </w:tcMar>
          </w:tcPr>
          <w:p w14:paraId="73D3DE12" w14:textId="77777777" w:rsidR="001E2AC0" w:rsidRPr="0058665E" w:rsidRDefault="005838B2">
            <w:pPr>
              <w:widowControl w:val="0"/>
              <w:pBdr>
                <w:top w:val="nil"/>
                <w:left w:val="nil"/>
                <w:bottom w:val="nil"/>
                <w:right w:val="nil"/>
                <w:between w:val="nil"/>
              </w:pBd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Threats</w:t>
            </w:r>
          </w:p>
        </w:tc>
      </w:tr>
      <w:tr w:rsidR="0058665E" w:rsidRPr="0058665E" w14:paraId="18C993BA" w14:textId="77777777">
        <w:tc>
          <w:tcPr>
            <w:tcW w:w="4514" w:type="dxa"/>
            <w:tcMar>
              <w:top w:w="100" w:type="dxa"/>
              <w:left w:w="100" w:type="dxa"/>
              <w:bottom w:w="100" w:type="dxa"/>
              <w:right w:w="100" w:type="dxa"/>
            </w:tcMar>
          </w:tcPr>
          <w:p w14:paraId="3E66725D" w14:textId="77777777" w:rsidR="001E2AC0" w:rsidRPr="0058665E" w:rsidRDefault="005838B2">
            <w:pPr>
              <w:widowControl w:val="0"/>
              <w:numPr>
                <w:ilvl w:val="0"/>
                <w:numId w:val="3"/>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Rising demand for EV in the global and domestic market (Hossain </w:t>
            </w:r>
            <w:r w:rsidRPr="0058665E">
              <w:rPr>
                <w:rFonts w:asciiTheme="majorBidi" w:hAnsiTheme="majorBidi" w:cstheme="majorBidi"/>
                <w:i/>
                <w:iCs/>
                <w:color w:val="000000" w:themeColor="text1"/>
              </w:rPr>
              <w:t>et al.</w:t>
            </w:r>
            <w:r w:rsidRPr="0058665E">
              <w:rPr>
                <w:rFonts w:asciiTheme="majorBidi" w:hAnsiTheme="majorBidi" w:cstheme="majorBidi"/>
                <w:color w:val="000000" w:themeColor="text1"/>
              </w:rPr>
              <w:t xml:space="preserve">, 2024; Mandys and Taneja, 2024). </w:t>
            </w:r>
          </w:p>
          <w:p w14:paraId="7B3E2828" w14:textId="77777777" w:rsidR="001E2AC0" w:rsidRPr="0058665E" w:rsidRDefault="005838B2">
            <w:pPr>
              <w:widowControl w:val="0"/>
              <w:numPr>
                <w:ilvl w:val="0"/>
                <w:numId w:val="3"/>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Government support towards EV infrastructure. </w:t>
            </w:r>
          </w:p>
          <w:p w14:paraId="1A978696" w14:textId="77777777" w:rsidR="001E2AC0" w:rsidRPr="0058665E" w:rsidRDefault="005838B2">
            <w:pPr>
              <w:widowControl w:val="0"/>
              <w:numPr>
                <w:ilvl w:val="0"/>
                <w:numId w:val="3"/>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Emerging market expansion for greater reach. </w:t>
            </w:r>
          </w:p>
        </w:tc>
        <w:tc>
          <w:tcPr>
            <w:tcW w:w="4515" w:type="dxa"/>
            <w:tcMar>
              <w:top w:w="100" w:type="dxa"/>
              <w:left w:w="100" w:type="dxa"/>
              <w:bottom w:w="100" w:type="dxa"/>
              <w:right w:w="100" w:type="dxa"/>
            </w:tcMar>
          </w:tcPr>
          <w:p w14:paraId="4212EC4D" w14:textId="77777777" w:rsidR="001E2AC0" w:rsidRPr="0058665E" w:rsidRDefault="005838B2">
            <w:pPr>
              <w:widowControl w:val="0"/>
              <w:numPr>
                <w:ilvl w:val="0"/>
                <w:numId w:val="2"/>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Intense EV competition in the global market (Kelly, 2025). </w:t>
            </w:r>
          </w:p>
          <w:p w14:paraId="6B002E92" w14:textId="77777777" w:rsidR="001E2AC0" w:rsidRPr="0058665E" w:rsidRDefault="005838B2">
            <w:pPr>
              <w:widowControl w:val="0"/>
              <w:numPr>
                <w:ilvl w:val="0"/>
                <w:numId w:val="2"/>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 xml:space="preserve">Macroeconomic instability in terms of labour costs, labour availability and inflation (Brady, 2023). </w:t>
            </w:r>
          </w:p>
          <w:p w14:paraId="010786C3" w14:textId="77777777" w:rsidR="001E2AC0" w:rsidRPr="0058665E" w:rsidRDefault="005838B2">
            <w:pPr>
              <w:widowControl w:val="0"/>
              <w:numPr>
                <w:ilvl w:val="0"/>
                <w:numId w:val="2"/>
              </w:numPr>
              <w:pBdr>
                <w:top w:val="nil"/>
                <w:left w:val="nil"/>
                <w:bottom w:val="nil"/>
                <w:right w:val="nil"/>
                <w:between w:val="nil"/>
              </w:pBdr>
              <w:rPr>
                <w:rFonts w:asciiTheme="majorBidi" w:hAnsiTheme="majorBidi" w:cstheme="majorBidi"/>
                <w:color w:val="000000" w:themeColor="text1"/>
              </w:rPr>
            </w:pPr>
            <w:r w:rsidRPr="0058665E">
              <w:rPr>
                <w:rFonts w:asciiTheme="majorBidi" w:hAnsiTheme="majorBidi" w:cstheme="majorBidi"/>
                <w:color w:val="000000" w:themeColor="text1"/>
              </w:rPr>
              <w:t>Supply chain issues such as sourcing of batteries (</w:t>
            </w:r>
            <w:proofErr w:type="spellStart"/>
            <w:r w:rsidRPr="0058665E">
              <w:rPr>
                <w:rFonts w:asciiTheme="majorBidi" w:hAnsiTheme="majorBidi" w:cstheme="majorBidi"/>
                <w:color w:val="000000" w:themeColor="text1"/>
              </w:rPr>
              <w:t>Rejeb</w:t>
            </w:r>
            <w:proofErr w:type="spellEnd"/>
            <w:r w:rsidRPr="0058665E">
              <w:rPr>
                <w:rFonts w:asciiTheme="majorBidi" w:hAnsiTheme="majorBidi" w:cstheme="majorBidi"/>
                <w:color w:val="000000" w:themeColor="text1"/>
              </w:rPr>
              <w:t xml:space="preserve">, </w:t>
            </w:r>
            <w:proofErr w:type="spellStart"/>
            <w:r w:rsidRPr="0058665E">
              <w:rPr>
                <w:rFonts w:asciiTheme="majorBidi" w:hAnsiTheme="majorBidi" w:cstheme="majorBidi"/>
                <w:color w:val="000000" w:themeColor="text1"/>
              </w:rPr>
              <w:t>Rejeb</w:t>
            </w:r>
            <w:proofErr w:type="spellEnd"/>
            <w:r w:rsidRPr="0058665E">
              <w:rPr>
                <w:rFonts w:asciiTheme="majorBidi" w:hAnsiTheme="majorBidi" w:cstheme="majorBidi"/>
                <w:color w:val="000000" w:themeColor="text1"/>
              </w:rPr>
              <w:t xml:space="preserve"> and </w:t>
            </w:r>
            <w:proofErr w:type="spellStart"/>
            <w:r w:rsidRPr="0058665E">
              <w:rPr>
                <w:rFonts w:asciiTheme="majorBidi" w:hAnsiTheme="majorBidi" w:cstheme="majorBidi"/>
                <w:color w:val="000000" w:themeColor="text1"/>
              </w:rPr>
              <w:t>Süle</w:t>
            </w:r>
            <w:proofErr w:type="spellEnd"/>
            <w:r w:rsidRPr="0058665E">
              <w:rPr>
                <w:rFonts w:asciiTheme="majorBidi" w:hAnsiTheme="majorBidi" w:cstheme="majorBidi"/>
                <w:color w:val="000000" w:themeColor="text1"/>
              </w:rPr>
              <w:t xml:space="preserve">, 2025). </w:t>
            </w:r>
          </w:p>
        </w:tc>
      </w:tr>
    </w:tbl>
    <w:p w14:paraId="0834F27C" w14:textId="77777777" w:rsidR="001E2AC0" w:rsidRPr="0058665E" w:rsidRDefault="005838B2">
      <w:pPr>
        <w:jc w:val="center"/>
        <w:rPr>
          <w:rFonts w:asciiTheme="majorBidi" w:hAnsiTheme="majorBidi" w:cstheme="majorBidi"/>
          <w:b/>
          <w:bCs/>
          <w:color w:val="000000" w:themeColor="text1"/>
        </w:rPr>
      </w:pPr>
      <w:r w:rsidRPr="0058665E">
        <w:rPr>
          <w:rFonts w:asciiTheme="majorBidi" w:hAnsiTheme="majorBidi" w:cstheme="majorBidi"/>
          <w:b/>
          <w:bCs/>
          <w:color w:val="000000" w:themeColor="text1"/>
        </w:rPr>
        <w:t>Table 3: SWOT Analysis</w:t>
      </w:r>
    </w:p>
    <w:p w14:paraId="72472898" w14:textId="77777777" w:rsidR="001E2AC0" w:rsidRPr="0058665E" w:rsidRDefault="001E2AC0">
      <w:pPr>
        <w:rPr>
          <w:rFonts w:asciiTheme="majorBidi" w:hAnsiTheme="majorBidi" w:cstheme="majorBidi"/>
          <w:b/>
          <w:bCs/>
          <w:color w:val="000000" w:themeColor="text1"/>
        </w:rPr>
      </w:pPr>
    </w:p>
    <w:p w14:paraId="2EED317D" w14:textId="77777777" w:rsidR="001E2AC0" w:rsidRPr="0058665E" w:rsidRDefault="005838B2">
      <w:pPr>
        <w:pStyle w:val="Heading1"/>
        <w:rPr>
          <w:rFonts w:asciiTheme="majorBidi" w:hAnsiTheme="majorBidi" w:cstheme="majorBidi"/>
          <w:color w:val="000000" w:themeColor="text1"/>
        </w:rPr>
      </w:pPr>
      <w:bookmarkStart w:id="7" w:name="_Toc215400088"/>
      <w:r w:rsidRPr="0058665E">
        <w:rPr>
          <w:rFonts w:asciiTheme="majorBidi" w:hAnsiTheme="majorBidi" w:cstheme="majorBidi"/>
          <w:color w:val="000000" w:themeColor="text1"/>
        </w:rPr>
        <w:t>3. Strategy formation</w:t>
      </w:r>
      <w:bookmarkEnd w:id="7"/>
    </w:p>
    <w:p w14:paraId="5C90579C"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 xml:space="preserve">Reviewing the internal and external environment through the perspectives of various frameworks and tools, it is clarified that JLR requires the development of strategic visions and activities. The influence on the long-term performance of the organisation emerges from the strategic choices that can be identified from the impact of the internal as well as external environment. The exposure to these factors has encouraged the identification of the following strategic options for the organisation: </w:t>
      </w:r>
    </w:p>
    <w:p w14:paraId="287DD54A"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Strengthen EV leadership: </w:t>
      </w:r>
      <w:r w:rsidRPr="0058665E">
        <w:rPr>
          <w:rFonts w:asciiTheme="majorBidi" w:hAnsiTheme="majorBidi" w:cstheme="majorBidi"/>
          <w:color w:val="000000" w:themeColor="text1"/>
        </w:rPr>
        <w:t>The foremost strategic vision that can emerge from the above discussion is the strengthening of EV leadership considering the latest demand and the future outlook. The aspects of regulatory changes for the adoption of cleaner vehicles in the market, changing consumer behaviour towards EV and the rising technological adoption among the top automotive companies in the market have substantially affected the strategic vision (</w:t>
      </w:r>
      <w:proofErr w:type="spellStart"/>
      <w:r w:rsidRPr="0058665E">
        <w:rPr>
          <w:rFonts w:asciiTheme="majorBidi" w:hAnsiTheme="majorBidi" w:cstheme="majorBidi"/>
          <w:color w:val="000000" w:themeColor="text1"/>
        </w:rPr>
        <w:t>Bryła</w:t>
      </w:r>
      <w:proofErr w:type="spellEnd"/>
      <w:r w:rsidRPr="0058665E">
        <w:rPr>
          <w:rFonts w:asciiTheme="majorBidi" w:hAnsiTheme="majorBidi" w:cstheme="majorBidi"/>
          <w:color w:val="000000" w:themeColor="text1"/>
        </w:rPr>
        <w:t xml:space="preserve">, Chatterjee and </w:t>
      </w:r>
      <w:proofErr w:type="spellStart"/>
      <w:r w:rsidRPr="0058665E">
        <w:rPr>
          <w:rFonts w:asciiTheme="majorBidi" w:hAnsiTheme="majorBidi" w:cstheme="majorBidi"/>
          <w:color w:val="000000" w:themeColor="text1"/>
        </w:rPr>
        <w:t>Ciabiada-Bryła</w:t>
      </w:r>
      <w:proofErr w:type="spellEnd"/>
      <w:r w:rsidRPr="0058665E">
        <w:rPr>
          <w:rFonts w:asciiTheme="majorBidi" w:hAnsiTheme="majorBidi" w:cstheme="majorBidi"/>
          <w:color w:val="000000" w:themeColor="text1"/>
        </w:rPr>
        <w:t>, 2022; McKinsey &amp; Company, 2021). Thus, the forem</w:t>
      </w:r>
      <w:r w:rsidRPr="0058665E">
        <w:rPr>
          <w:rFonts w:asciiTheme="majorBidi" w:hAnsiTheme="majorBidi" w:cstheme="majorBidi"/>
          <w:color w:val="000000" w:themeColor="text1"/>
        </w:rPr>
        <w:t xml:space="preserve">ost consideration for the organisation can be associated with the strengthening of the EV leadership in domestic as well as international markets. </w:t>
      </w:r>
    </w:p>
    <w:p w14:paraId="7E6C34A5"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Invest in digital transformation: </w:t>
      </w:r>
      <w:r w:rsidRPr="0058665E">
        <w:rPr>
          <w:rFonts w:asciiTheme="majorBidi" w:hAnsiTheme="majorBidi" w:cstheme="majorBidi"/>
          <w:color w:val="000000" w:themeColor="text1"/>
        </w:rPr>
        <w:t>Another major strategic factor related to the JLR’s market conditions and external changes is the investment in digital technology and smart mobility. The aspect of technological investment for the organisation can be perceived in the development of market performance and the rise of autonomous driving. Investing in digital technology has emerged as a significant strategic option for the automotive sector regarding the consumer demand towards extensive services, connection and personalisation of the vehicle</w:t>
      </w:r>
      <w:r w:rsidRPr="0058665E">
        <w:rPr>
          <w:rFonts w:asciiTheme="majorBidi" w:hAnsiTheme="majorBidi" w:cstheme="majorBidi"/>
          <w:color w:val="000000" w:themeColor="text1"/>
        </w:rPr>
        <w:t xml:space="preserve">s (Mekala, 2025; Wang, 2024). Thus, this can also be identified as a major strategic factor in driving sustained growth for JLR in the market. </w:t>
      </w:r>
    </w:p>
    <w:p w14:paraId="182CAA0F"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Global expansion: </w:t>
      </w:r>
      <w:r w:rsidRPr="0058665E">
        <w:rPr>
          <w:rFonts w:asciiTheme="majorBidi" w:hAnsiTheme="majorBidi" w:cstheme="majorBidi"/>
          <w:color w:val="000000" w:themeColor="text1"/>
        </w:rPr>
        <w:t>Considering the macroeconomic uncertainties and internal weaknesses of JLR in maintaining competitive power, the focus of global expansion can bring extensive factors for the organisation. This helps identify that the role of global expansion is a major competitive action for automotive businesses in gaining global leadership and maintaining balance in their economic conditions (</w:t>
      </w:r>
      <w:proofErr w:type="spellStart"/>
      <w:r w:rsidRPr="0058665E">
        <w:rPr>
          <w:rFonts w:asciiTheme="majorBidi" w:hAnsiTheme="majorBidi" w:cstheme="majorBidi"/>
          <w:color w:val="000000" w:themeColor="text1"/>
        </w:rPr>
        <w:t>Dakić</w:t>
      </w:r>
      <w:proofErr w:type="spellEnd"/>
      <w:r w:rsidRPr="0058665E">
        <w:rPr>
          <w:rFonts w:asciiTheme="majorBidi" w:hAnsiTheme="majorBidi" w:cstheme="majorBidi"/>
          <w:color w:val="000000" w:themeColor="text1"/>
        </w:rPr>
        <w:t xml:space="preserve">, </w:t>
      </w:r>
      <w:proofErr w:type="spellStart"/>
      <w:r w:rsidRPr="0058665E">
        <w:rPr>
          <w:rFonts w:asciiTheme="majorBidi" w:hAnsiTheme="majorBidi" w:cstheme="majorBidi"/>
          <w:color w:val="000000" w:themeColor="text1"/>
        </w:rPr>
        <w:t>Stupavský</w:t>
      </w:r>
      <w:proofErr w:type="spellEnd"/>
      <w:r w:rsidRPr="0058665E">
        <w:rPr>
          <w:rFonts w:asciiTheme="majorBidi" w:hAnsiTheme="majorBidi" w:cstheme="majorBidi"/>
          <w:color w:val="000000" w:themeColor="text1"/>
        </w:rPr>
        <w:t xml:space="preserve"> and </w:t>
      </w:r>
      <w:proofErr w:type="spellStart"/>
      <w:r w:rsidRPr="0058665E">
        <w:rPr>
          <w:rFonts w:asciiTheme="majorBidi" w:hAnsiTheme="majorBidi" w:cstheme="majorBidi"/>
          <w:color w:val="000000" w:themeColor="text1"/>
        </w:rPr>
        <w:t>Todorović</w:t>
      </w:r>
      <w:proofErr w:type="spellEnd"/>
      <w:r w:rsidRPr="0058665E">
        <w:rPr>
          <w:rFonts w:asciiTheme="majorBidi" w:hAnsiTheme="majorBidi" w:cstheme="majorBidi"/>
          <w:color w:val="000000" w:themeColor="text1"/>
        </w:rPr>
        <w:t>, 2024; McKinsey &amp; Company, 2025). Addressing the needs of resilience and economical balance through</w:t>
      </w:r>
      <w:r w:rsidRPr="0058665E">
        <w:rPr>
          <w:rFonts w:asciiTheme="majorBidi" w:hAnsiTheme="majorBidi" w:cstheme="majorBidi"/>
          <w:color w:val="000000" w:themeColor="text1"/>
        </w:rPr>
        <w:t xml:space="preserve"> global expansion also brings significant opportunities for the automotive brand in continuing its global reputation. </w:t>
      </w:r>
    </w:p>
    <w:p w14:paraId="0484CEB4"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b/>
          <w:bCs/>
          <w:i/>
          <w:iCs/>
          <w:color w:val="000000" w:themeColor="text1"/>
        </w:rPr>
        <w:t xml:space="preserve">AI adoption in operations: </w:t>
      </w:r>
      <w:r w:rsidRPr="0058665E">
        <w:rPr>
          <w:rFonts w:asciiTheme="majorBidi" w:hAnsiTheme="majorBidi" w:cstheme="majorBidi"/>
          <w:color w:val="000000" w:themeColor="text1"/>
        </w:rPr>
        <w:t xml:space="preserve">The last strategic option for the organisation can be found in terms of technological efficacy through the adoption of artificial intelligence. JLR can consider the development of AI for its R&amp;D and customer analysis to increase the effectiveness of marketing and product portfolio. S&amp;P Global (2025) and Kabir </w:t>
      </w:r>
      <w:r w:rsidRPr="0058665E">
        <w:rPr>
          <w:rFonts w:asciiTheme="majorBidi" w:hAnsiTheme="majorBidi" w:cstheme="majorBidi"/>
          <w:i/>
          <w:iCs/>
          <w:color w:val="000000" w:themeColor="text1"/>
        </w:rPr>
        <w:t xml:space="preserve">et al. </w:t>
      </w:r>
      <w:r w:rsidRPr="0058665E">
        <w:rPr>
          <w:rFonts w:asciiTheme="majorBidi" w:hAnsiTheme="majorBidi" w:cstheme="majorBidi"/>
          <w:color w:val="000000" w:themeColor="text1"/>
        </w:rPr>
        <w:t xml:space="preserve">(2025) suggested the development of AI as a futuristic choice in developing the safety, customer experience and operational efficiency. Thus, the strategic choice of AI adoption remains crucial </w:t>
      </w:r>
      <w:r w:rsidRPr="0058665E">
        <w:rPr>
          <w:rFonts w:asciiTheme="majorBidi" w:hAnsiTheme="majorBidi" w:cstheme="majorBidi"/>
          <w:color w:val="000000" w:themeColor="text1"/>
        </w:rPr>
        <w:t xml:space="preserve">for the organisation. </w:t>
      </w:r>
    </w:p>
    <w:p w14:paraId="75FA8D47" w14:textId="77777777" w:rsidR="001E2AC0" w:rsidRPr="0058665E" w:rsidRDefault="001E2AC0">
      <w:pPr>
        <w:pStyle w:val="Heading1"/>
        <w:rPr>
          <w:rFonts w:asciiTheme="majorBidi" w:hAnsiTheme="majorBidi" w:cstheme="majorBidi"/>
          <w:color w:val="000000" w:themeColor="text1"/>
        </w:rPr>
      </w:pPr>
      <w:bookmarkStart w:id="8" w:name="_aqv1myedvztz" w:colFirst="0" w:colLast="0"/>
      <w:bookmarkEnd w:id="8"/>
    </w:p>
    <w:p w14:paraId="280ADE59" w14:textId="77777777" w:rsidR="001E2AC0" w:rsidRPr="0058665E" w:rsidRDefault="005838B2">
      <w:pPr>
        <w:pStyle w:val="Heading1"/>
        <w:rPr>
          <w:rFonts w:asciiTheme="majorBidi" w:hAnsiTheme="majorBidi" w:cstheme="majorBidi"/>
          <w:color w:val="000000" w:themeColor="text1"/>
        </w:rPr>
      </w:pPr>
      <w:bookmarkStart w:id="9" w:name="_Toc215400089"/>
      <w:r w:rsidRPr="0058665E">
        <w:rPr>
          <w:rFonts w:asciiTheme="majorBidi" w:hAnsiTheme="majorBidi" w:cstheme="majorBidi"/>
          <w:color w:val="000000" w:themeColor="text1"/>
        </w:rPr>
        <w:t>4. Conclusion</w:t>
      </w:r>
      <w:bookmarkEnd w:id="9"/>
    </w:p>
    <w:p w14:paraId="4400B20E"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The above report has provided a critical discussion of the strategic analysis of Jaguar Land Rover considering its internal and external environment. From the exploration of its current strategic choices and market performance in the domestic landscape, it was understood that the requirement of various strategic choices regarding the future performance remains crucial. The analysis of the external environment through PESTLE and Porter’s Five Forces has revealed that the macroeconomic factors such as inflati</w:t>
      </w:r>
      <w:r w:rsidRPr="0058665E">
        <w:rPr>
          <w:rFonts w:asciiTheme="majorBidi" w:hAnsiTheme="majorBidi" w:cstheme="majorBidi"/>
          <w:color w:val="000000" w:themeColor="text1"/>
        </w:rPr>
        <w:t>on, consumer behaviour and supply chain uncertainties due to political changes and regulations have affected the overall decisions. On the other hand, the analysis of the internal environment through VRIO, Resource-Based View and Value Chain Analysis has revealed the factors of internal capabilities and efficacy of JLR in handling the core functions of the market. The efficacy of the brand was also highlighted through SWOT has also helped design the aforementioned strategic visions for the organisation. The</w:t>
      </w:r>
      <w:r w:rsidRPr="0058665E">
        <w:rPr>
          <w:rFonts w:asciiTheme="majorBidi" w:hAnsiTheme="majorBidi" w:cstheme="majorBidi"/>
          <w:color w:val="000000" w:themeColor="text1"/>
        </w:rPr>
        <w:t xml:space="preserve"> strategic choices of technological development, global expansion, digital investment and EV leadership were considered vital for the performance of the organisation. The foremost consideration for the organisation is associated with the performance of the internal capacities. The strategic choices mentioned above must be linked with the organisational procedures and operations by the management to an extensive note. </w:t>
      </w:r>
    </w:p>
    <w:p w14:paraId="69BBA5FD" w14:textId="77777777" w:rsidR="001E2AC0" w:rsidRPr="0058665E" w:rsidRDefault="001E2AC0">
      <w:pPr>
        <w:rPr>
          <w:rFonts w:asciiTheme="majorBidi" w:hAnsiTheme="majorBidi" w:cstheme="majorBidi"/>
          <w:b/>
          <w:bCs/>
          <w:color w:val="000000" w:themeColor="text1"/>
        </w:rPr>
      </w:pPr>
    </w:p>
    <w:p w14:paraId="5EDBD21F" w14:textId="77777777" w:rsidR="001E2AC0" w:rsidRPr="0058665E" w:rsidRDefault="005838B2">
      <w:pPr>
        <w:pStyle w:val="Heading1"/>
        <w:rPr>
          <w:rFonts w:asciiTheme="majorBidi" w:hAnsiTheme="majorBidi" w:cstheme="majorBidi"/>
          <w:color w:val="000000" w:themeColor="text1"/>
        </w:rPr>
      </w:pPr>
      <w:bookmarkStart w:id="10" w:name="_av4mfls2q8w0" w:colFirst="0" w:colLast="0"/>
      <w:bookmarkEnd w:id="10"/>
      <w:r w:rsidRPr="0058665E">
        <w:rPr>
          <w:rFonts w:asciiTheme="majorBidi" w:hAnsiTheme="majorBidi" w:cstheme="majorBidi"/>
          <w:color w:val="000000" w:themeColor="text1"/>
        </w:rPr>
        <w:br w:type="page"/>
      </w:r>
    </w:p>
    <w:p w14:paraId="3218C8BA" w14:textId="77777777" w:rsidR="001E2AC0" w:rsidRPr="0058665E" w:rsidRDefault="005838B2">
      <w:pPr>
        <w:pStyle w:val="Heading1"/>
        <w:rPr>
          <w:rFonts w:asciiTheme="majorBidi" w:hAnsiTheme="majorBidi" w:cstheme="majorBidi"/>
          <w:color w:val="000000" w:themeColor="text1"/>
        </w:rPr>
      </w:pPr>
      <w:bookmarkStart w:id="11" w:name="_Toc215400090"/>
      <w:r w:rsidRPr="0058665E">
        <w:rPr>
          <w:rFonts w:asciiTheme="majorBidi" w:hAnsiTheme="majorBidi" w:cstheme="majorBidi"/>
          <w:color w:val="000000" w:themeColor="text1"/>
        </w:rPr>
        <w:t>5. Recommendations</w:t>
      </w:r>
      <w:bookmarkEnd w:id="11"/>
    </w:p>
    <w:p w14:paraId="7BD95CC3" w14:textId="77777777" w:rsidR="001E2AC0" w:rsidRPr="0058665E" w:rsidRDefault="005838B2">
      <w:pPr>
        <w:rPr>
          <w:rFonts w:asciiTheme="majorBidi" w:hAnsiTheme="majorBidi" w:cstheme="majorBidi"/>
          <w:color w:val="000000" w:themeColor="text1"/>
        </w:rPr>
      </w:pPr>
      <w:r w:rsidRPr="0058665E">
        <w:rPr>
          <w:rFonts w:asciiTheme="majorBidi" w:hAnsiTheme="majorBidi" w:cstheme="majorBidi"/>
          <w:color w:val="000000" w:themeColor="text1"/>
        </w:rPr>
        <w:t>In order to successfully execute its strategic choices on the way to achieving electric vehicle (EV) leadership, digital transformation, global expansion, and artificial intelligence (AI), Jaguar Land Rover (JLR) needs to be an integrated and staged player. To enhance the EV leadership, it is necessary to speed up the process of creating its Modular Longitudinal Architecture (MLA) and Electric Modular Architecture (EMA) platforms and collaborate with Tata Chemicals and the UK Battery Industrialisation Centr</w:t>
      </w:r>
      <w:r w:rsidRPr="0058665E">
        <w:rPr>
          <w:rFonts w:asciiTheme="majorBidi" w:hAnsiTheme="majorBidi" w:cstheme="majorBidi"/>
          <w:color w:val="000000" w:themeColor="text1"/>
        </w:rPr>
        <w:t>e to ensure the sustainability of battery supply chains. Secondly, the understanding of digital transformation adoption may be associated with the integration of information-based operations, over-the-air software updates, and connected vehicle technologies with the help of strategic partnerships with NVIDIA and TCS. In parallel, JLR’s AI adoption should focus on predictive maintenance, intelligent manufacturing, and personalised customer interfaces to enhance operational efficiency and consumer engagement.</w:t>
      </w:r>
      <w:r w:rsidRPr="0058665E">
        <w:rPr>
          <w:rFonts w:asciiTheme="majorBidi" w:hAnsiTheme="majorBidi" w:cstheme="majorBidi"/>
          <w:color w:val="000000" w:themeColor="text1"/>
        </w:rPr>
        <w:t xml:space="preserve"> Effective governance, cross-functional coordination, and workforce upskilling are essential to sustain these initiatives, ensuring technological readiness and cultural alignment with JLR’s “Reimagine” strategy. This integrated implementation framework will enable JLR to consolidate its competitive advantage, achieve sustainable growth, and position itself as a leader in the global premium EV market. The growth and efficiency of the brand must be associated with these steps and stages, considering the uncer</w:t>
      </w:r>
      <w:r w:rsidRPr="0058665E">
        <w:rPr>
          <w:rFonts w:asciiTheme="majorBidi" w:hAnsiTheme="majorBidi" w:cstheme="majorBidi"/>
          <w:color w:val="000000" w:themeColor="text1"/>
        </w:rPr>
        <w:t xml:space="preserve">tainties of the market. </w:t>
      </w:r>
    </w:p>
    <w:p w14:paraId="5CC892D5" w14:textId="77777777" w:rsidR="001E2AC0" w:rsidRPr="0058665E" w:rsidRDefault="001E2AC0">
      <w:pPr>
        <w:rPr>
          <w:rFonts w:asciiTheme="majorBidi" w:hAnsiTheme="majorBidi" w:cstheme="majorBidi"/>
          <w:b/>
          <w:bCs/>
          <w:color w:val="000000" w:themeColor="text1"/>
        </w:rPr>
      </w:pPr>
    </w:p>
    <w:p w14:paraId="15B5E819" w14:textId="77777777" w:rsidR="001E2AC0" w:rsidRPr="0058665E" w:rsidRDefault="005838B2">
      <w:pPr>
        <w:pStyle w:val="Heading1"/>
        <w:rPr>
          <w:rFonts w:asciiTheme="majorBidi" w:hAnsiTheme="majorBidi" w:cstheme="majorBidi"/>
          <w:color w:val="000000" w:themeColor="text1"/>
        </w:rPr>
      </w:pPr>
      <w:bookmarkStart w:id="12" w:name="_ez0e1y8gtes3" w:colFirst="0" w:colLast="0"/>
      <w:bookmarkEnd w:id="12"/>
      <w:r w:rsidRPr="0058665E">
        <w:rPr>
          <w:rFonts w:asciiTheme="majorBidi" w:hAnsiTheme="majorBidi" w:cstheme="majorBidi"/>
          <w:color w:val="000000" w:themeColor="text1"/>
        </w:rPr>
        <w:br w:type="page"/>
      </w:r>
    </w:p>
    <w:p w14:paraId="7E95BE13" w14:textId="77777777" w:rsidR="001E2AC0" w:rsidRPr="0058665E" w:rsidRDefault="005838B2">
      <w:pPr>
        <w:pStyle w:val="Heading1"/>
        <w:rPr>
          <w:rFonts w:asciiTheme="majorBidi" w:hAnsiTheme="majorBidi" w:cstheme="majorBidi"/>
          <w:color w:val="000000" w:themeColor="text1"/>
        </w:rPr>
      </w:pPr>
      <w:bookmarkStart w:id="13" w:name="_Toc215400091"/>
      <w:r w:rsidRPr="0058665E">
        <w:rPr>
          <w:rFonts w:asciiTheme="majorBidi" w:hAnsiTheme="majorBidi" w:cstheme="majorBidi"/>
          <w:color w:val="000000" w:themeColor="text1"/>
        </w:rPr>
        <w:t>6. References</w:t>
      </w:r>
      <w:bookmarkEnd w:id="13"/>
    </w:p>
    <w:p w14:paraId="64793177"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Accenture (2021) </w:t>
      </w:r>
      <w:r w:rsidRPr="0058665E">
        <w:rPr>
          <w:rFonts w:asciiTheme="majorBidi" w:hAnsiTheme="majorBidi" w:cstheme="majorBidi"/>
          <w:i/>
          <w:iCs/>
          <w:color w:val="000000" w:themeColor="text1"/>
        </w:rPr>
        <w:t>Jaguar Land Rover transforms global marketing communications model</w:t>
      </w:r>
      <w:r w:rsidRPr="0058665E">
        <w:rPr>
          <w:rFonts w:asciiTheme="majorBidi" w:hAnsiTheme="majorBidi" w:cstheme="majorBidi"/>
          <w:color w:val="000000" w:themeColor="text1"/>
        </w:rPr>
        <w:t xml:space="preserve">. Available at: </w:t>
      </w:r>
      <w:hyperlink r:id="rId13">
        <w:r w:rsidRPr="0058665E">
          <w:rPr>
            <w:rFonts w:asciiTheme="majorBidi" w:hAnsiTheme="majorBidi" w:cstheme="majorBidi"/>
            <w:color w:val="000000" w:themeColor="text1"/>
            <w:u w:val="single"/>
          </w:rPr>
          <w:t>https://newsroom.accenture.com/news/2021/jaguar-land-rover-transforms-global-marketing-communications-model</w:t>
        </w:r>
      </w:hyperlink>
      <w:r w:rsidRPr="0058665E">
        <w:rPr>
          <w:rFonts w:asciiTheme="majorBidi" w:hAnsiTheme="majorBidi" w:cstheme="majorBidi"/>
          <w:color w:val="000000" w:themeColor="text1"/>
        </w:rPr>
        <w:t xml:space="preserve"> (Accessed: 4 November 2025)</w:t>
      </w:r>
    </w:p>
    <w:p w14:paraId="186B8417"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Alharbi, I.B. (2024) ‘STRATEGIC MANAGEMENT: A COMPREHENSIVE REVIEW PAPER’, </w:t>
      </w:r>
      <w:r w:rsidRPr="0058665E">
        <w:rPr>
          <w:rFonts w:asciiTheme="majorBidi" w:hAnsiTheme="majorBidi" w:cstheme="majorBidi"/>
          <w:i/>
          <w:iCs/>
          <w:color w:val="000000" w:themeColor="text1"/>
        </w:rPr>
        <w:t>International Journal of Professional Business Review</w:t>
      </w:r>
      <w:r w:rsidRPr="0058665E">
        <w:rPr>
          <w:rFonts w:asciiTheme="majorBidi" w:hAnsiTheme="majorBidi" w:cstheme="majorBidi"/>
          <w:color w:val="000000" w:themeColor="text1"/>
        </w:rPr>
        <w:t>, 9(3), pp. 1–43.</w:t>
      </w:r>
    </w:p>
    <w:p w14:paraId="6FB7225F" w14:textId="77777777" w:rsidR="000C62D4" w:rsidRPr="0058665E" w:rsidRDefault="000C62D4" w:rsidP="000C62D4">
      <w:pPr>
        <w:spacing w:after="240"/>
        <w:rPr>
          <w:rFonts w:asciiTheme="majorBidi" w:hAnsiTheme="majorBidi" w:cstheme="majorBidi"/>
          <w:color w:val="000000" w:themeColor="text1"/>
        </w:rPr>
      </w:pPr>
      <w:proofErr w:type="spellStart"/>
      <w:r w:rsidRPr="0058665E">
        <w:rPr>
          <w:rFonts w:asciiTheme="majorBidi" w:hAnsiTheme="majorBidi" w:cstheme="majorBidi"/>
          <w:color w:val="000000" w:themeColor="text1"/>
        </w:rPr>
        <w:t>Bryła</w:t>
      </w:r>
      <w:proofErr w:type="spellEnd"/>
      <w:r w:rsidRPr="0058665E">
        <w:rPr>
          <w:rFonts w:asciiTheme="majorBidi" w:hAnsiTheme="majorBidi" w:cstheme="majorBidi"/>
          <w:color w:val="000000" w:themeColor="text1"/>
        </w:rPr>
        <w:t xml:space="preserve">, P., Chatterjee, S. and </w:t>
      </w:r>
      <w:proofErr w:type="spellStart"/>
      <w:r w:rsidRPr="0058665E">
        <w:rPr>
          <w:rFonts w:asciiTheme="majorBidi" w:hAnsiTheme="majorBidi" w:cstheme="majorBidi"/>
          <w:color w:val="000000" w:themeColor="text1"/>
        </w:rPr>
        <w:t>Ciabiada-Bryła</w:t>
      </w:r>
      <w:proofErr w:type="spellEnd"/>
      <w:r w:rsidRPr="0058665E">
        <w:rPr>
          <w:rFonts w:asciiTheme="majorBidi" w:hAnsiTheme="majorBidi" w:cstheme="majorBidi"/>
          <w:color w:val="000000" w:themeColor="text1"/>
        </w:rPr>
        <w:t xml:space="preserve">, B. (2022) ‘Consumer Adoption of Electric Vehicles: A Systematic Literature Review’, </w:t>
      </w:r>
      <w:r w:rsidRPr="0058665E">
        <w:rPr>
          <w:rFonts w:asciiTheme="majorBidi" w:hAnsiTheme="majorBidi" w:cstheme="majorBidi"/>
          <w:i/>
          <w:iCs/>
          <w:color w:val="000000" w:themeColor="text1"/>
        </w:rPr>
        <w:t>Energies</w:t>
      </w:r>
      <w:r w:rsidRPr="0058665E">
        <w:rPr>
          <w:rFonts w:asciiTheme="majorBidi" w:hAnsiTheme="majorBidi" w:cstheme="majorBidi"/>
          <w:color w:val="000000" w:themeColor="text1"/>
        </w:rPr>
        <w:t>, 16(1), pp. 1–16.</w:t>
      </w:r>
    </w:p>
    <w:p w14:paraId="5FAE834E" w14:textId="77777777" w:rsidR="000C62D4" w:rsidRPr="0058665E" w:rsidRDefault="000C62D4" w:rsidP="000C62D4">
      <w:pPr>
        <w:spacing w:after="240"/>
        <w:rPr>
          <w:rFonts w:asciiTheme="majorBidi" w:hAnsiTheme="majorBidi" w:cstheme="majorBidi"/>
          <w:color w:val="000000" w:themeColor="text1"/>
        </w:rPr>
      </w:pPr>
      <w:proofErr w:type="spellStart"/>
      <w:r w:rsidRPr="0058665E">
        <w:rPr>
          <w:rFonts w:asciiTheme="majorBidi" w:hAnsiTheme="majorBidi" w:cstheme="majorBidi"/>
          <w:color w:val="000000" w:themeColor="text1"/>
        </w:rPr>
        <w:t>Dakić</w:t>
      </w:r>
      <w:proofErr w:type="spellEnd"/>
      <w:r w:rsidRPr="0058665E">
        <w:rPr>
          <w:rFonts w:asciiTheme="majorBidi" w:hAnsiTheme="majorBidi" w:cstheme="majorBidi"/>
          <w:color w:val="000000" w:themeColor="text1"/>
        </w:rPr>
        <w:t xml:space="preserve">, P., </w:t>
      </w:r>
      <w:proofErr w:type="spellStart"/>
      <w:r w:rsidRPr="0058665E">
        <w:rPr>
          <w:rFonts w:asciiTheme="majorBidi" w:hAnsiTheme="majorBidi" w:cstheme="majorBidi"/>
          <w:color w:val="000000" w:themeColor="text1"/>
        </w:rPr>
        <w:t>Stupavský</w:t>
      </w:r>
      <w:proofErr w:type="spellEnd"/>
      <w:r w:rsidRPr="0058665E">
        <w:rPr>
          <w:rFonts w:asciiTheme="majorBidi" w:hAnsiTheme="majorBidi" w:cstheme="majorBidi"/>
          <w:color w:val="000000" w:themeColor="text1"/>
        </w:rPr>
        <w:t xml:space="preserve">, I. and Todorović, V. (2024) ‘The Effects of Global Market Changes on Automotive Manufacturing and Embedded Software’, </w:t>
      </w:r>
      <w:r w:rsidRPr="0058665E">
        <w:rPr>
          <w:rFonts w:asciiTheme="majorBidi" w:hAnsiTheme="majorBidi" w:cstheme="majorBidi"/>
          <w:i/>
          <w:iCs/>
          <w:color w:val="000000" w:themeColor="text1"/>
        </w:rPr>
        <w:t>Sustainability</w:t>
      </w:r>
      <w:r w:rsidRPr="0058665E">
        <w:rPr>
          <w:rFonts w:asciiTheme="majorBidi" w:hAnsiTheme="majorBidi" w:cstheme="majorBidi"/>
          <w:color w:val="000000" w:themeColor="text1"/>
        </w:rPr>
        <w:t>, 16(12), pp. 1–31.</w:t>
      </w:r>
    </w:p>
    <w:p w14:paraId="44F03DA6"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Deloitte (2025) </w:t>
      </w:r>
      <w:r w:rsidRPr="0058665E">
        <w:rPr>
          <w:rFonts w:asciiTheme="majorBidi" w:hAnsiTheme="majorBidi" w:cstheme="majorBidi"/>
          <w:i/>
          <w:iCs/>
          <w:color w:val="000000" w:themeColor="text1"/>
        </w:rPr>
        <w:t>Automotive sector quarterly update</w:t>
      </w:r>
      <w:r w:rsidRPr="0058665E">
        <w:rPr>
          <w:rFonts w:asciiTheme="majorBidi" w:hAnsiTheme="majorBidi" w:cstheme="majorBidi"/>
          <w:color w:val="000000" w:themeColor="text1"/>
        </w:rPr>
        <w:t xml:space="preserve">.  Available at: </w:t>
      </w:r>
      <w:hyperlink r:id="rId14">
        <w:r w:rsidRPr="0058665E">
          <w:rPr>
            <w:rFonts w:asciiTheme="majorBidi" w:hAnsiTheme="majorBidi" w:cstheme="majorBidi"/>
            <w:color w:val="000000" w:themeColor="text1"/>
            <w:u w:val="single"/>
          </w:rPr>
          <w:t>https://www.deloitte.com/uk/en/Industries/consumer/research/consumer-tracker/automotive-sector.html</w:t>
        </w:r>
      </w:hyperlink>
      <w:r w:rsidRPr="0058665E">
        <w:rPr>
          <w:rFonts w:asciiTheme="majorBidi" w:hAnsiTheme="majorBidi" w:cstheme="majorBidi"/>
          <w:color w:val="000000" w:themeColor="text1"/>
        </w:rPr>
        <w:t xml:space="preserve"> (Accessed: 3 November 2025)</w:t>
      </w:r>
    </w:p>
    <w:p w14:paraId="4F79DBE0" w14:textId="77777777" w:rsidR="000C62D4" w:rsidRPr="0058665E" w:rsidRDefault="000C62D4" w:rsidP="0067511D">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Hossain, S., Alam, R.S., Hena, H. and </w:t>
      </w:r>
      <w:proofErr w:type="spellStart"/>
      <w:r w:rsidRPr="0058665E">
        <w:rPr>
          <w:rFonts w:asciiTheme="majorBidi" w:hAnsiTheme="majorBidi" w:cstheme="majorBidi"/>
          <w:color w:val="000000" w:themeColor="text1"/>
        </w:rPr>
        <w:t>Imane</w:t>
      </w:r>
      <w:proofErr w:type="spellEnd"/>
      <w:r w:rsidRPr="0058665E">
        <w:rPr>
          <w:rFonts w:asciiTheme="majorBidi" w:hAnsiTheme="majorBidi" w:cstheme="majorBidi"/>
          <w:color w:val="000000" w:themeColor="text1"/>
        </w:rPr>
        <w:t xml:space="preserve"> El </w:t>
      </w:r>
      <w:proofErr w:type="spellStart"/>
      <w:r w:rsidRPr="0058665E">
        <w:rPr>
          <w:rFonts w:asciiTheme="majorBidi" w:hAnsiTheme="majorBidi" w:cstheme="majorBidi"/>
          <w:color w:val="000000" w:themeColor="text1"/>
        </w:rPr>
        <w:t>Hebabi</w:t>
      </w:r>
      <w:proofErr w:type="spellEnd"/>
      <w:r w:rsidRPr="0058665E">
        <w:rPr>
          <w:rFonts w:asciiTheme="majorBidi" w:hAnsiTheme="majorBidi" w:cstheme="majorBidi"/>
          <w:color w:val="000000" w:themeColor="text1"/>
        </w:rPr>
        <w:t xml:space="preserve"> (2024) ‘Trends in Global Electric Vehicle Adoption: </w:t>
      </w:r>
      <w:proofErr w:type="spellStart"/>
      <w:r w:rsidRPr="0058665E">
        <w:rPr>
          <w:rFonts w:asciiTheme="majorBidi" w:hAnsiTheme="majorBidi" w:cstheme="majorBidi"/>
          <w:color w:val="000000" w:themeColor="text1"/>
        </w:rPr>
        <w:t>Analyzing</w:t>
      </w:r>
      <w:proofErr w:type="spellEnd"/>
      <w:r w:rsidRPr="0058665E">
        <w:rPr>
          <w:rFonts w:asciiTheme="majorBidi" w:hAnsiTheme="majorBidi" w:cstheme="majorBidi"/>
          <w:color w:val="000000" w:themeColor="text1"/>
        </w:rPr>
        <w:t xml:space="preserve"> Regional Sales and Stock Dynamics’, </w:t>
      </w:r>
      <w:r w:rsidRPr="0058665E">
        <w:rPr>
          <w:rFonts w:asciiTheme="majorBidi" w:hAnsiTheme="majorBidi" w:cstheme="majorBidi"/>
          <w:i/>
          <w:iCs/>
          <w:color w:val="000000" w:themeColor="text1"/>
        </w:rPr>
        <w:t>International Journal of Multicultural and Multireligious Understanding</w:t>
      </w:r>
      <w:r w:rsidRPr="0058665E">
        <w:rPr>
          <w:rFonts w:asciiTheme="majorBidi" w:hAnsiTheme="majorBidi" w:cstheme="majorBidi"/>
          <w:color w:val="000000" w:themeColor="text1"/>
        </w:rPr>
        <w:t>, 11(11), pp. 275–298.</w:t>
      </w:r>
    </w:p>
    <w:p w14:paraId="10F500A9"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Jaguar Land Rover Automotive PLC (2025a) </w:t>
      </w:r>
      <w:r w:rsidRPr="0058665E">
        <w:rPr>
          <w:rFonts w:asciiTheme="majorBidi" w:hAnsiTheme="majorBidi" w:cstheme="majorBidi"/>
          <w:i/>
          <w:iCs/>
          <w:color w:val="000000" w:themeColor="text1"/>
        </w:rPr>
        <w:t>Corporate</w:t>
      </w:r>
      <w:r w:rsidRPr="0058665E">
        <w:rPr>
          <w:rFonts w:asciiTheme="majorBidi" w:hAnsiTheme="majorBidi" w:cstheme="majorBidi"/>
          <w:color w:val="000000" w:themeColor="text1"/>
        </w:rPr>
        <w:t xml:space="preserve">. Available at:  </w:t>
      </w:r>
      <w:hyperlink r:id="rId15">
        <w:r w:rsidRPr="0058665E">
          <w:rPr>
            <w:rFonts w:asciiTheme="majorBidi" w:hAnsiTheme="majorBidi" w:cstheme="majorBidi"/>
            <w:color w:val="000000" w:themeColor="text1"/>
            <w:u w:val="single"/>
          </w:rPr>
          <w:t>https://www.jlr.com/</w:t>
        </w:r>
      </w:hyperlink>
      <w:r w:rsidRPr="0058665E">
        <w:rPr>
          <w:rFonts w:asciiTheme="majorBidi" w:hAnsiTheme="majorBidi" w:cstheme="majorBidi"/>
          <w:color w:val="000000" w:themeColor="text1"/>
        </w:rPr>
        <w:t xml:space="preserve"> (Accessed: 2 November 2025)</w:t>
      </w:r>
    </w:p>
    <w:p w14:paraId="22271688"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Jaguar Land Rover Automotive PLC (2025b) </w:t>
      </w:r>
      <w:r w:rsidRPr="0058665E">
        <w:rPr>
          <w:rFonts w:asciiTheme="majorBidi" w:hAnsiTheme="majorBidi" w:cstheme="majorBidi"/>
          <w:i/>
          <w:iCs/>
          <w:color w:val="000000" w:themeColor="text1"/>
        </w:rPr>
        <w:t>Reimagine strategy</w:t>
      </w:r>
      <w:r w:rsidRPr="0058665E">
        <w:rPr>
          <w:rFonts w:asciiTheme="majorBidi" w:hAnsiTheme="majorBidi" w:cstheme="majorBidi"/>
          <w:color w:val="000000" w:themeColor="text1"/>
        </w:rPr>
        <w:t xml:space="preserve">. Available at: </w:t>
      </w:r>
      <w:hyperlink r:id="rId16">
        <w:r w:rsidRPr="0058665E">
          <w:rPr>
            <w:rFonts w:asciiTheme="majorBidi" w:hAnsiTheme="majorBidi" w:cstheme="majorBidi"/>
            <w:color w:val="000000" w:themeColor="text1"/>
            <w:u w:val="single"/>
          </w:rPr>
          <w:t>https://www.jlr.com/reimagine</w:t>
        </w:r>
      </w:hyperlink>
      <w:r w:rsidRPr="0058665E">
        <w:rPr>
          <w:rFonts w:asciiTheme="majorBidi" w:hAnsiTheme="majorBidi" w:cstheme="majorBidi"/>
          <w:color w:val="000000" w:themeColor="text1"/>
        </w:rPr>
        <w:t xml:space="preserve"> (Accessed: 3 November 2025)</w:t>
      </w:r>
    </w:p>
    <w:p w14:paraId="50982FA7"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Jessen, J. (2025) </w:t>
      </w:r>
      <w:r w:rsidRPr="0058665E">
        <w:rPr>
          <w:rFonts w:asciiTheme="majorBidi" w:hAnsiTheme="majorBidi" w:cstheme="majorBidi"/>
          <w:i/>
          <w:iCs/>
          <w:color w:val="000000" w:themeColor="text1"/>
        </w:rPr>
        <w:t>Green skills: How JLR is strengthening EV supply chains</w:t>
      </w:r>
      <w:r w:rsidRPr="0058665E">
        <w:rPr>
          <w:rFonts w:asciiTheme="majorBidi" w:hAnsiTheme="majorBidi" w:cstheme="majorBidi"/>
          <w:color w:val="000000" w:themeColor="text1"/>
        </w:rPr>
        <w:t xml:space="preserve">. Available at: </w:t>
      </w:r>
      <w:hyperlink r:id="rId17">
        <w:r w:rsidRPr="0058665E">
          <w:rPr>
            <w:rFonts w:asciiTheme="majorBidi" w:hAnsiTheme="majorBidi" w:cstheme="majorBidi"/>
            <w:color w:val="000000" w:themeColor="text1"/>
            <w:u w:val="single"/>
          </w:rPr>
          <w:t>https://sustainabilitymag.com/articles/how-jlrs-50-new-specialists-will-strengthen-ev-supply-chains</w:t>
        </w:r>
      </w:hyperlink>
      <w:r w:rsidRPr="0058665E">
        <w:rPr>
          <w:rFonts w:asciiTheme="majorBidi" w:hAnsiTheme="majorBidi" w:cstheme="majorBidi"/>
          <w:color w:val="000000" w:themeColor="text1"/>
        </w:rPr>
        <w:t xml:space="preserve"> (Accessed: 3 November 2025)</w:t>
      </w:r>
    </w:p>
    <w:p w14:paraId="7969081C"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Jolly, J. (2021) </w:t>
      </w:r>
      <w:r w:rsidRPr="0058665E">
        <w:rPr>
          <w:rFonts w:asciiTheme="majorBidi" w:hAnsiTheme="majorBidi" w:cstheme="majorBidi"/>
          <w:i/>
          <w:iCs/>
          <w:color w:val="000000" w:themeColor="text1"/>
        </w:rPr>
        <w:t>UK carmakers have three years to source local electric car batteries</w:t>
      </w:r>
      <w:r w:rsidRPr="0058665E">
        <w:rPr>
          <w:rFonts w:asciiTheme="majorBidi" w:hAnsiTheme="majorBidi" w:cstheme="majorBidi"/>
          <w:color w:val="000000" w:themeColor="text1"/>
        </w:rPr>
        <w:t xml:space="preserve">. Available at:  </w:t>
      </w:r>
      <w:hyperlink r:id="rId18">
        <w:r w:rsidRPr="0058665E">
          <w:rPr>
            <w:rFonts w:asciiTheme="majorBidi" w:hAnsiTheme="majorBidi" w:cstheme="majorBidi"/>
            <w:color w:val="000000" w:themeColor="text1"/>
            <w:u w:val="single"/>
          </w:rPr>
          <w:t>https://www.theguardian.com/politics/2021/jan/03/uk-carmakers-have-three-years-to-source-local-electric-car-batteries</w:t>
        </w:r>
      </w:hyperlink>
      <w:r w:rsidRPr="0058665E">
        <w:rPr>
          <w:rFonts w:asciiTheme="majorBidi" w:hAnsiTheme="majorBidi" w:cstheme="majorBidi"/>
          <w:color w:val="000000" w:themeColor="text1"/>
        </w:rPr>
        <w:t xml:space="preserve"> (Accessed: 2 November 2025)</w:t>
      </w:r>
    </w:p>
    <w:p w14:paraId="4D691055"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Kabir, F., Rahman, A., Siam, K., Mobin, A. and Khan, H. (2025) ‘The Impact of Artificial Intelligence on Business Transformation: Enhancing Decision-Making, Operational Efficiency, and Customer Experience’, </w:t>
      </w:r>
      <w:r w:rsidRPr="0058665E">
        <w:rPr>
          <w:rFonts w:asciiTheme="majorBidi" w:hAnsiTheme="majorBidi" w:cstheme="majorBidi"/>
          <w:i/>
          <w:iCs/>
          <w:color w:val="000000" w:themeColor="text1"/>
        </w:rPr>
        <w:t>IJSAT</w:t>
      </w:r>
      <w:r w:rsidRPr="0058665E">
        <w:rPr>
          <w:rFonts w:asciiTheme="majorBidi" w:hAnsiTheme="majorBidi" w:cstheme="majorBidi"/>
          <w:color w:val="000000" w:themeColor="text1"/>
        </w:rPr>
        <w:t>, 16(1), pp. 1–14.</w:t>
      </w:r>
    </w:p>
    <w:p w14:paraId="52A477F3"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Kelly, M. (2025) </w:t>
      </w:r>
      <w:r w:rsidRPr="0058665E">
        <w:rPr>
          <w:rFonts w:asciiTheme="majorBidi" w:hAnsiTheme="majorBidi" w:cstheme="majorBidi"/>
          <w:i/>
          <w:iCs/>
          <w:color w:val="000000" w:themeColor="text1"/>
        </w:rPr>
        <w:t>UK automotive market under stress, but moving towards return to growth</w:t>
      </w:r>
      <w:r w:rsidRPr="0058665E">
        <w:rPr>
          <w:rFonts w:asciiTheme="majorBidi" w:hAnsiTheme="majorBidi" w:cstheme="majorBidi"/>
          <w:color w:val="000000" w:themeColor="text1"/>
        </w:rPr>
        <w:t xml:space="preserve">. Available at: </w:t>
      </w:r>
      <w:hyperlink r:id="rId19">
        <w:r w:rsidRPr="0058665E">
          <w:rPr>
            <w:rFonts w:asciiTheme="majorBidi" w:hAnsiTheme="majorBidi" w:cstheme="majorBidi"/>
            <w:color w:val="000000" w:themeColor="text1"/>
            <w:u w:val="single"/>
          </w:rPr>
          <w:t>https://www.automotivelogistics.media/lean-logistics/uk-automotive-market-under-stress-but-moving-towards-return-to-growth/647504</w:t>
        </w:r>
      </w:hyperlink>
      <w:r w:rsidRPr="0058665E">
        <w:rPr>
          <w:rFonts w:asciiTheme="majorBidi" w:hAnsiTheme="majorBidi" w:cstheme="majorBidi"/>
          <w:color w:val="000000" w:themeColor="text1"/>
        </w:rPr>
        <w:t xml:space="preserve"> (Accessed: 3 November 2025)</w:t>
      </w:r>
    </w:p>
    <w:p w14:paraId="0A9A94C6"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Legislation UK, (2024) </w:t>
      </w:r>
      <w:r w:rsidRPr="0058665E">
        <w:rPr>
          <w:rFonts w:asciiTheme="majorBidi" w:hAnsiTheme="majorBidi" w:cstheme="majorBidi"/>
          <w:i/>
          <w:iCs/>
          <w:color w:val="000000" w:themeColor="text1"/>
        </w:rPr>
        <w:t>Automated Vehicles Act 2024</w:t>
      </w:r>
      <w:r w:rsidRPr="0058665E">
        <w:rPr>
          <w:rFonts w:asciiTheme="majorBidi" w:hAnsiTheme="majorBidi" w:cstheme="majorBidi"/>
          <w:color w:val="000000" w:themeColor="text1"/>
        </w:rPr>
        <w:t xml:space="preserve">. Available at: </w:t>
      </w:r>
      <w:hyperlink r:id="rId20">
        <w:r w:rsidRPr="0058665E">
          <w:rPr>
            <w:rFonts w:asciiTheme="majorBidi" w:hAnsiTheme="majorBidi" w:cstheme="majorBidi"/>
            <w:color w:val="000000" w:themeColor="text1"/>
            <w:u w:val="single"/>
          </w:rPr>
          <w:t>https://www.legislation.gov.uk/ukpga/2024/10/contents</w:t>
        </w:r>
      </w:hyperlink>
      <w:r w:rsidRPr="0058665E">
        <w:rPr>
          <w:rFonts w:asciiTheme="majorBidi" w:hAnsiTheme="majorBidi" w:cstheme="majorBidi"/>
          <w:color w:val="000000" w:themeColor="text1"/>
        </w:rPr>
        <w:t xml:space="preserve"> (Accessed: 3 November 2025)</w:t>
      </w:r>
    </w:p>
    <w:p w14:paraId="674A2E31"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Mailani, D., Hulu, M.Z.T., Simamora, M.R. and Kesuma, S.A. (2024) ‘Resource-Based View Theory to Achieve a Sustainable Competitive Advantage of the Firm: Systematic Literature Review’, </w:t>
      </w:r>
      <w:r w:rsidRPr="0058665E">
        <w:rPr>
          <w:rFonts w:asciiTheme="majorBidi" w:hAnsiTheme="majorBidi" w:cstheme="majorBidi"/>
          <w:i/>
          <w:iCs/>
          <w:color w:val="000000" w:themeColor="text1"/>
        </w:rPr>
        <w:t>International Journal of Entrepreneurship and Sustainability Studies</w:t>
      </w:r>
      <w:r w:rsidRPr="0058665E">
        <w:rPr>
          <w:rFonts w:asciiTheme="majorBidi" w:hAnsiTheme="majorBidi" w:cstheme="majorBidi"/>
          <w:color w:val="000000" w:themeColor="text1"/>
        </w:rPr>
        <w:t xml:space="preserve">, 4(1). pp.1-15. </w:t>
      </w:r>
    </w:p>
    <w:p w14:paraId="23DB0BD5"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Mandys, F. and Taneja, S. (2024) ‘Demand for green and fossil fuel automobiles’, </w:t>
      </w:r>
      <w:r w:rsidRPr="0058665E">
        <w:rPr>
          <w:rFonts w:asciiTheme="majorBidi" w:hAnsiTheme="majorBidi" w:cstheme="majorBidi"/>
          <w:i/>
          <w:iCs/>
          <w:color w:val="000000" w:themeColor="text1"/>
        </w:rPr>
        <w:t>Transportation Research Part A: Policy and Practice</w:t>
      </w:r>
      <w:r w:rsidRPr="0058665E">
        <w:rPr>
          <w:rFonts w:asciiTheme="majorBidi" w:hAnsiTheme="majorBidi" w:cstheme="majorBidi"/>
          <w:color w:val="000000" w:themeColor="text1"/>
        </w:rPr>
        <w:t xml:space="preserve">, 190. pp.1-10. </w:t>
      </w:r>
    </w:p>
    <w:p w14:paraId="2561B1CA"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McKinsey &amp; Company (2021) </w:t>
      </w:r>
      <w:r w:rsidRPr="0058665E">
        <w:rPr>
          <w:rFonts w:asciiTheme="majorBidi" w:hAnsiTheme="majorBidi" w:cstheme="majorBidi"/>
          <w:i/>
          <w:iCs/>
          <w:color w:val="000000" w:themeColor="text1"/>
        </w:rPr>
        <w:t>A new ‘ERA’: An action plan for the European automotive industry</w:t>
      </w:r>
      <w:r w:rsidRPr="0058665E">
        <w:rPr>
          <w:rFonts w:asciiTheme="majorBidi" w:hAnsiTheme="majorBidi" w:cstheme="majorBidi"/>
          <w:color w:val="000000" w:themeColor="text1"/>
        </w:rPr>
        <w:t xml:space="preserve">. Available at: </w:t>
      </w:r>
      <w:hyperlink r:id="rId21">
        <w:r w:rsidRPr="0058665E">
          <w:rPr>
            <w:rFonts w:asciiTheme="majorBidi" w:hAnsiTheme="majorBidi" w:cstheme="majorBidi"/>
            <w:color w:val="000000" w:themeColor="text1"/>
            <w:u w:val="single"/>
          </w:rPr>
          <w:t>https://www.mckinsey.com/features/mckinsey-center-for-future-mobility/our-insights/a-new-era-an-action-plan-for-the-european-automotive-industry</w:t>
        </w:r>
      </w:hyperlink>
      <w:r w:rsidRPr="0058665E">
        <w:rPr>
          <w:rFonts w:asciiTheme="majorBidi" w:hAnsiTheme="majorBidi" w:cstheme="majorBidi"/>
          <w:color w:val="000000" w:themeColor="text1"/>
        </w:rPr>
        <w:t xml:space="preserve"> (Accessed: 5 November 2025)</w:t>
      </w:r>
    </w:p>
    <w:p w14:paraId="2FEE49D5"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McKinsey &amp; Company (2021) </w:t>
      </w:r>
      <w:r w:rsidRPr="0058665E">
        <w:rPr>
          <w:rFonts w:asciiTheme="majorBidi" w:hAnsiTheme="majorBidi" w:cstheme="majorBidi"/>
          <w:i/>
          <w:iCs/>
          <w:color w:val="000000" w:themeColor="text1"/>
        </w:rPr>
        <w:t>Why the automotive future is electric</w:t>
      </w:r>
      <w:r w:rsidRPr="0058665E">
        <w:rPr>
          <w:rFonts w:asciiTheme="majorBidi" w:hAnsiTheme="majorBidi" w:cstheme="majorBidi"/>
          <w:color w:val="000000" w:themeColor="text1"/>
        </w:rPr>
        <w:t xml:space="preserve">. Available at: </w:t>
      </w:r>
      <w:hyperlink r:id="rId22">
        <w:r w:rsidRPr="0058665E">
          <w:rPr>
            <w:rFonts w:asciiTheme="majorBidi" w:hAnsiTheme="majorBidi" w:cstheme="majorBidi"/>
            <w:color w:val="000000" w:themeColor="text1"/>
            <w:u w:val="single"/>
          </w:rPr>
          <w:t>https://www.mckinsey.com/industries/automotive-and-assembly/our-insights/why-the-automotive-future-is-electric</w:t>
        </w:r>
      </w:hyperlink>
      <w:r w:rsidRPr="0058665E">
        <w:rPr>
          <w:rFonts w:asciiTheme="majorBidi" w:hAnsiTheme="majorBidi" w:cstheme="majorBidi"/>
          <w:color w:val="000000" w:themeColor="text1"/>
        </w:rPr>
        <w:t xml:space="preserve"> (Accessed: 5 November 2025)</w:t>
      </w:r>
    </w:p>
    <w:p w14:paraId="639333BD"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Mekala, K. (2025) </w:t>
      </w:r>
      <w:r w:rsidRPr="0058665E">
        <w:rPr>
          <w:rFonts w:asciiTheme="majorBidi" w:hAnsiTheme="majorBidi" w:cstheme="majorBidi"/>
          <w:i/>
          <w:iCs/>
          <w:color w:val="000000" w:themeColor="text1"/>
        </w:rPr>
        <w:t>UK automotive's digital revolution: What the SMMT’s 10-point plan needs for digital retail</w:t>
      </w:r>
      <w:r w:rsidRPr="0058665E">
        <w:rPr>
          <w:rFonts w:asciiTheme="majorBidi" w:hAnsiTheme="majorBidi" w:cstheme="majorBidi"/>
          <w:color w:val="000000" w:themeColor="text1"/>
        </w:rPr>
        <w:t xml:space="preserve">. Available at: </w:t>
      </w:r>
      <w:hyperlink r:id="rId23">
        <w:r w:rsidRPr="0058665E">
          <w:rPr>
            <w:rFonts w:asciiTheme="majorBidi" w:hAnsiTheme="majorBidi" w:cstheme="majorBidi"/>
            <w:color w:val="000000" w:themeColor="text1"/>
            <w:u w:val="single"/>
          </w:rPr>
          <w:t>https://www.tomorrowsjourney.co.uk/industry-insights/uk-automotives-digital-revolution-why-the-smmts-10-point-plan-needs-digital-retail</w:t>
        </w:r>
      </w:hyperlink>
      <w:r w:rsidRPr="0058665E">
        <w:rPr>
          <w:rFonts w:asciiTheme="majorBidi" w:hAnsiTheme="majorBidi" w:cstheme="majorBidi"/>
          <w:color w:val="000000" w:themeColor="text1"/>
        </w:rPr>
        <w:t xml:space="preserve"> (Accessed: 5 November 2025)</w:t>
      </w:r>
    </w:p>
    <w:p w14:paraId="2134BED1"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Mousa, K.M., Auso, A. and </w:t>
      </w:r>
      <w:proofErr w:type="spellStart"/>
      <w:r w:rsidRPr="0058665E">
        <w:rPr>
          <w:rFonts w:asciiTheme="majorBidi" w:hAnsiTheme="majorBidi" w:cstheme="majorBidi"/>
          <w:color w:val="000000" w:themeColor="text1"/>
        </w:rPr>
        <w:t>Gurler</w:t>
      </w:r>
      <w:proofErr w:type="spellEnd"/>
      <w:r w:rsidRPr="0058665E">
        <w:rPr>
          <w:rFonts w:asciiTheme="majorBidi" w:hAnsiTheme="majorBidi" w:cstheme="majorBidi"/>
          <w:color w:val="000000" w:themeColor="text1"/>
        </w:rPr>
        <w:t xml:space="preserve">, S. (2024) ‘Strategic Planning and Organizational Performance: An Empirical Study on the Manufacturing Sector’, </w:t>
      </w:r>
      <w:r w:rsidRPr="0058665E">
        <w:rPr>
          <w:rFonts w:asciiTheme="majorBidi" w:hAnsiTheme="majorBidi" w:cstheme="majorBidi"/>
          <w:i/>
          <w:iCs/>
          <w:color w:val="000000" w:themeColor="text1"/>
        </w:rPr>
        <w:t>Sustainability</w:t>
      </w:r>
      <w:r w:rsidRPr="0058665E">
        <w:rPr>
          <w:rFonts w:asciiTheme="majorBidi" w:hAnsiTheme="majorBidi" w:cstheme="majorBidi"/>
          <w:color w:val="000000" w:themeColor="text1"/>
        </w:rPr>
        <w:t>, 16(15), pp. 1–17.</w:t>
      </w:r>
    </w:p>
    <w:p w14:paraId="7F8913A4" w14:textId="77777777" w:rsidR="000C62D4" w:rsidRPr="0058665E" w:rsidRDefault="000C62D4" w:rsidP="000C62D4">
      <w:pPr>
        <w:spacing w:after="240"/>
        <w:rPr>
          <w:rFonts w:asciiTheme="majorBidi" w:hAnsiTheme="majorBidi" w:cstheme="majorBidi"/>
          <w:color w:val="000000" w:themeColor="text1"/>
        </w:rPr>
      </w:pPr>
      <w:proofErr w:type="spellStart"/>
      <w:r w:rsidRPr="0058665E">
        <w:rPr>
          <w:rFonts w:asciiTheme="majorBidi" w:hAnsiTheme="majorBidi" w:cstheme="majorBidi"/>
          <w:color w:val="000000" w:themeColor="text1"/>
        </w:rPr>
        <w:t>Mukonori</w:t>
      </w:r>
      <w:proofErr w:type="spellEnd"/>
      <w:r w:rsidRPr="0058665E">
        <w:rPr>
          <w:rFonts w:asciiTheme="majorBidi" w:hAnsiTheme="majorBidi" w:cstheme="majorBidi"/>
          <w:color w:val="000000" w:themeColor="text1"/>
        </w:rPr>
        <w:t xml:space="preserve">, S. and </w:t>
      </w:r>
      <w:proofErr w:type="spellStart"/>
      <w:r w:rsidRPr="0058665E">
        <w:rPr>
          <w:rFonts w:asciiTheme="majorBidi" w:hAnsiTheme="majorBidi" w:cstheme="majorBidi"/>
          <w:color w:val="000000" w:themeColor="text1"/>
        </w:rPr>
        <w:t>Qutieshat</w:t>
      </w:r>
      <w:proofErr w:type="spellEnd"/>
      <w:r w:rsidRPr="0058665E">
        <w:rPr>
          <w:rFonts w:asciiTheme="majorBidi" w:hAnsiTheme="majorBidi" w:cstheme="majorBidi"/>
          <w:color w:val="000000" w:themeColor="text1"/>
        </w:rPr>
        <w:t xml:space="preserve">, A. (2025) ‘The major drivers of sustainable strategic management practices (SSMP) in the food industry: a systematic literature review’, </w:t>
      </w:r>
      <w:r w:rsidRPr="0058665E">
        <w:rPr>
          <w:rFonts w:asciiTheme="majorBidi" w:hAnsiTheme="majorBidi" w:cstheme="majorBidi"/>
          <w:i/>
          <w:iCs/>
          <w:color w:val="000000" w:themeColor="text1"/>
        </w:rPr>
        <w:t>Cogent Business &amp; Management</w:t>
      </w:r>
      <w:r w:rsidRPr="0058665E">
        <w:rPr>
          <w:rFonts w:asciiTheme="majorBidi" w:hAnsiTheme="majorBidi" w:cstheme="majorBidi"/>
          <w:color w:val="000000" w:themeColor="text1"/>
        </w:rPr>
        <w:t>, 12(1), pp. 1–14. Available at: https://doi.org/10.1080/23311975.2025.2569802.</w:t>
      </w:r>
    </w:p>
    <w:p w14:paraId="48C371DD" w14:textId="77777777" w:rsidR="000C62D4" w:rsidRPr="0058665E" w:rsidRDefault="000C62D4" w:rsidP="000C62D4">
      <w:pPr>
        <w:spacing w:after="240"/>
        <w:rPr>
          <w:rFonts w:asciiTheme="majorBidi" w:hAnsiTheme="majorBidi" w:cstheme="majorBidi"/>
          <w:color w:val="000000" w:themeColor="text1"/>
        </w:rPr>
      </w:pPr>
      <w:proofErr w:type="spellStart"/>
      <w:r w:rsidRPr="0058665E">
        <w:rPr>
          <w:rFonts w:asciiTheme="majorBidi" w:hAnsiTheme="majorBidi" w:cstheme="majorBidi"/>
          <w:color w:val="000000" w:themeColor="text1"/>
        </w:rPr>
        <w:t>Quantive</w:t>
      </w:r>
      <w:proofErr w:type="spellEnd"/>
      <w:r w:rsidRPr="0058665E">
        <w:rPr>
          <w:rFonts w:asciiTheme="majorBidi" w:hAnsiTheme="majorBidi" w:cstheme="majorBidi"/>
          <w:color w:val="000000" w:themeColor="text1"/>
        </w:rPr>
        <w:t xml:space="preserve"> (2025) </w:t>
      </w:r>
      <w:r w:rsidRPr="0058665E">
        <w:rPr>
          <w:rFonts w:asciiTheme="majorBidi" w:hAnsiTheme="majorBidi" w:cstheme="majorBidi"/>
          <w:i/>
          <w:iCs/>
          <w:color w:val="000000" w:themeColor="text1"/>
        </w:rPr>
        <w:t>Strategic management explained: Concepts, examples, and trends for business success</w:t>
      </w:r>
      <w:r w:rsidRPr="0058665E">
        <w:rPr>
          <w:rFonts w:asciiTheme="majorBidi" w:hAnsiTheme="majorBidi" w:cstheme="majorBidi"/>
          <w:color w:val="000000" w:themeColor="text1"/>
        </w:rPr>
        <w:t xml:space="preserve">. Available at: </w:t>
      </w:r>
      <w:hyperlink r:id="rId24">
        <w:r w:rsidRPr="0058665E">
          <w:rPr>
            <w:rFonts w:asciiTheme="majorBidi" w:hAnsiTheme="majorBidi" w:cstheme="majorBidi"/>
            <w:color w:val="000000" w:themeColor="text1"/>
            <w:u w:val="single"/>
          </w:rPr>
          <w:t>https://quantive.com/resources/articles/strategic-management</w:t>
        </w:r>
      </w:hyperlink>
      <w:r w:rsidRPr="0058665E">
        <w:rPr>
          <w:rFonts w:asciiTheme="majorBidi" w:hAnsiTheme="majorBidi" w:cstheme="majorBidi"/>
          <w:color w:val="000000" w:themeColor="text1"/>
        </w:rPr>
        <w:t xml:space="preserve"> (Accessed: 2 November 2025)</w:t>
      </w:r>
    </w:p>
    <w:p w14:paraId="0CF40BB9" w14:textId="77777777" w:rsidR="000C62D4" w:rsidRPr="0058665E" w:rsidRDefault="000C62D4" w:rsidP="000C62D4">
      <w:pPr>
        <w:spacing w:after="240"/>
        <w:rPr>
          <w:rFonts w:asciiTheme="majorBidi" w:hAnsiTheme="majorBidi" w:cstheme="majorBidi"/>
          <w:color w:val="000000" w:themeColor="text1"/>
        </w:rPr>
      </w:pPr>
      <w:proofErr w:type="spellStart"/>
      <w:r w:rsidRPr="0058665E">
        <w:rPr>
          <w:rFonts w:asciiTheme="majorBidi" w:hAnsiTheme="majorBidi" w:cstheme="majorBidi"/>
          <w:color w:val="000000" w:themeColor="text1"/>
        </w:rPr>
        <w:t>Rejeb</w:t>
      </w:r>
      <w:proofErr w:type="spellEnd"/>
      <w:r w:rsidRPr="0058665E">
        <w:rPr>
          <w:rFonts w:asciiTheme="majorBidi" w:hAnsiTheme="majorBidi" w:cstheme="majorBidi"/>
          <w:color w:val="000000" w:themeColor="text1"/>
        </w:rPr>
        <w:t xml:space="preserve">, A., </w:t>
      </w:r>
      <w:proofErr w:type="spellStart"/>
      <w:r w:rsidRPr="0058665E">
        <w:rPr>
          <w:rFonts w:asciiTheme="majorBidi" w:hAnsiTheme="majorBidi" w:cstheme="majorBidi"/>
          <w:color w:val="000000" w:themeColor="text1"/>
        </w:rPr>
        <w:t>Rejeb</w:t>
      </w:r>
      <w:proofErr w:type="spellEnd"/>
      <w:r w:rsidRPr="0058665E">
        <w:rPr>
          <w:rFonts w:asciiTheme="majorBidi" w:hAnsiTheme="majorBidi" w:cstheme="majorBidi"/>
          <w:color w:val="000000" w:themeColor="text1"/>
        </w:rPr>
        <w:t xml:space="preserve">, K. and Süle, E. (2025) ‘Key issues in electric vehicle battery supply chains based on English-language news articles: a machine learning approach.’, </w:t>
      </w:r>
      <w:r w:rsidRPr="0058665E">
        <w:rPr>
          <w:rFonts w:asciiTheme="majorBidi" w:hAnsiTheme="majorBidi" w:cstheme="majorBidi"/>
          <w:i/>
          <w:iCs/>
          <w:color w:val="000000" w:themeColor="text1"/>
        </w:rPr>
        <w:t>Energy Nexus</w:t>
      </w:r>
      <w:r w:rsidRPr="0058665E">
        <w:rPr>
          <w:rFonts w:asciiTheme="majorBidi" w:hAnsiTheme="majorBidi" w:cstheme="majorBidi"/>
          <w:color w:val="000000" w:themeColor="text1"/>
        </w:rPr>
        <w:t>, 20, pp. 1–19.</w:t>
      </w:r>
    </w:p>
    <w:p w14:paraId="097262EB" w14:textId="77777777" w:rsidR="000C62D4" w:rsidRPr="0058665E" w:rsidRDefault="000C62D4" w:rsidP="000C62D4">
      <w:pPr>
        <w:spacing w:after="240"/>
        <w:rPr>
          <w:rFonts w:asciiTheme="majorBidi" w:hAnsiTheme="majorBidi" w:cstheme="majorBidi"/>
          <w:color w:val="000000" w:themeColor="text1"/>
        </w:rPr>
      </w:pPr>
      <w:proofErr w:type="spellStart"/>
      <w:r w:rsidRPr="0058665E">
        <w:rPr>
          <w:rFonts w:asciiTheme="majorBidi" w:hAnsiTheme="majorBidi" w:cstheme="majorBidi"/>
          <w:color w:val="000000" w:themeColor="text1"/>
        </w:rPr>
        <w:t>Ristyawan</w:t>
      </w:r>
      <w:proofErr w:type="spellEnd"/>
      <w:r w:rsidRPr="0058665E">
        <w:rPr>
          <w:rFonts w:asciiTheme="majorBidi" w:hAnsiTheme="majorBidi" w:cstheme="majorBidi"/>
          <w:color w:val="000000" w:themeColor="text1"/>
        </w:rPr>
        <w:t xml:space="preserve">, M.R., </w:t>
      </w:r>
      <w:proofErr w:type="spellStart"/>
      <w:r w:rsidRPr="0058665E">
        <w:rPr>
          <w:rFonts w:asciiTheme="majorBidi" w:hAnsiTheme="majorBidi" w:cstheme="majorBidi"/>
          <w:color w:val="000000" w:themeColor="text1"/>
        </w:rPr>
        <w:t>Putro</w:t>
      </w:r>
      <w:proofErr w:type="spellEnd"/>
      <w:r w:rsidRPr="0058665E">
        <w:rPr>
          <w:rFonts w:asciiTheme="majorBidi" w:hAnsiTheme="majorBidi" w:cstheme="majorBidi"/>
          <w:color w:val="000000" w:themeColor="text1"/>
        </w:rPr>
        <w:t xml:space="preserve">, U.S. and </w:t>
      </w:r>
      <w:proofErr w:type="spellStart"/>
      <w:r w:rsidRPr="0058665E">
        <w:rPr>
          <w:rFonts w:asciiTheme="majorBidi" w:hAnsiTheme="majorBidi" w:cstheme="majorBidi"/>
          <w:color w:val="000000" w:themeColor="text1"/>
        </w:rPr>
        <w:t>Siallagan</w:t>
      </w:r>
      <w:proofErr w:type="spellEnd"/>
      <w:r w:rsidRPr="0058665E">
        <w:rPr>
          <w:rFonts w:asciiTheme="majorBidi" w:hAnsiTheme="majorBidi" w:cstheme="majorBidi"/>
          <w:color w:val="000000" w:themeColor="text1"/>
        </w:rPr>
        <w:t xml:space="preserve">, M. (2023) ‘Decision making mechanism in </w:t>
      </w:r>
      <w:proofErr w:type="gramStart"/>
      <w:r w:rsidRPr="0058665E">
        <w:rPr>
          <w:rFonts w:asciiTheme="majorBidi" w:hAnsiTheme="majorBidi" w:cstheme="majorBidi"/>
          <w:color w:val="000000" w:themeColor="text1"/>
        </w:rPr>
        <w:t>resource based</w:t>
      </w:r>
      <w:proofErr w:type="gramEnd"/>
      <w:r w:rsidRPr="0058665E">
        <w:rPr>
          <w:rFonts w:asciiTheme="majorBidi" w:hAnsiTheme="majorBidi" w:cstheme="majorBidi"/>
          <w:color w:val="000000" w:themeColor="text1"/>
        </w:rPr>
        <w:t xml:space="preserve"> theory: A literature review, synthesis, and future research’, </w:t>
      </w:r>
      <w:r w:rsidRPr="0058665E">
        <w:rPr>
          <w:rFonts w:asciiTheme="majorBidi" w:hAnsiTheme="majorBidi" w:cstheme="majorBidi"/>
          <w:i/>
          <w:iCs/>
          <w:color w:val="000000" w:themeColor="text1"/>
        </w:rPr>
        <w:t>Cogent Business &amp; Management</w:t>
      </w:r>
      <w:r w:rsidRPr="0058665E">
        <w:rPr>
          <w:rFonts w:asciiTheme="majorBidi" w:hAnsiTheme="majorBidi" w:cstheme="majorBidi"/>
          <w:color w:val="000000" w:themeColor="text1"/>
        </w:rPr>
        <w:t>, 10(2), pp. 1–28.</w:t>
      </w:r>
    </w:p>
    <w:p w14:paraId="04499962"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Rodrigues, M., Alves, M. do C., Oliveira, C., Vale, J. and Silva, R. (2021) ‘The Impact of Strategy, Environment, and the Management System on the Foreign Subsidiary: The Implication for Open Innovation’, </w:t>
      </w:r>
      <w:r w:rsidRPr="0058665E">
        <w:rPr>
          <w:rFonts w:asciiTheme="majorBidi" w:hAnsiTheme="majorBidi" w:cstheme="majorBidi"/>
          <w:i/>
          <w:iCs/>
          <w:color w:val="000000" w:themeColor="text1"/>
        </w:rPr>
        <w:t>Journal of Open Innovation: Technology, Market, and Complexity</w:t>
      </w:r>
      <w:r w:rsidRPr="0058665E">
        <w:rPr>
          <w:rFonts w:asciiTheme="majorBidi" w:hAnsiTheme="majorBidi" w:cstheme="majorBidi"/>
          <w:color w:val="000000" w:themeColor="text1"/>
        </w:rPr>
        <w:t>, 7(1), pp. 1–23.</w:t>
      </w:r>
    </w:p>
    <w:p w14:paraId="168DE712"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S&amp;P Global (2025) </w:t>
      </w:r>
      <w:r w:rsidRPr="0058665E">
        <w:rPr>
          <w:rFonts w:asciiTheme="majorBidi" w:hAnsiTheme="majorBidi" w:cstheme="majorBidi"/>
          <w:i/>
          <w:iCs/>
          <w:color w:val="000000" w:themeColor="text1"/>
        </w:rPr>
        <w:t>AI in the automotive industry: Trends, benefits, &amp; use cases (2025)</w:t>
      </w:r>
      <w:r w:rsidRPr="0058665E">
        <w:rPr>
          <w:rFonts w:asciiTheme="majorBidi" w:hAnsiTheme="majorBidi" w:cstheme="majorBidi"/>
          <w:color w:val="000000" w:themeColor="text1"/>
        </w:rPr>
        <w:t xml:space="preserve">. Available at: </w:t>
      </w:r>
      <w:hyperlink r:id="rId25">
        <w:r w:rsidRPr="0058665E">
          <w:rPr>
            <w:rFonts w:asciiTheme="majorBidi" w:hAnsiTheme="majorBidi" w:cstheme="majorBidi"/>
            <w:color w:val="000000" w:themeColor="text1"/>
            <w:u w:val="single"/>
          </w:rPr>
          <w:t>https://www.spglobal.com/automotive-insights/en/blogs/2025/07/ai-in-automotive-industry</w:t>
        </w:r>
      </w:hyperlink>
      <w:r w:rsidRPr="0058665E">
        <w:rPr>
          <w:rFonts w:asciiTheme="majorBidi" w:hAnsiTheme="majorBidi" w:cstheme="majorBidi"/>
          <w:color w:val="000000" w:themeColor="text1"/>
        </w:rPr>
        <w:t xml:space="preserve"> (Accessed: 6 November 2025)</w:t>
      </w:r>
    </w:p>
    <w:p w14:paraId="5CE6664B" w14:textId="77777777" w:rsidR="000C62D4" w:rsidRPr="0058665E" w:rsidRDefault="000C62D4" w:rsidP="000C62D4">
      <w:pPr>
        <w:spacing w:after="240"/>
        <w:rPr>
          <w:rFonts w:asciiTheme="majorBidi" w:hAnsiTheme="majorBidi" w:cstheme="majorBidi"/>
          <w:color w:val="000000" w:themeColor="text1"/>
        </w:rPr>
      </w:pPr>
      <w:proofErr w:type="spellStart"/>
      <w:r w:rsidRPr="0058665E">
        <w:rPr>
          <w:rFonts w:asciiTheme="majorBidi" w:hAnsiTheme="majorBidi" w:cstheme="majorBidi"/>
          <w:color w:val="000000" w:themeColor="text1"/>
        </w:rPr>
        <w:t>Shatilo</w:t>
      </w:r>
      <w:proofErr w:type="spellEnd"/>
      <w:r w:rsidRPr="0058665E">
        <w:rPr>
          <w:rFonts w:asciiTheme="majorBidi" w:hAnsiTheme="majorBidi" w:cstheme="majorBidi"/>
          <w:color w:val="000000" w:themeColor="text1"/>
        </w:rPr>
        <w:t xml:space="preserve">, O. (2020) ‘The Impact of External and Internal Factors on Strategic Management of Innovation Processes at Company Level’, </w:t>
      </w:r>
      <w:proofErr w:type="spellStart"/>
      <w:r w:rsidRPr="0058665E">
        <w:rPr>
          <w:rFonts w:asciiTheme="majorBidi" w:hAnsiTheme="majorBidi" w:cstheme="majorBidi"/>
          <w:i/>
          <w:iCs/>
          <w:color w:val="000000" w:themeColor="text1"/>
        </w:rPr>
        <w:t>Ekonomika</w:t>
      </w:r>
      <w:proofErr w:type="spellEnd"/>
      <w:r w:rsidRPr="0058665E">
        <w:rPr>
          <w:rFonts w:asciiTheme="majorBidi" w:hAnsiTheme="majorBidi" w:cstheme="majorBidi"/>
          <w:color w:val="000000" w:themeColor="text1"/>
        </w:rPr>
        <w:t>, 98(2), pp. 85–96.</w:t>
      </w:r>
    </w:p>
    <w:p w14:paraId="0DEF3366"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SMMT (2024) </w:t>
      </w:r>
      <w:r w:rsidRPr="0058665E">
        <w:rPr>
          <w:rFonts w:asciiTheme="majorBidi" w:hAnsiTheme="majorBidi" w:cstheme="majorBidi"/>
          <w:i/>
          <w:iCs/>
          <w:color w:val="000000" w:themeColor="text1"/>
        </w:rPr>
        <w:t>Leading Net Zero Emissions</w:t>
      </w:r>
      <w:r w:rsidRPr="0058665E">
        <w:rPr>
          <w:rFonts w:asciiTheme="majorBidi" w:hAnsiTheme="majorBidi" w:cstheme="majorBidi"/>
          <w:color w:val="000000" w:themeColor="text1"/>
        </w:rPr>
        <w:t xml:space="preserve">. Available at: </w:t>
      </w:r>
      <w:hyperlink r:id="rId26">
        <w:r w:rsidRPr="0058665E">
          <w:rPr>
            <w:rFonts w:asciiTheme="majorBidi" w:hAnsiTheme="majorBidi" w:cstheme="majorBidi"/>
            <w:color w:val="000000" w:themeColor="text1"/>
            <w:u w:val="single"/>
          </w:rPr>
          <w:t>https://www.smmt.co.uk/automotive-intelligence/leading-net-zero/</w:t>
        </w:r>
      </w:hyperlink>
      <w:r w:rsidRPr="0058665E">
        <w:rPr>
          <w:rFonts w:asciiTheme="majorBidi" w:hAnsiTheme="majorBidi" w:cstheme="majorBidi"/>
          <w:color w:val="000000" w:themeColor="text1"/>
        </w:rPr>
        <w:t xml:space="preserve"> (Accessed: 3 November 2025)</w:t>
      </w:r>
    </w:p>
    <w:p w14:paraId="2C9395F7"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SMMT (2025) </w:t>
      </w:r>
      <w:r w:rsidRPr="0058665E">
        <w:rPr>
          <w:rFonts w:asciiTheme="majorBidi" w:hAnsiTheme="majorBidi" w:cstheme="majorBidi"/>
          <w:i/>
          <w:iCs/>
          <w:color w:val="000000" w:themeColor="text1"/>
        </w:rPr>
        <w:t>Vehicle production dips amid EV transformation and intense market pressure</w:t>
      </w:r>
      <w:r w:rsidRPr="0058665E">
        <w:rPr>
          <w:rFonts w:asciiTheme="majorBidi" w:hAnsiTheme="majorBidi" w:cstheme="majorBidi"/>
          <w:color w:val="000000" w:themeColor="text1"/>
        </w:rPr>
        <w:t xml:space="preserve">. Available at: </w:t>
      </w:r>
      <w:hyperlink r:id="rId27">
        <w:r w:rsidRPr="0058665E">
          <w:rPr>
            <w:rFonts w:asciiTheme="majorBidi" w:hAnsiTheme="majorBidi" w:cstheme="majorBidi"/>
            <w:color w:val="000000" w:themeColor="text1"/>
            <w:u w:val="single"/>
          </w:rPr>
          <w:t>https://www.smmt.co.uk/vehicle-production-dips-amid-ev-transformation-and-intense-market-pressure/</w:t>
        </w:r>
      </w:hyperlink>
      <w:r w:rsidRPr="0058665E">
        <w:rPr>
          <w:rFonts w:asciiTheme="majorBidi" w:hAnsiTheme="majorBidi" w:cstheme="majorBidi"/>
          <w:color w:val="000000" w:themeColor="text1"/>
        </w:rPr>
        <w:t xml:space="preserve"> (Accessed: 2 November 2025)</w:t>
      </w:r>
    </w:p>
    <w:p w14:paraId="34ECEA44"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Wang, Q. (2024) ‘Study on the Impact of Autonomous Driving Technology on the Economy and Society’, </w:t>
      </w:r>
      <w:r w:rsidRPr="0058665E">
        <w:rPr>
          <w:rFonts w:asciiTheme="majorBidi" w:hAnsiTheme="majorBidi" w:cstheme="majorBidi"/>
          <w:i/>
          <w:iCs/>
          <w:color w:val="000000" w:themeColor="text1"/>
        </w:rPr>
        <w:t>SHS Web of Conferences</w:t>
      </w:r>
      <w:r w:rsidRPr="0058665E">
        <w:rPr>
          <w:rFonts w:asciiTheme="majorBidi" w:hAnsiTheme="majorBidi" w:cstheme="majorBidi"/>
          <w:color w:val="000000" w:themeColor="text1"/>
        </w:rPr>
        <w:t>, 208, pp. 1–12.</w:t>
      </w:r>
    </w:p>
    <w:p w14:paraId="7FE3FBC1"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Warwick Business Partnerships (2025) </w:t>
      </w:r>
      <w:r w:rsidRPr="0058665E">
        <w:rPr>
          <w:rFonts w:asciiTheme="majorBidi" w:hAnsiTheme="majorBidi" w:cstheme="majorBidi"/>
          <w:i/>
          <w:iCs/>
          <w:color w:val="000000" w:themeColor="text1"/>
        </w:rPr>
        <w:t>Driving the future of mobility: How WMG partnered with industry to build a new home of automotive innovation</w:t>
      </w:r>
      <w:r w:rsidRPr="0058665E">
        <w:rPr>
          <w:rFonts w:asciiTheme="majorBidi" w:hAnsiTheme="majorBidi" w:cstheme="majorBidi"/>
          <w:color w:val="000000" w:themeColor="text1"/>
        </w:rPr>
        <w:t xml:space="preserve">. Available at: </w:t>
      </w:r>
      <w:hyperlink r:id="rId28">
        <w:r w:rsidRPr="0058665E">
          <w:rPr>
            <w:rFonts w:asciiTheme="majorBidi" w:hAnsiTheme="majorBidi" w:cstheme="majorBidi"/>
            <w:color w:val="000000" w:themeColor="text1"/>
            <w:u w:val="single"/>
          </w:rPr>
          <w:t>https://warwick.ac.uk/business/case-studies/wmg-jaguar-tata-motors/</w:t>
        </w:r>
      </w:hyperlink>
      <w:r w:rsidRPr="0058665E">
        <w:rPr>
          <w:rFonts w:asciiTheme="majorBidi" w:hAnsiTheme="majorBidi" w:cstheme="majorBidi"/>
          <w:color w:val="000000" w:themeColor="text1"/>
        </w:rPr>
        <w:t xml:space="preserve"> (Accessed: 4 November 2025)</w:t>
      </w:r>
    </w:p>
    <w:p w14:paraId="683E1F23" w14:textId="77777777" w:rsidR="000C62D4" w:rsidRPr="0058665E" w:rsidRDefault="000C62D4" w:rsidP="000C62D4">
      <w:pPr>
        <w:spacing w:after="240"/>
        <w:rPr>
          <w:rFonts w:asciiTheme="majorBidi" w:hAnsiTheme="majorBidi" w:cstheme="majorBidi"/>
          <w:color w:val="000000" w:themeColor="text1"/>
        </w:rPr>
      </w:pPr>
      <w:r w:rsidRPr="0058665E">
        <w:rPr>
          <w:rFonts w:asciiTheme="majorBidi" w:hAnsiTheme="majorBidi" w:cstheme="majorBidi"/>
          <w:color w:val="000000" w:themeColor="text1"/>
        </w:rPr>
        <w:t xml:space="preserve">Winton, N. (2023) </w:t>
      </w:r>
      <w:r w:rsidRPr="0058665E">
        <w:rPr>
          <w:rFonts w:asciiTheme="majorBidi" w:hAnsiTheme="majorBidi" w:cstheme="majorBidi"/>
          <w:i/>
          <w:iCs/>
          <w:color w:val="000000" w:themeColor="text1"/>
        </w:rPr>
        <w:t>Ailing Jaguar Land Rover has options, but none look tempting</w:t>
      </w:r>
      <w:r w:rsidRPr="0058665E">
        <w:rPr>
          <w:rFonts w:asciiTheme="majorBidi" w:hAnsiTheme="majorBidi" w:cstheme="majorBidi"/>
          <w:color w:val="000000" w:themeColor="text1"/>
        </w:rPr>
        <w:t xml:space="preserve">. Available at: </w:t>
      </w:r>
      <w:hyperlink r:id="rId29">
        <w:r w:rsidRPr="0058665E">
          <w:rPr>
            <w:rFonts w:asciiTheme="majorBidi" w:hAnsiTheme="majorBidi" w:cstheme="majorBidi"/>
            <w:color w:val="000000" w:themeColor="text1"/>
            <w:u w:val="single"/>
          </w:rPr>
          <w:t>https://www.forbes.com/sites/neilwinton/2023/01/09/ailing-leaderless-jaguar-land-rover-has-options-but-none-look-tempting/</w:t>
        </w:r>
      </w:hyperlink>
      <w:r w:rsidRPr="0058665E">
        <w:rPr>
          <w:rFonts w:asciiTheme="majorBidi" w:hAnsiTheme="majorBidi" w:cstheme="majorBidi"/>
          <w:color w:val="000000" w:themeColor="text1"/>
        </w:rPr>
        <w:t xml:space="preserve"> (Accessed: 3 November 2025)</w:t>
      </w:r>
    </w:p>
    <w:sectPr w:rsidR="000C62D4" w:rsidRPr="0058665E">
      <w:headerReference w:type="default" r:id="rId30"/>
      <w:footerReference w:type="default" r:id="rId31"/>
      <w:footerReference w:type="first" r:id="rId32"/>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31658" w14:textId="77777777" w:rsidR="008F0905" w:rsidRDefault="008F0905">
      <w:pPr>
        <w:spacing w:line="240" w:lineRule="auto"/>
      </w:pPr>
      <w:r>
        <w:separator/>
      </w:r>
    </w:p>
  </w:endnote>
  <w:endnote w:type="continuationSeparator" w:id="0">
    <w:p w14:paraId="66590EE0" w14:textId="77777777" w:rsidR="008F0905" w:rsidRDefault="008F09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6345E9F-731E-40DF-9C5A-FAE2041E6828}"/>
  </w:font>
  <w:font w:name="Cambria">
    <w:panose1 w:val="02040503050406030204"/>
    <w:charset w:val="00"/>
    <w:family w:val="roman"/>
    <w:pitch w:val="variable"/>
    <w:sig w:usb0="E00006FF" w:usb1="420024FF" w:usb2="02000000" w:usb3="00000000" w:csb0="0000019F" w:csb1="00000000"/>
    <w:embedRegular r:id="rId2" w:fontKey="{91AFC97D-BE05-4841-A740-46D8EE72458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C45C" w14:textId="77777777" w:rsidR="001E2AC0" w:rsidRDefault="005838B2">
    <w:pPr>
      <w:jc w:val="right"/>
    </w:pPr>
    <w:r>
      <w:fldChar w:fldCharType="begin"/>
    </w:r>
    <w:r>
      <w:instrText>PAGE</w:instrText>
    </w:r>
    <w:r>
      <w:fldChar w:fldCharType="separate"/>
    </w:r>
    <w:r w:rsidR="000C62D4">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38C39" w14:textId="77777777" w:rsidR="001E2AC0" w:rsidRDefault="001E2A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3BEFE" w14:textId="77777777" w:rsidR="008F0905" w:rsidRDefault="008F0905">
      <w:pPr>
        <w:spacing w:line="240" w:lineRule="auto"/>
      </w:pPr>
      <w:r>
        <w:separator/>
      </w:r>
    </w:p>
  </w:footnote>
  <w:footnote w:type="continuationSeparator" w:id="0">
    <w:p w14:paraId="14B4D8A8" w14:textId="77777777" w:rsidR="008F0905" w:rsidRDefault="008F09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9074" w14:textId="77777777" w:rsidR="001E2AC0" w:rsidRDefault="001E2A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076C8"/>
    <w:multiLevelType w:val="multilevel"/>
    <w:tmpl w:val="6302B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E15FD2"/>
    <w:multiLevelType w:val="multilevel"/>
    <w:tmpl w:val="85045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971B59"/>
    <w:multiLevelType w:val="multilevel"/>
    <w:tmpl w:val="9334BC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D256ADE"/>
    <w:multiLevelType w:val="multilevel"/>
    <w:tmpl w:val="29FC2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986BEA"/>
    <w:multiLevelType w:val="multilevel"/>
    <w:tmpl w:val="5DCE0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5030396">
    <w:abstractNumId w:val="0"/>
  </w:num>
  <w:num w:numId="2" w16cid:durableId="730888306">
    <w:abstractNumId w:val="3"/>
  </w:num>
  <w:num w:numId="3" w16cid:durableId="1115951643">
    <w:abstractNumId w:val="4"/>
  </w:num>
  <w:num w:numId="4" w16cid:durableId="1800761500">
    <w:abstractNumId w:val="2"/>
  </w:num>
  <w:num w:numId="5" w16cid:durableId="15041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AC0"/>
    <w:rsid w:val="000C62D4"/>
    <w:rsid w:val="000F0C65"/>
    <w:rsid w:val="001A4EEA"/>
    <w:rsid w:val="001E2AC0"/>
    <w:rsid w:val="005838B2"/>
    <w:rsid w:val="0058665E"/>
    <w:rsid w:val="0067511D"/>
    <w:rsid w:val="0071674F"/>
    <w:rsid w:val="0086437C"/>
    <w:rsid w:val="008B0B8F"/>
    <w:rsid w:val="008F0905"/>
    <w:rsid w:val="00FA2C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B9560"/>
  <w15:docId w15:val="{478C9B22-8B19-4FAA-99D1-EE04DA8D2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1">
    <w:name w:val="toc 1"/>
    <w:basedOn w:val="Normal"/>
    <w:next w:val="Normal"/>
    <w:autoRedefine/>
    <w:uiPriority w:val="39"/>
    <w:unhideWhenUsed/>
    <w:rsid w:val="000C62D4"/>
    <w:pPr>
      <w:spacing w:after="100"/>
    </w:pPr>
  </w:style>
  <w:style w:type="paragraph" w:styleId="TOC2">
    <w:name w:val="toc 2"/>
    <w:basedOn w:val="Normal"/>
    <w:next w:val="Normal"/>
    <w:autoRedefine/>
    <w:uiPriority w:val="39"/>
    <w:unhideWhenUsed/>
    <w:rsid w:val="000C62D4"/>
    <w:pPr>
      <w:spacing w:after="100"/>
      <w:ind w:left="240"/>
    </w:pPr>
  </w:style>
  <w:style w:type="character" w:styleId="Hyperlink">
    <w:name w:val="Hyperlink"/>
    <w:basedOn w:val="DefaultParagraphFont"/>
    <w:uiPriority w:val="99"/>
    <w:unhideWhenUsed/>
    <w:rsid w:val="000C62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newsroom.accenture.com/news/2021/jaguar-land-rover-transforms-global-marketing-communications-model" TargetMode="External" /><Relationship Id="rId18" Type="http://schemas.openxmlformats.org/officeDocument/2006/relationships/hyperlink" Target="https://www.theguardian.com/politics/2021/jan/03/uk-carmakers-have-three-years-to-source-local-electric-car-batteries" TargetMode="External" /><Relationship Id="rId26" Type="http://schemas.openxmlformats.org/officeDocument/2006/relationships/hyperlink" Target="https://www.smmt.co.uk/automotive-intelligence/leading-net-zero/" TargetMode="External" /><Relationship Id="rId3" Type="http://schemas.openxmlformats.org/officeDocument/2006/relationships/settings" Target="settings.xml" /><Relationship Id="rId21" Type="http://schemas.openxmlformats.org/officeDocument/2006/relationships/hyperlink" Target="https://www.mckinsey.com/features/mckinsey-center-for-future-mobility/our-insights/a-new-era-an-action-plan-for-the-european-automotive-industry" TargetMode="External" /><Relationship Id="rId34"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sustainabilitymag.com/articles/how-jlrs-50-new-specialists-will-strengthen-ev-supply-chains" TargetMode="External" /><Relationship Id="rId25" Type="http://schemas.openxmlformats.org/officeDocument/2006/relationships/hyperlink" Target="https://www.spglobal.com/automotive-insights/en/blogs/2025/07/ai-in-automotive-industry" TargetMode="External"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www.jlr.com/reimagine" TargetMode="External" /><Relationship Id="rId20" Type="http://schemas.openxmlformats.org/officeDocument/2006/relationships/hyperlink" Target="https://www.legislation.gov.uk/ukpga/2024/10/contents" TargetMode="External" /><Relationship Id="rId29" Type="http://schemas.openxmlformats.org/officeDocument/2006/relationships/hyperlink" Target="https://www.forbes.com/sites/neilwinton/2023/01/09/ailing-leaderless-jaguar-land-rover-has-options-but-none-look-tempting/"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quantive.com/resources/articles/strategic-management" TargetMode="External" /><Relationship Id="rId32"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www.jlr.com/" TargetMode="External" /><Relationship Id="rId23" Type="http://schemas.openxmlformats.org/officeDocument/2006/relationships/hyperlink" Target="https://www.tomorrowsjourney.co.uk/industry-insights/uk-automotives-digital-revolution-why-the-smmts-10-point-plan-needs-digital-retail" TargetMode="External" /><Relationship Id="rId28" Type="http://schemas.openxmlformats.org/officeDocument/2006/relationships/hyperlink" Target="https://warwick.ac.uk/business/case-studies/wmg-jaguar-tata-motors/" TargetMode="External" /><Relationship Id="rId10" Type="http://schemas.openxmlformats.org/officeDocument/2006/relationships/image" Target="media/image4.png" /><Relationship Id="rId19" Type="http://schemas.openxmlformats.org/officeDocument/2006/relationships/hyperlink" Target="https://www.automotivelogistics.media/lean-logistics/uk-automotive-market-under-stress-but-moving-towards-return-to-growth/647504" TargetMode="External" /><Relationship Id="rId31"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deloitte.com/uk/en/Industries/consumer/research/consumer-tracker/automotive-sector.html" TargetMode="External" /><Relationship Id="rId22" Type="http://schemas.openxmlformats.org/officeDocument/2006/relationships/hyperlink" Target="https://www.mckinsey.com/industries/automotive-and-assembly/our-insights/why-the-automotive-future-is-electric" TargetMode="External" /><Relationship Id="rId27" Type="http://schemas.openxmlformats.org/officeDocument/2006/relationships/hyperlink" Target="https://www.smmt.co.uk/vehicle-production-dips-amid-ev-transformation-and-intense-market-pressure/" TargetMode="External" /><Relationship Id="rId30" Type="http://schemas.openxmlformats.org/officeDocument/2006/relationships/header" Target="head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4203</Words>
  <Characters>23961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Tudorita-Tatiana Badescu (2246905)</cp:lastModifiedBy>
  <cp:revision>2</cp:revision>
  <dcterms:created xsi:type="dcterms:W3CDTF">2025-11-30T10:24:00Z</dcterms:created>
  <dcterms:modified xsi:type="dcterms:W3CDTF">2025-11-30T10:24:00Z</dcterms:modified>
</cp:coreProperties>
</file>