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7E6E" w:rsidRPr="00A47621" w:rsidRDefault="00D27E6E" w:rsidP="00D27E6E">
      <w:pPr>
        <w:rPr>
          <w:rFonts w:ascii="Times New Roman" w:hAnsi="Times New Roman" w:cs="Times New Roman"/>
          <w:sz w:val="24"/>
          <w:szCs w:val="24"/>
        </w:rPr>
      </w:pPr>
      <w:permStart w:id="1374305472" w:edGrp="everyone"/>
      <w:r>
        <w:rPr>
          <w:rFonts w:ascii="Times New Roman" w:hAnsi="Times New Roman" w:cs="Times New Roman"/>
          <w:noProof/>
          <w:sz w:val="24"/>
          <w:szCs w:val="24"/>
        </w:rPr>
        <w:drawing>
          <wp:inline distT="0" distB="0" distL="0" distR="0" wp14:anchorId="32D93B44" wp14:editId="52C36E3A">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1374305472"/>
    </w:p>
    <w:p w:rsidR="00D27E6E" w:rsidRPr="00A47621" w:rsidRDefault="00D27E6E" w:rsidP="00D27E6E">
      <w:pPr>
        <w:rPr>
          <w:rFonts w:ascii="Times New Roman" w:hAnsi="Times New Roman" w:cs="Times New Roman"/>
          <w:sz w:val="24"/>
          <w:szCs w:val="24"/>
        </w:rPr>
      </w:pPr>
    </w:p>
    <w:p w:rsidR="00D27E6E" w:rsidRPr="00A47621" w:rsidRDefault="00D27E6E" w:rsidP="00D27E6E">
      <w:pPr>
        <w:rPr>
          <w:rFonts w:ascii="Times New Roman" w:hAnsi="Times New Roman" w:cs="Times New Roman"/>
          <w:sz w:val="24"/>
          <w:szCs w:val="24"/>
        </w:rPr>
      </w:pPr>
    </w:p>
    <w:p w:rsidR="00D27E6E" w:rsidRPr="00F927A1" w:rsidRDefault="00D27E6E" w:rsidP="00D27E6E">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D27E6E" w:rsidRPr="0085230E" w:rsidRDefault="00D27E6E" w:rsidP="00D27E6E">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27E6E" w:rsidRPr="005D3F07" w:rsidTr="00D27E6E">
        <w:tc>
          <w:tcPr>
            <w:tcW w:w="10368" w:type="dxa"/>
            <w:shd w:val="clear" w:color="auto" w:fill="auto"/>
          </w:tcPr>
          <w:p w:rsidR="00D27E6E"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NAOMI BRAMHAM</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5224C9" w:rsidRDefault="00D27E6E" w:rsidP="00D27E6E">
            <w:pPr>
              <w:overflowPunct/>
              <w:autoSpaceDE/>
              <w:autoSpaceDN/>
              <w:adjustRightInd/>
              <w:ind w:right="-957"/>
              <w:textAlignment w:val="auto"/>
              <w:rPr>
                <w:rFonts w:ascii="Times New Roman" w:hAnsi="Times New Roman" w:cs="Times New Roman"/>
                <w:b/>
                <w:color w:val="auto"/>
                <w:sz w:val="22"/>
                <w:szCs w:val="22"/>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r w:rsidRPr="005224C9">
              <w:rPr>
                <w:rFonts w:ascii="Times New Roman" w:hAnsi="Times New Roman" w:cs="Times New Roman"/>
                <w:b/>
                <w:color w:val="auto"/>
                <w:sz w:val="28"/>
                <w:szCs w:val="28"/>
              </w:rPr>
              <w:t>1815134</w:t>
            </w:r>
          </w:p>
          <w:p w:rsidR="00D27E6E" w:rsidRPr="005D3F07"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5D3F07" w:rsidRDefault="00D27E6E" w:rsidP="00D27E6E">
            <w:pPr>
              <w:overflowPunct/>
              <w:autoSpaceDE/>
              <w:autoSpaceDN/>
              <w:adjustRightInd/>
              <w:ind w:right="-957"/>
              <w:textAlignment w:val="auto"/>
              <w:rPr>
                <w:rFonts w:ascii="Times New Roman" w:hAnsi="Times New Roman" w:cs="Times New Roman"/>
                <w:b/>
                <w:color w:val="auto"/>
                <w:sz w:val="48"/>
              </w:rPr>
            </w:pPr>
          </w:p>
        </w:tc>
      </w:tr>
    </w:tbl>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D27E6E" w:rsidRPr="00F927A1" w:rsidRDefault="00D27E6E" w:rsidP="00D27E6E">
      <w:pPr>
        <w:overflowPunct/>
        <w:autoSpaceDE/>
        <w:autoSpaceDN/>
        <w:adjustRightInd/>
        <w:textAlignment w:val="auto"/>
        <w:rPr>
          <w:rFonts w:ascii="Times New Roman" w:hAnsi="Times New Roman" w:cs="Times New Roman"/>
          <w:color w:val="auto"/>
          <w:sz w:val="24"/>
        </w:rPr>
      </w:pPr>
    </w:p>
    <w:p w:rsidR="00D27E6E" w:rsidRPr="00A55D47" w:rsidRDefault="00D27E6E" w:rsidP="00D27E6E">
      <w:pPr>
        <w:overflowPunct/>
        <w:autoSpaceDE/>
        <w:autoSpaceDN/>
        <w:adjustRightInd/>
        <w:ind w:right="-957"/>
        <w:textAlignment w:val="auto"/>
        <w:rPr>
          <w:rFonts w:ascii="Times New Roman" w:hAnsi="Times New Roman" w:cs="Times New Roman"/>
          <w:b/>
          <w:color w:val="auto"/>
          <w:sz w:val="14"/>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Pr>
          <w:rFonts w:ascii="Times New Roman" w:hAnsi="Times New Roman" w:cs="Times New Roman"/>
          <w:b/>
          <w:color w:val="auto"/>
          <w:sz w:val="40"/>
        </w:rPr>
        <w:t>ACADEMY for PROFESSIONAL PRACTICE and APPLIED RESEARCH</w:t>
      </w: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2019-2020</w:t>
      </w:r>
    </w:p>
    <w:p w:rsidR="00D27E6E" w:rsidRPr="0006581A" w:rsidRDefault="00D27E6E" w:rsidP="00D27E6E">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D27E6E" w:rsidRPr="0006581A" w:rsidRDefault="00D27E6E" w:rsidP="00D27E6E">
      <w:pPr>
        <w:rPr>
          <w:color w:val="auto"/>
          <w:sz w:val="24"/>
          <w:szCs w:val="24"/>
        </w:rPr>
      </w:pPr>
    </w:p>
    <w:p w:rsidR="00D27E6E" w:rsidRPr="0006581A" w:rsidRDefault="00D27E6E" w:rsidP="00D27E6E">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D27E6E" w:rsidRPr="0006581A" w:rsidRDefault="00D27E6E" w:rsidP="00D27E6E">
      <w:pPr>
        <w:rPr>
          <w:color w:val="auto"/>
          <w:sz w:val="24"/>
          <w:szCs w:val="24"/>
        </w:rPr>
      </w:pPr>
    </w:p>
    <w:p w:rsidR="00D27E6E" w:rsidRPr="0006581A" w:rsidRDefault="00D27E6E" w:rsidP="00D27E6E">
      <w:pPr>
        <w:jc w:val="both"/>
        <w:rPr>
          <w:color w:val="auto"/>
          <w:sz w:val="24"/>
          <w:szCs w:val="24"/>
        </w:rPr>
      </w:pPr>
      <w:r w:rsidRPr="0006581A">
        <w:rPr>
          <w:b/>
          <w:color w:val="auto"/>
          <w:sz w:val="24"/>
          <w:szCs w:val="24"/>
        </w:rPr>
        <w:t>What is the portfolio for?</w:t>
      </w:r>
    </w:p>
    <w:p w:rsidR="00D27E6E" w:rsidRPr="0006581A" w:rsidRDefault="00D27E6E" w:rsidP="00D27E6E">
      <w:pPr>
        <w:jc w:val="both"/>
        <w:rPr>
          <w:b/>
          <w:color w:val="auto"/>
          <w:sz w:val="24"/>
          <w:szCs w:val="24"/>
        </w:rPr>
      </w:pPr>
    </w:p>
    <w:p w:rsidR="00D27E6E" w:rsidRPr="0006581A" w:rsidRDefault="00D27E6E" w:rsidP="00D27E6E">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D27E6E" w:rsidRPr="0006581A" w:rsidRDefault="00D27E6E" w:rsidP="00D27E6E">
      <w:pPr>
        <w:jc w:val="both"/>
        <w:rPr>
          <w:color w:val="auto"/>
          <w:sz w:val="24"/>
          <w:szCs w:val="24"/>
        </w:rPr>
      </w:pPr>
    </w:p>
    <w:p w:rsidR="00D27E6E" w:rsidRPr="0006581A" w:rsidRDefault="00D27E6E" w:rsidP="00D27E6E">
      <w:pPr>
        <w:numPr>
          <w:ilvl w:val="0"/>
          <w:numId w:val="8"/>
        </w:numPr>
        <w:jc w:val="both"/>
        <w:rPr>
          <w:color w:val="auto"/>
          <w:sz w:val="24"/>
          <w:szCs w:val="24"/>
        </w:rPr>
      </w:pPr>
      <w:r w:rsidRPr="0006581A">
        <w:rPr>
          <w:color w:val="auto"/>
          <w:sz w:val="24"/>
          <w:szCs w:val="24"/>
        </w:rPr>
        <w:t>Applying analysis in assessment to inform intervention;</w:t>
      </w:r>
    </w:p>
    <w:p w:rsidR="00D27E6E" w:rsidRPr="0006581A" w:rsidRDefault="00D27E6E" w:rsidP="00D27E6E">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p>
    <w:p w:rsidR="00D27E6E" w:rsidRPr="0006581A" w:rsidRDefault="00D27E6E" w:rsidP="00D27E6E">
      <w:pPr>
        <w:numPr>
          <w:ilvl w:val="0"/>
          <w:numId w:val="8"/>
        </w:numPr>
        <w:jc w:val="both"/>
        <w:rPr>
          <w:color w:val="auto"/>
          <w:sz w:val="24"/>
          <w:szCs w:val="24"/>
        </w:rPr>
      </w:pPr>
      <w:r w:rsidRPr="0006581A">
        <w:rPr>
          <w:color w:val="auto"/>
          <w:sz w:val="24"/>
          <w:szCs w:val="24"/>
        </w:rPr>
        <w:t>Working collaboratively with service users, carers and other professionals.</w:t>
      </w:r>
    </w:p>
    <w:p w:rsidR="00D27E6E" w:rsidRPr="00E35112" w:rsidRDefault="00D27E6E" w:rsidP="00D27E6E">
      <w:pPr>
        <w:ind w:left="502"/>
        <w:jc w:val="both"/>
        <w:rPr>
          <w:color w:val="FF0000"/>
          <w:sz w:val="24"/>
          <w:szCs w:val="24"/>
        </w:rPr>
      </w:pPr>
    </w:p>
    <w:p w:rsidR="00D27E6E" w:rsidRPr="0006581A" w:rsidRDefault="00D27E6E" w:rsidP="00D27E6E">
      <w:pPr>
        <w:jc w:val="both"/>
        <w:rPr>
          <w:color w:val="auto"/>
          <w:sz w:val="24"/>
          <w:szCs w:val="24"/>
        </w:rPr>
      </w:pPr>
      <w:r w:rsidRPr="0006581A">
        <w:rPr>
          <w:b/>
          <w:color w:val="auto"/>
          <w:sz w:val="24"/>
          <w:szCs w:val="24"/>
        </w:rPr>
        <w:t>Learner and employer learning agreement</w:t>
      </w:r>
    </w:p>
    <w:p w:rsidR="00D27E6E" w:rsidRPr="0006581A" w:rsidRDefault="00D27E6E" w:rsidP="00D27E6E">
      <w:pPr>
        <w:numPr>
          <w:ilvl w:val="12"/>
          <w:numId w:val="0"/>
        </w:numPr>
        <w:jc w:val="both"/>
        <w:rPr>
          <w:color w:val="auto"/>
          <w:sz w:val="24"/>
          <w:szCs w:val="24"/>
        </w:rPr>
      </w:pPr>
    </w:p>
    <w:p w:rsidR="00D27E6E" w:rsidRPr="0006581A" w:rsidRDefault="00D27E6E" w:rsidP="00D27E6E">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D27E6E" w:rsidRPr="00E35112" w:rsidRDefault="00D27E6E" w:rsidP="00D27E6E">
      <w:pPr>
        <w:numPr>
          <w:ilvl w:val="12"/>
          <w:numId w:val="0"/>
        </w:numPr>
        <w:jc w:val="both"/>
        <w:rPr>
          <w:color w:val="FF0000"/>
          <w:sz w:val="24"/>
          <w:szCs w:val="24"/>
        </w:rPr>
      </w:pPr>
    </w:p>
    <w:p w:rsidR="00D27E6E" w:rsidRPr="0006581A" w:rsidRDefault="00D27E6E" w:rsidP="00D27E6E">
      <w:pPr>
        <w:numPr>
          <w:ilvl w:val="12"/>
          <w:numId w:val="0"/>
        </w:numPr>
        <w:jc w:val="both"/>
        <w:rPr>
          <w:color w:val="auto"/>
          <w:sz w:val="24"/>
          <w:szCs w:val="24"/>
        </w:rPr>
      </w:pPr>
      <w:r w:rsidRPr="0006581A">
        <w:rPr>
          <w:b/>
          <w:color w:val="auto"/>
          <w:sz w:val="24"/>
          <w:szCs w:val="24"/>
        </w:rPr>
        <w:t>How should the Portfolio be presented?</w:t>
      </w:r>
    </w:p>
    <w:p w:rsidR="00D27E6E" w:rsidRPr="0006581A" w:rsidRDefault="00D27E6E" w:rsidP="00D27E6E">
      <w:pPr>
        <w:numPr>
          <w:ilvl w:val="12"/>
          <w:numId w:val="0"/>
        </w:numPr>
        <w:jc w:val="both"/>
        <w:rPr>
          <w:color w:val="auto"/>
          <w:sz w:val="24"/>
          <w:szCs w:val="24"/>
        </w:rPr>
      </w:pPr>
    </w:p>
    <w:p w:rsidR="00D27E6E" w:rsidRDefault="00D27E6E" w:rsidP="00D27E6E">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D27E6E" w:rsidRDefault="00D27E6E" w:rsidP="00D27E6E">
      <w:pPr>
        <w:overflowPunct/>
        <w:autoSpaceDE/>
        <w:autoSpaceDN/>
        <w:adjustRightInd/>
        <w:jc w:val="both"/>
        <w:textAlignment w:val="auto"/>
        <w:rPr>
          <w:color w:val="auto"/>
          <w:sz w:val="24"/>
          <w:szCs w:val="24"/>
        </w:rPr>
      </w:pPr>
    </w:p>
    <w:p w:rsidR="00D27E6E" w:rsidRPr="00E35112" w:rsidRDefault="00D27E6E" w:rsidP="00D27E6E">
      <w:pPr>
        <w:jc w:val="both"/>
        <w:rPr>
          <w:b/>
          <w:color w:val="FF0000"/>
          <w:sz w:val="24"/>
          <w:szCs w:val="24"/>
        </w:rPr>
      </w:pPr>
      <w:r w:rsidRPr="0066700C">
        <w:rPr>
          <w:color w:val="auto"/>
          <w:sz w:val="24"/>
          <w:szCs w:val="24"/>
        </w:rPr>
        <w:t xml:space="preserve">All assessment materials may be submitted and assessed in English, 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D27E6E" w:rsidRPr="0006581A" w:rsidRDefault="00D27E6E" w:rsidP="00D27E6E">
      <w:pPr>
        <w:overflowPunct/>
        <w:autoSpaceDE/>
        <w:autoSpaceDN/>
        <w:adjustRightInd/>
        <w:jc w:val="both"/>
        <w:textAlignment w:val="auto"/>
        <w:rPr>
          <w:color w:val="auto"/>
          <w:sz w:val="24"/>
          <w:szCs w:val="24"/>
        </w:rPr>
      </w:pPr>
    </w:p>
    <w:p w:rsidR="00D27E6E" w:rsidRPr="00E35112" w:rsidRDefault="00D27E6E" w:rsidP="00D27E6E">
      <w:pPr>
        <w:numPr>
          <w:ilvl w:val="12"/>
          <w:numId w:val="0"/>
        </w:numPr>
        <w:jc w:val="both"/>
        <w:rPr>
          <w:i/>
          <w:color w:val="FF0000"/>
          <w:sz w:val="24"/>
          <w:szCs w:val="24"/>
        </w:rPr>
      </w:pPr>
    </w:p>
    <w:p w:rsidR="00D27E6E" w:rsidRPr="00467F66" w:rsidRDefault="00D27E6E" w:rsidP="00D27E6E">
      <w:pPr>
        <w:numPr>
          <w:ilvl w:val="12"/>
          <w:numId w:val="0"/>
        </w:numPr>
        <w:jc w:val="both"/>
        <w:rPr>
          <w:i/>
          <w:color w:val="auto"/>
          <w:sz w:val="24"/>
          <w:szCs w:val="24"/>
        </w:rPr>
      </w:pPr>
      <w:r w:rsidRPr="00467F66">
        <w:rPr>
          <w:b/>
          <w:color w:val="auto"/>
          <w:sz w:val="24"/>
          <w:szCs w:val="24"/>
        </w:rPr>
        <w:t>How is the Portfolio assessed?</w:t>
      </w:r>
    </w:p>
    <w:p w:rsidR="00D27E6E" w:rsidRPr="00467F66" w:rsidRDefault="00D27E6E" w:rsidP="00D27E6E">
      <w:pPr>
        <w:jc w:val="both"/>
        <w:rPr>
          <w:b/>
          <w:color w:val="auto"/>
          <w:sz w:val="24"/>
          <w:szCs w:val="24"/>
        </w:rPr>
      </w:pPr>
    </w:p>
    <w:p w:rsidR="00D27E6E" w:rsidRPr="00467F66" w:rsidRDefault="00D27E6E" w:rsidP="00D27E6E">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D27E6E" w:rsidRPr="00467F66" w:rsidRDefault="00D27E6E" w:rsidP="00D27E6E">
      <w:pPr>
        <w:jc w:val="both"/>
        <w:rPr>
          <w:color w:val="auto"/>
          <w:sz w:val="24"/>
          <w:szCs w:val="24"/>
        </w:rPr>
      </w:pPr>
    </w:p>
    <w:p w:rsidR="00D27E6E" w:rsidRPr="00467F66" w:rsidRDefault="00D27E6E" w:rsidP="00D27E6E">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D27E6E" w:rsidRPr="00E35112" w:rsidRDefault="00D27E6E" w:rsidP="00D27E6E">
      <w:pPr>
        <w:jc w:val="both"/>
        <w:rPr>
          <w:color w:val="FF0000"/>
          <w:sz w:val="24"/>
          <w:szCs w:val="24"/>
        </w:rPr>
      </w:pPr>
    </w:p>
    <w:p w:rsidR="00D27E6E" w:rsidRPr="00467F66" w:rsidRDefault="00D27E6E" w:rsidP="00D27E6E">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D27E6E" w:rsidRPr="00467F66" w:rsidRDefault="00D27E6E" w:rsidP="00D27E6E">
      <w:pPr>
        <w:jc w:val="both"/>
        <w:rPr>
          <w:b/>
          <w:color w:val="auto"/>
          <w:sz w:val="24"/>
          <w:szCs w:val="24"/>
        </w:rPr>
      </w:pPr>
    </w:p>
    <w:p w:rsidR="00D27E6E" w:rsidRPr="00467F66" w:rsidRDefault="00D27E6E" w:rsidP="00D27E6E">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D27E6E" w:rsidRPr="00467F66" w:rsidRDefault="00D27E6E" w:rsidP="00D27E6E">
      <w:pPr>
        <w:jc w:val="both"/>
        <w:rPr>
          <w:color w:val="auto"/>
          <w:sz w:val="24"/>
          <w:szCs w:val="24"/>
        </w:rPr>
      </w:pPr>
    </w:p>
    <w:p w:rsidR="00D27E6E" w:rsidRPr="00467F66" w:rsidRDefault="00D27E6E" w:rsidP="00D27E6E">
      <w:pPr>
        <w:numPr>
          <w:ilvl w:val="0"/>
          <w:numId w:val="1"/>
        </w:numPr>
        <w:jc w:val="both"/>
        <w:rPr>
          <w:color w:val="auto"/>
          <w:sz w:val="24"/>
          <w:szCs w:val="24"/>
        </w:rPr>
      </w:pPr>
      <w:r w:rsidRPr="00467F66">
        <w:rPr>
          <w:color w:val="auto"/>
          <w:sz w:val="24"/>
          <w:szCs w:val="24"/>
        </w:rPr>
        <w:t>adhere to guidance in the Programme Handbook about confidentiality;</w:t>
      </w:r>
    </w:p>
    <w:p w:rsidR="00D27E6E" w:rsidRPr="00467F66" w:rsidRDefault="00D27E6E" w:rsidP="00D27E6E">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D27E6E" w:rsidRPr="00467F66" w:rsidRDefault="00D27E6E" w:rsidP="00D27E6E">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D27E6E" w:rsidRPr="00467F66" w:rsidRDefault="00D27E6E" w:rsidP="00D27E6E">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D27E6E" w:rsidRPr="00467F66" w:rsidRDefault="00D27E6E" w:rsidP="00D27E6E">
      <w:pPr>
        <w:numPr>
          <w:ilvl w:val="0"/>
          <w:numId w:val="25"/>
        </w:numPr>
        <w:jc w:val="both"/>
        <w:rPr>
          <w:color w:val="auto"/>
          <w:sz w:val="24"/>
          <w:szCs w:val="24"/>
        </w:rPr>
      </w:pPr>
      <w:proofErr w:type="gramStart"/>
      <w:r w:rsidRPr="00467F66">
        <w:rPr>
          <w:color w:val="auto"/>
          <w:sz w:val="24"/>
          <w:szCs w:val="24"/>
        </w:rPr>
        <w:t>take</w:t>
      </w:r>
      <w:proofErr w:type="gramEnd"/>
      <w:r w:rsidRPr="00467F66">
        <w:rPr>
          <w:color w:val="auto"/>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D27E6E" w:rsidRPr="00467F66" w:rsidRDefault="00D27E6E" w:rsidP="00D27E6E">
      <w:pPr>
        <w:jc w:val="both"/>
        <w:rPr>
          <w:color w:val="auto"/>
          <w:sz w:val="24"/>
          <w:szCs w:val="24"/>
        </w:rPr>
      </w:pPr>
    </w:p>
    <w:p w:rsidR="00D27E6E" w:rsidRPr="008C7770" w:rsidRDefault="00D27E6E" w:rsidP="00D27E6E">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D27E6E" w:rsidRDefault="00D27E6E" w:rsidP="00D27E6E">
      <w:pPr>
        <w:ind w:left="360"/>
        <w:jc w:val="both"/>
        <w:rPr>
          <w:b/>
          <w:color w:val="auto"/>
          <w:sz w:val="24"/>
          <w:szCs w:val="24"/>
        </w:rPr>
      </w:pPr>
    </w:p>
    <w:p w:rsidR="00D27E6E" w:rsidRPr="0075031F" w:rsidRDefault="00D27E6E" w:rsidP="00D27E6E">
      <w:pPr>
        <w:ind w:left="360"/>
        <w:jc w:val="both"/>
        <w:rPr>
          <w:b/>
          <w:color w:val="auto"/>
          <w:sz w:val="24"/>
          <w:szCs w:val="24"/>
        </w:rPr>
      </w:pPr>
    </w:p>
    <w:p w:rsidR="00D27E6E" w:rsidRPr="0075031F" w:rsidRDefault="00D27E6E" w:rsidP="00D27E6E">
      <w:pPr>
        <w:jc w:val="both"/>
        <w:rPr>
          <w:b/>
          <w:color w:val="auto"/>
          <w:sz w:val="24"/>
          <w:szCs w:val="24"/>
        </w:rPr>
      </w:pPr>
      <w:r w:rsidRPr="0075031F">
        <w:rPr>
          <w:b/>
          <w:color w:val="auto"/>
          <w:sz w:val="24"/>
          <w:szCs w:val="24"/>
        </w:rPr>
        <w:t>Dyslexia and other special circumstances</w:t>
      </w:r>
    </w:p>
    <w:p w:rsidR="00D27E6E" w:rsidRPr="00E35112" w:rsidRDefault="00D27E6E" w:rsidP="00D27E6E">
      <w:pPr>
        <w:jc w:val="both"/>
        <w:rPr>
          <w:b/>
          <w:color w:val="FF0000"/>
          <w:sz w:val="24"/>
          <w:szCs w:val="24"/>
          <w:u w:val="single"/>
        </w:rPr>
      </w:pPr>
    </w:p>
    <w:p w:rsidR="00D27E6E" w:rsidRPr="00E35112" w:rsidRDefault="00D27E6E" w:rsidP="00D27E6E">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D27E6E" w:rsidRPr="00E35112" w:rsidRDefault="00D27E6E" w:rsidP="00D27E6E">
      <w:pPr>
        <w:jc w:val="both"/>
        <w:rPr>
          <w:b/>
          <w:color w:val="FF0000"/>
          <w:sz w:val="24"/>
          <w:szCs w:val="24"/>
        </w:rPr>
      </w:pPr>
    </w:p>
    <w:p w:rsidR="00D27E6E" w:rsidRPr="00E35112" w:rsidRDefault="00D27E6E" w:rsidP="00D27E6E">
      <w:pPr>
        <w:jc w:val="both"/>
        <w:rPr>
          <w:b/>
          <w:color w:val="FF0000"/>
          <w:sz w:val="24"/>
          <w:szCs w:val="24"/>
        </w:rPr>
      </w:pPr>
    </w:p>
    <w:p w:rsidR="00D27E6E" w:rsidRPr="00E97171" w:rsidRDefault="00D27E6E" w:rsidP="00D27E6E">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D27E6E" w:rsidRPr="00E97171" w:rsidRDefault="00D27E6E" w:rsidP="00D27E6E">
      <w:pPr>
        <w:jc w:val="both"/>
        <w:rPr>
          <w:color w:val="auto"/>
          <w:sz w:val="24"/>
          <w:szCs w:val="24"/>
          <w:u w:val="single"/>
        </w:rPr>
      </w:pP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p>
    <w:p w:rsidR="00D27E6E" w:rsidRPr="00E97171" w:rsidRDefault="00D27E6E" w:rsidP="00D27E6E">
      <w:pPr>
        <w:jc w:val="both"/>
        <w:rPr>
          <w:color w:val="auto"/>
          <w:sz w:val="24"/>
          <w:szCs w:val="24"/>
        </w:rPr>
      </w:pPr>
    </w:p>
    <w:p w:rsidR="00D27E6E" w:rsidRPr="00E97171" w:rsidRDefault="00D27E6E" w:rsidP="00D27E6E">
      <w:pPr>
        <w:jc w:val="both"/>
        <w:rPr>
          <w:i/>
          <w:color w:val="auto"/>
          <w:sz w:val="24"/>
          <w:szCs w:val="24"/>
        </w:rPr>
      </w:pPr>
      <w:r w:rsidRPr="00E97171">
        <w:rPr>
          <w:i/>
          <w:color w:val="auto"/>
          <w:sz w:val="24"/>
          <w:szCs w:val="24"/>
        </w:rPr>
        <w:t xml:space="preserve">Guidance: </w:t>
      </w:r>
    </w:p>
    <w:p w:rsidR="00D27E6E" w:rsidRPr="00E97171" w:rsidRDefault="00D27E6E" w:rsidP="00D27E6E">
      <w:pPr>
        <w:jc w:val="both"/>
        <w:rPr>
          <w:i/>
          <w:color w:val="auto"/>
          <w:sz w:val="24"/>
          <w:szCs w:val="24"/>
        </w:rPr>
      </w:pPr>
    </w:p>
    <w:p w:rsidR="00D27E6E" w:rsidRPr="00E97171" w:rsidRDefault="00D27E6E" w:rsidP="00D27E6E">
      <w:pPr>
        <w:numPr>
          <w:ilvl w:val="0"/>
          <w:numId w:val="19"/>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D27E6E" w:rsidRPr="00E97171" w:rsidRDefault="00D27E6E" w:rsidP="00D27E6E">
      <w:pPr>
        <w:numPr>
          <w:ilvl w:val="0"/>
          <w:numId w:val="19"/>
        </w:numPr>
        <w:jc w:val="both"/>
        <w:rPr>
          <w:i/>
          <w:color w:val="auto"/>
          <w:sz w:val="24"/>
          <w:szCs w:val="24"/>
        </w:rPr>
      </w:pPr>
      <w:r w:rsidRPr="00E97171">
        <w:rPr>
          <w:i/>
          <w:color w:val="auto"/>
          <w:sz w:val="24"/>
          <w:szCs w:val="24"/>
        </w:rPr>
        <w:t xml:space="preserve">You should use this pro-forma to insert your text within each section; </w:t>
      </w:r>
    </w:p>
    <w:p w:rsidR="00D27E6E" w:rsidRPr="00E97171" w:rsidRDefault="00D27E6E" w:rsidP="00D27E6E">
      <w:pPr>
        <w:numPr>
          <w:ilvl w:val="0"/>
          <w:numId w:val="19"/>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D27E6E" w:rsidRPr="00E97171" w:rsidRDefault="00D27E6E" w:rsidP="00D27E6E">
      <w:pPr>
        <w:jc w:val="both"/>
        <w:rPr>
          <w:b/>
          <w:color w:val="auto"/>
          <w:sz w:val="24"/>
          <w:szCs w:val="24"/>
        </w:rPr>
      </w:pPr>
    </w:p>
    <w:p w:rsidR="00D27E6E" w:rsidRPr="00E97171" w:rsidRDefault="00D27E6E" w:rsidP="00D27E6E">
      <w:pPr>
        <w:jc w:val="both"/>
        <w:rPr>
          <w:b/>
          <w:color w:val="auto"/>
          <w:sz w:val="24"/>
          <w:szCs w:val="24"/>
        </w:rPr>
      </w:pPr>
      <w:r w:rsidRPr="00E97171">
        <w:rPr>
          <w:b/>
          <w:color w:val="auto"/>
          <w:sz w:val="24"/>
          <w:szCs w:val="24"/>
        </w:rPr>
        <w:t xml:space="preserve">Contents </w:t>
      </w:r>
    </w:p>
    <w:p w:rsidR="00D27E6E" w:rsidRPr="00E35112" w:rsidRDefault="00D27E6E" w:rsidP="00D27E6E">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D27E6E" w:rsidRPr="00E35112" w:rsidTr="00D27E6E">
        <w:tc>
          <w:tcPr>
            <w:tcW w:w="1240" w:type="dxa"/>
            <w:shd w:val="clear" w:color="auto" w:fill="auto"/>
          </w:tcPr>
          <w:p w:rsidR="00D27E6E" w:rsidRPr="00FF07C3" w:rsidRDefault="00D27E6E" w:rsidP="00D27E6E">
            <w:pPr>
              <w:jc w:val="both"/>
              <w:rPr>
                <w:b/>
                <w:color w:val="auto"/>
                <w:sz w:val="24"/>
                <w:szCs w:val="24"/>
              </w:rPr>
            </w:pPr>
            <w:r w:rsidRPr="00FF07C3">
              <w:rPr>
                <w:b/>
                <w:color w:val="auto"/>
                <w:sz w:val="24"/>
                <w:szCs w:val="24"/>
              </w:rPr>
              <w:t>Portfolio Section</w:t>
            </w:r>
          </w:p>
        </w:tc>
        <w:tc>
          <w:tcPr>
            <w:tcW w:w="7177" w:type="dxa"/>
            <w:shd w:val="clear" w:color="auto" w:fill="auto"/>
          </w:tcPr>
          <w:p w:rsidR="00D27E6E" w:rsidRPr="00FF07C3" w:rsidRDefault="00D27E6E" w:rsidP="00D27E6E">
            <w:pPr>
              <w:jc w:val="both"/>
              <w:rPr>
                <w:b/>
                <w:color w:val="auto"/>
                <w:sz w:val="24"/>
                <w:szCs w:val="24"/>
              </w:rPr>
            </w:pPr>
            <w:r w:rsidRPr="00FF07C3">
              <w:rPr>
                <w:b/>
                <w:color w:val="auto"/>
                <w:sz w:val="24"/>
                <w:szCs w:val="24"/>
              </w:rPr>
              <w:t>Topic</w:t>
            </w:r>
          </w:p>
          <w:p w:rsidR="00D27E6E" w:rsidRPr="00FF07C3" w:rsidRDefault="00D27E6E" w:rsidP="00D27E6E">
            <w:pPr>
              <w:jc w:val="both"/>
              <w:rPr>
                <w:b/>
                <w:color w:val="auto"/>
                <w:sz w:val="24"/>
                <w:szCs w:val="24"/>
              </w:rPr>
            </w:pPr>
          </w:p>
        </w:tc>
        <w:tc>
          <w:tcPr>
            <w:tcW w:w="1134" w:type="dxa"/>
          </w:tcPr>
          <w:p w:rsidR="00D27E6E" w:rsidRPr="00FF07C3" w:rsidRDefault="00D27E6E" w:rsidP="00D27E6E">
            <w:pPr>
              <w:jc w:val="both"/>
              <w:rPr>
                <w:b/>
                <w:color w:val="auto"/>
                <w:sz w:val="24"/>
                <w:szCs w:val="24"/>
              </w:rPr>
            </w:pPr>
            <w:r>
              <w:rPr>
                <w:b/>
                <w:color w:val="auto"/>
                <w:sz w:val="24"/>
                <w:szCs w:val="24"/>
              </w:rPr>
              <w:t>Task no.</w:t>
            </w:r>
          </w:p>
        </w:tc>
      </w:tr>
      <w:tr w:rsidR="00D27E6E" w:rsidRPr="00E35112" w:rsidTr="00D27E6E">
        <w:tc>
          <w:tcPr>
            <w:tcW w:w="1240" w:type="dxa"/>
            <w:shd w:val="clear" w:color="auto" w:fill="auto"/>
          </w:tcPr>
          <w:p w:rsidR="00D27E6E" w:rsidRPr="00FF07C3" w:rsidRDefault="00D27E6E" w:rsidP="00D27E6E">
            <w:pPr>
              <w:jc w:val="both"/>
              <w:rPr>
                <w:color w:val="auto"/>
                <w:sz w:val="24"/>
                <w:szCs w:val="24"/>
              </w:rPr>
            </w:pPr>
            <w:r w:rsidRPr="00FF07C3">
              <w:rPr>
                <w:color w:val="auto"/>
                <w:sz w:val="24"/>
                <w:szCs w:val="24"/>
              </w:rPr>
              <w:t>1</w:t>
            </w:r>
          </w:p>
        </w:tc>
        <w:tc>
          <w:tcPr>
            <w:tcW w:w="7177" w:type="dxa"/>
            <w:shd w:val="clear" w:color="auto" w:fill="auto"/>
          </w:tcPr>
          <w:p w:rsidR="00D27E6E" w:rsidRPr="00FF07C3" w:rsidRDefault="00D27E6E" w:rsidP="00D27E6E">
            <w:pPr>
              <w:spacing w:line="360" w:lineRule="auto"/>
              <w:jc w:val="both"/>
              <w:rPr>
                <w:color w:val="auto"/>
                <w:sz w:val="24"/>
                <w:szCs w:val="24"/>
              </w:rPr>
            </w:pPr>
            <w:r w:rsidRPr="00FF07C3">
              <w:rPr>
                <w:color w:val="auto"/>
                <w:sz w:val="24"/>
                <w:szCs w:val="24"/>
              </w:rPr>
              <w:t>Contents page</w:t>
            </w:r>
          </w:p>
        </w:tc>
        <w:tc>
          <w:tcPr>
            <w:tcW w:w="1134" w:type="dxa"/>
          </w:tcPr>
          <w:p w:rsidR="00D27E6E" w:rsidRPr="00FF07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FF07C3" w:rsidRDefault="00D27E6E" w:rsidP="00D27E6E">
            <w:pPr>
              <w:jc w:val="both"/>
              <w:rPr>
                <w:color w:val="auto"/>
                <w:sz w:val="24"/>
                <w:szCs w:val="24"/>
              </w:rPr>
            </w:pPr>
            <w:r w:rsidRPr="00FF07C3">
              <w:rPr>
                <w:color w:val="auto"/>
                <w:sz w:val="24"/>
                <w:szCs w:val="24"/>
              </w:rPr>
              <w:t>2</w:t>
            </w:r>
          </w:p>
        </w:tc>
        <w:tc>
          <w:tcPr>
            <w:tcW w:w="7177" w:type="dxa"/>
            <w:shd w:val="clear" w:color="auto" w:fill="auto"/>
          </w:tcPr>
          <w:p w:rsidR="00D27E6E" w:rsidRPr="00FF07C3" w:rsidRDefault="00D27E6E" w:rsidP="00D27E6E">
            <w:pPr>
              <w:spacing w:line="360" w:lineRule="auto"/>
              <w:jc w:val="both"/>
              <w:rPr>
                <w:color w:val="auto"/>
                <w:sz w:val="24"/>
                <w:szCs w:val="24"/>
              </w:rPr>
            </w:pPr>
            <w:r w:rsidRPr="00FF07C3">
              <w:rPr>
                <w:color w:val="auto"/>
                <w:sz w:val="24"/>
                <w:szCs w:val="24"/>
              </w:rPr>
              <w:t>Developmental Review</w:t>
            </w:r>
          </w:p>
        </w:tc>
        <w:tc>
          <w:tcPr>
            <w:tcW w:w="1134" w:type="dxa"/>
          </w:tcPr>
          <w:p w:rsidR="00D27E6E" w:rsidRPr="00FF07C3" w:rsidRDefault="00D27E6E" w:rsidP="00D27E6E">
            <w:pPr>
              <w:spacing w:line="360" w:lineRule="auto"/>
              <w:jc w:val="both"/>
              <w:rPr>
                <w:color w:val="auto"/>
                <w:sz w:val="24"/>
                <w:szCs w:val="24"/>
              </w:rPr>
            </w:pPr>
            <w:r>
              <w:rPr>
                <w:color w:val="auto"/>
                <w:sz w:val="24"/>
                <w:szCs w:val="24"/>
              </w:rPr>
              <w:t>1</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sidRPr="00E559CE">
              <w:rPr>
                <w:color w:val="auto"/>
                <w:sz w:val="24"/>
                <w:szCs w:val="24"/>
              </w:rPr>
              <w:t>3</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Observation and feedback</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2</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sidRPr="00E559CE">
              <w:rPr>
                <w:color w:val="auto"/>
                <w:sz w:val="24"/>
                <w:szCs w:val="24"/>
              </w:rPr>
              <w:t>4</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3</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Pr>
                <w:color w:val="auto"/>
                <w:sz w:val="24"/>
                <w:szCs w:val="24"/>
              </w:rPr>
              <w:t>5</w:t>
            </w:r>
          </w:p>
        </w:tc>
        <w:tc>
          <w:tcPr>
            <w:tcW w:w="7177" w:type="dxa"/>
            <w:shd w:val="clear" w:color="auto" w:fill="auto"/>
          </w:tcPr>
          <w:p w:rsidR="00D27E6E" w:rsidRPr="00E559CE" w:rsidRDefault="00D27E6E" w:rsidP="00D27E6E">
            <w:pPr>
              <w:spacing w:line="360" w:lineRule="auto"/>
              <w:jc w:val="both"/>
              <w:rPr>
                <w:color w:val="auto"/>
                <w:sz w:val="24"/>
                <w:szCs w:val="24"/>
              </w:rPr>
            </w:pPr>
            <w:r>
              <w:rPr>
                <w:color w:val="auto"/>
                <w:sz w:val="24"/>
                <w:szCs w:val="24"/>
              </w:rPr>
              <w:t>Safeguarding</w:t>
            </w:r>
          </w:p>
        </w:tc>
        <w:tc>
          <w:tcPr>
            <w:tcW w:w="1134" w:type="dxa"/>
          </w:tcPr>
          <w:p w:rsidR="00D27E6E" w:rsidRDefault="00D27E6E" w:rsidP="00D27E6E">
            <w:pPr>
              <w:spacing w:line="360" w:lineRule="auto"/>
              <w:jc w:val="both"/>
              <w:rPr>
                <w:color w:val="auto"/>
                <w:sz w:val="24"/>
                <w:szCs w:val="24"/>
              </w:rPr>
            </w:pPr>
            <w:r>
              <w:rPr>
                <w:color w:val="auto"/>
                <w:sz w:val="24"/>
                <w:szCs w:val="24"/>
              </w:rPr>
              <w:t>4</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Pr>
                <w:color w:val="auto"/>
                <w:sz w:val="24"/>
                <w:szCs w:val="24"/>
              </w:rPr>
              <w:t>6</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Developmental Review</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1</w:t>
            </w: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7</w:t>
            </w:r>
          </w:p>
        </w:tc>
        <w:tc>
          <w:tcPr>
            <w:tcW w:w="7177" w:type="dxa"/>
            <w:shd w:val="clear" w:color="auto" w:fill="auto"/>
          </w:tcPr>
          <w:p w:rsidR="00D27E6E" w:rsidRPr="000E38C3" w:rsidRDefault="00D27E6E" w:rsidP="00D27E6E">
            <w:pPr>
              <w:spacing w:line="360" w:lineRule="auto"/>
              <w:jc w:val="both"/>
              <w:rPr>
                <w:color w:val="auto"/>
                <w:sz w:val="24"/>
                <w:szCs w:val="24"/>
              </w:rPr>
            </w:pPr>
            <w:r w:rsidRPr="000E38C3">
              <w:rPr>
                <w:color w:val="auto"/>
                <w:sz w:val="24"/>
                <w:szCs w:val="24"/>
              </w:rPr>
              <w:t>Bibliography</w:t>
            </w:r>
          </w:p>
        </w:tc>
        <w:tc>
          <w:tcPr>
            <w:tcW w:w="1134" w:type="dxa"/>
          </w:tcPr>
          <w:p w:rsidR="00D27E6E" w:rsidRPr="000E38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8</w:t>
            </w:r>
          </w:p>
        </w:tc>
        <w:tc>
          <w:tcPr>
            <w:tcW w:w="7177" w:type="dxa"/>
            <w:shd w:val="clear" w:color="auto" w:fill="auto"/>
          </w:tcPr>
          <w:p w:rsidR="00D27E6E" w:rsidRPr="000E38C3" w:rsidRDefault="00D27E6E" w:rsidP="00D27E6E">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D27E6E" w:rsidRPr="000E38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9</w:t>
            </w:r>
          </w:p>
        </w:tc>
        <w:tc>
          <w:tcPr>
            <w:tcW w:w="7177" w:type="dxa"/>
            <w:shd w:val="clear" w:color="auto" w:fill="auto"/>
          </w:tcPr>
          <w:p w:rsidR="00D27E6E" w:rsidRPr="000E38C3" w:rsidRDefault="00D27E6E" w:rsidP="00D27E6E">
            <w:pPr>
              <w:spacing w:line="360" w:lineRule="auto"/>
              <w:jc w:val="both"/>
              <w:rPr>
                <w:color w:val="auto"/>
                <w:sz w:val="24"/>
                <w:szCs w:val="24"/>
              </w:rPr>
            </w:pPr>
            <w:r>
              <w:rPr>
                <w:color w:val="auto"/>
                <w:sz w:val="24"/>
                <w:szCs w:val="24"/>
              </w:rPr>
              <w:t>Learner and Employer Learning Agreement</w:t>
            </w:r>
          </w:p>
        </w:tc>
        <w:tc>
          <w:tcPr>
            <w:tcW w:w="1134" w:type="dxa"/>
          </w:tcPr>
          <w:p w:rsidR="00D27E6E" w:rsidRDefault="00D27E6E" w:rsidP="00D27E6E">
            <w:pPr>
              <w:spacing w:line="360" w:lineRule="auto"/>
              <w:jc w:val="both"/>
              <w:rPr>
                <w:color w:val="auto"/>
                <w:sz w:val="24"/>
                <w:szCs w:val="24"/>
              </w:rPr>
            </w:pPr>
          </w:p>
        </w:tc>
      </w:tr>
    </w:tbl>
    <w:p w:rsidR="00D27E6E" w:rsidRDefault="00D27E6E" w:rsidP="00D27E6E">
      <w:pPr>
        <w:jc w:val="both"/>
        <w:rPr>
          <w:b/>
          <w:sz w:val="24"/>
          <w:szCs w:val="24"/>
        </w:rPr>
      </w:pPr>
    </w:p>
    <w:p w:rsidR="00D27E6E" w:rsidRPr="008B28E7" w:rsidRDefault="00D27E6E" w:rsidP="00D27E6E">
      <w:pPr>
        <w:jc w:val="center"/>
        <w:rPr>
          <w:b/>
          <w:sz w:val="24"/>
          <w:szCs w:val="24"/>
        </w:rPr>
      </w:pPr>
      <w:r>
        <w:rPr>
          <w:b/>
          <w:sz w:val="24"/>
          <w:szCs w:val="24"/>
        </w:rPr>
        <w:br w:type="page"/>
      </w:r>
      <w:r w:rsidRPr="008B28E7">
        <w:rPr>
          <w:b/>
          <w:sz w:val="24"/>
          <w:szCs w:val="24"/>
        </w:rPr>
        <w:lastRenderedPageBreak/>
        <w:t>Section 2</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Developmental review</w:t>
      </w:r>
      <w:r>
        <w:rPr>
          <w:b/>
          <w:sz w:val="24"/>
          <w:szCs w:val="24"/>
        </w:rPr>
        <w:t xml:space="preserve"> (a)</w:t>
      </w:r>
    </w:p>
    <w:p w:rsidR="00D27E6E" w:rsidRPr="008B28E7" w:rsidRDefault="00D27E6E" w:rsidP="00D27E6E">
      <w:pPr>
        <w:jc w:val="both"/>
        <w:rPr>
          <w:b/>
          <w:sz w:val="24"/>
          <w:szCs w:val="24"/>
        </w:rPr>
      </w:pPr>
    </w:p>
    <w:p w:rsidR="00D27E6E" w:rsidRPr="00CD0735" w:rsidRDefault="00D27E6E" w:rsidP="00D27E6E">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D27E6E" w:rsidRPr="0049196A" w:rsidRDefault="00D27E6E" w:rsidP="00D27E6E">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D27E6E" w:rsidRPr="0049196A" w:rsidTr="00D27E6E">
        <w:tc>
          <w:tcPr>
            <w:tcW w:w="10278" w:type="dxa"/>
            <w:shd w:val="clear" w:color="auto" w:fill="auto"/>
          </w:tcPr>
          <w:p w:rsidR="00D27E6E" w:rsidRPr="00FF07C3" w:rsidRDefault="00D27E6E" w:rsidP="00D27E6E">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D27E6E" w:rsidRPr="00FF07C3" w:rsidRDefault="00D27E6E" w:rsidP="00D27E6E">
            <w:pPr>
              <w:jc w:val="both"/>
              <w:rPr>
                <w:sz w:val="24"/>
                <w:szCs w:val="24"/>
              </w:rPr>
            </w:pPr>
          </w:p>
          <w:p w:rsidR="00D27E6E" w:rsidRDefault="00D27E6E" w:rsidP="00D27E6E">
            <w:pPr>
              <w:numPr>
                <w:ilvl w:val="0"/>
                <w:numId w:val="44"/>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D27E6E" w:rsidRPr="00FF07C3" w:rsidRDefault="00D27E6E" w:rsidP="00D27E6E">
            <w:pPr>
              <w:jc w:val="both"/>
              <w:rPr>
                <w:sz w:val="24"/>
                <w:szCs w:val="24"/>
              </w:rPr>
            </w:pPr>
            <w:r>
              <w:rPr>
                <w:sz w:val="24"/>
                <w:szCs w:val="24"/>
              </w:rPr>
              <w:t xml:space="preserve">           </w:t>
            </w:r>
            <w:r w:rsidRPr="00FF07C3">
              <w:rPr>
                <w:sz w:val="24"/>
                <w:szCs w:val="24"/>
              </w:rPr>
              <w:t>Working Collaboratively with Other Professionals</w:t>
            </w:r>
          </w:p>
          <w:p w:rsidR="00D27E6E" w:rsidRPr="00FF07C3" w:rsidRDefault="00D27E6E" w:rsidP="00D27E6E">
            <w:pPr>
              <w:numPr>
                <w:ilvl w:val="0"/>
                <w:numId w:val="44"/>
              </w:numPr>
              <w:jc w:val="both"/>
              <w:rPr>
                <w:sz w:val="24"/>
                <w:szCs w:val="24"/>
              </w:rPr>
            </w:pPr>
            <w:r w:rsidRPr="00FF07C3">
              <w:rPr>
                <w:sz w:val="24"/>
                <w:szCs w:val="24"/>
              </w:rPr>
              <w:t>Applying analysis in assessment to inform interventions</w:t>
            </w:r>
          </w:p>
          <w:p w:rsidR="00D27E6E" w:rsidRPr="00FF07C3" w:rsidRDefault="00D27E6E" w:rsidP="00D27E6E">
            <w:pPr>
              <w:numPr>
                <w:ilvl w:val="0"/>
                <w:numId w:val="44"/>
              </w:numPr>
              <w:jc w:val="both"/>
              <w:rPr>
                <w:sz w:val="24"/>
                <w:szCs w:val="24"/>
              </w:rPr>
            </w:pPr>
            <w:r w:rsidRPr="00FF07C3">
              <w:rPr>
                <w:sz w:val="24"/>
                <w:szCs w:val="24"/>
              </w:rPr>
              <w:t>Intervention and application of professional judgement in increasingly complex situations</w:t>
            </w:r>
          </w:p>
          <w:p w:rsidR="00D27E6E" w:rsidRDefault="00D27E6E" w:rsidP="00D27E6E">
            <w:pPr>
              <w:jc w:val="both"/>
              <w:rPr>
                <w:sz w:val="24"/>
                <w:szCs w:val="24"/>
              </w:rPr>
            </w:pPr>
          </w:p>
          <w:p w:rsidR="00D27E6E" w:rsidRDefault="00D27E6E" w:rsidP="00D27E6E">
            <w:pPr>
              <w:jc w:val="both"/>
              <w:rPr>
                <w:i/>
                <w:sz w:val="24"/>
                <w:szCs w:val="24"/>
              </w:rPr>
            </w:pPr>
            <w:r>
              <w:rPr>
                <w:i/>
                <w:sz w:val="24"/>
                <w:szCs w:val="24"/>
              </w:rPr>
              <w:t>500</w:t>
            </w:r>
            <w:r w:rsidRPr="0049196A">
              <w:rPr>
                <w:i/>
                <w:sz w:val="24"/>
                <w:szCs w:val="24"/>
              </w:rPr>
              <w:t xml:space="preserve"> words (+/- 10%: include your actual word count at the end of each section)</w:t>
            </w:r>
          </w:p>
          <w:p w:rsidR="00D27E6E" w:rsidRPr="0049196A" w:rsidRDefault="00D27E6E" w:rsidP="00D27E6E">
            <w:pPr>
              <w:jc w:val="both"/>
              <w:rPr>
                <w:i/>
                <w:sz w:val="24"/>
                <w:szCs w:val="24"/>
              </w:rPr>
            </w:pPr>
          </w:p>
        </w:tc>
      </w:tr>
    </w:tbl>
    <w:p w:rsidR="00D27E6E" w:rsidRPr="008B28E7" w:rsidRDefault="00D27E6E" w:rsidP="00D27E6E">
      <w:pPr>
        <w:jc w:val="both"/>
        <w:rPr>
          <w:sz w:val="24"/>
          <w:szCs w:val="24"/>
        </w:rPr>
      </w:pPr>
    </w:p>
    <w:p w:rsidR="00D27E6E" w:rsidRPr="00D27E6E" w:rsidRDefault="00D27E6E" w:rsidP="00D27E6E">
      <w:pPr>
        <w:rPr>
          <w:color w:val="auto"/>
          <w:sz w:val="24"/>
          <w:szCs w:val="24"/>
        </w:rPr>
      </w:pPr>
      <w:r w:rsidRPr="00D27E6E">
        <w:rPr>
          <w:color w:val="auto"/>
          <w:sz w:val="24"/>
          <w:szCs w:val="24"/>
        </w:rPr>
        <w:t xml:space="preserve">I am a Social Worker working with adults whom require care and support. My role includes preventative work in addition to statutory duties. I hold a variety of cases including; assessment and reviews of care plans, initial safeguarding enquiries and Court of Protection cases.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Based on my experience in practice, I hope to develop my confidence, skills, application of knowledge and reflective practice. In addition to this I intend to develop strategies for managing my workload in relation to managing conflicts between my professional and personal values within the organisational constraints. I have completed a VARK assessment (</w:t>
      </w:r>
      <w:proofErr w:type="spellStart"/>
      <w:r w:rsidRPr="00D27E6E">
        <w:rPr>
          <w:color w:val="auto"/>
          <w:sz w:val="24"/>
          <w:szCs w:val="24"/>
        </w:rPr>
        <w:t>Vark</w:t>
      </w:r>
      <w:proofErr w:type="spellEnd"/>
      <w:r w:rsidRPr="00D27E6E">
        <w:rPr>
          <w:color w:val="auto"/>
          <w:sz w:val="24"/>
          <w:szCs w:val="24"/>
        </w:rPr>
        <w:t>, 2019) to identify my learning style. I anticipate this will enable me to tailor my learning needs by effectively utilising training opportunities and resources. To identify my learning needs I have reflected on my practice to date and considered areas of practice I have particularly enjoyed and areas in which I feel I have barriers to overcome. I have discussed these with my mentor and developed a plan.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Firstly, I intend to develop my learning needs in relation to working collaboratively with service users, carers and other professionals. I will specifically focus on the Signs of Safety Model (Edwards and </w:t>
      </w:r>
      <w:proofErr w:type="spellStart"/>
      <w:r w:rsidRPr="00D27E6E">
        <w:rPr>
          <w:color w:val="auto"/>
          <w:sz w:val="24"/>
          <w:szCs w:val="24"/>
        </w:rPr>
        <w:t>Turnell</w:t>
      </w:r>
      <w:proofErr w:type="spellEnd"/>
      <w:r w:rsidRPr="00D27E6E">
        <w:rPr>
          <w:color w:val="auto"/>
          <w:sz w:val="24"/>
          <w:szCs w:val="24"/>
        </w:rPr>
        <w:t xml:space="preserve">, 1999). In order to achieve positive outcomes, I am expected to work with families and professional using this model. This model will enable me to enhance my practice and improve co-production. To achieve this I endeavour to attend training days. Reflective practice will be crucial to consider what is working well and what I need to do to develop and improve my practice. I will use </w:t>
      </w:r>
      <w:proofErr w:type="spellStart"/>
      <w:r w:rsidRPr="00D27E6E">
        <w:rPr>
          <w:color w:val="auto"/>
          <w:sz w:val="24"/>
          <w:szCs w:val="24"/>
        </w:rPr>
        <w:t>Schon’s</w:t>
      </w:r>
      <w:proofErr w:type="spellEnd"/>
      <w:r w:rsidRPr="00D27E6E">
        <w:rPr>
          <w:color w:val="auto"/>
          <w:sz w:val="24"/>
          <w:szCs w:val="24"/>
        </w:rPr>
        <w:t xml:space="preserve"> (1983) ‘Reflection in action, Reflection on action’ model. Supervision will also facilitate reflection and analysis specific to my cases. Additionally I will participate in monthly case review meetings. Here, the model is used to discuss and evaluate complex cases and ways in which the model can be implemented to facilitate casework and chairing meetings.</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Secondly, I plan to focus on adult safeguarding as an area to develop involving my use of appropriate intervention and application of professional judgement in increasingly complex situations. To achieve this learning need, I will focus on part 7 of the Social Services and Well-being Act (Wales) 2014 and the Wales Interim Policy &amp; Procedures for the protection of vulnerable adults from abuse (2013). In practice, I plan to shadow an experienced practitioner. I will also focus on the development of my communication and interviewing skills. I will use Egan’s model (2007) to reflect on my communication skills and discuss in supervision.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Thirdly, I plan to improve my knowledge about how dementia can affect individuals and their families, by direct intervention and considering research. I plan to further develop my understanding and ability to assess people with dementia using critical analysis particularly within assessments directed by the Court of Protection. As I am a ‘visual learner’, I plan to seek training which utilises visual aids and watch relevant podcasts specific to capacity and best interest assessments. I aim to research relevant case law to discuss in supervision and with my mentor. </w:t>
      </w:r>
    </w:p>
    <w:p w:rsidR="00D27E6E" w:rsidRPr="00D27E6E" w:rsidRDefault="00D27E6E" w:rsidP="00D27E6E">
      <w:pPr>
        <w:rPr>
          <w:color w:val="auto"/>
          <w:sz w:val="24"/>
          <w:szCs w:val="24"/>
        </w:rPr>
      </w:pPr>
    </w:p>
    <w:p w:rsidR="00D27E6E" w:rsidRPr="00D27E6E" w:rsidRDefault="00D27E6E" w:rsidP="00D27E6E">
      <w:pPr>
        <w:rPr>
          <w:color w:val="auto"/>
          <w:sz w:val="24"/>
          <w:szCs w:val="24"/>
          <w:lang w:val="en"/>
        </w:rPr>
      </w:pPr>
    </w:p>
    <w:p w:rsidR="00D27E6E" w:rsidRPr="00D27E6E" w:rsidRDefault="00D27E6E" w:rsidP="00D27E6E">
      <w:pPr>
        <w:rPr>
          <w:color w:val="auto"/>
          <w:sz w:val="24"/>
          <w:szCs w:val="24"/>
          <w:lang w:val="en"/>
        </w:rPr>
      </w:pPr>
      <w:r w:rsidRPr="00D27E6E">
        <w:rPr>
          <w:color w:val="auto"/>
          <w:sz w:val="24"/>
          <w:szCs w:val="24"/>
          <w:lang w:val="en"/>
        </w:rPr>
        <w:t xml:space="preserve">Word </w:t>
      </w:r>
      <w:proofErr w:type="gramStart"/>
      <w:r w:rsidRPr="00D27E6E">
        <w:rPr>
          <w:color w:val="auto"/>
          <w:sz w:val="24"/>
          <w:szCs w:val="24"/>
          <w:lang w:val="en"/>
        </w:rPr>
        <w:t>Count  511</w:t>
      </w:r>
      <w:proofErr w:type="gramEnd"/>
    </w:p>
    <w:p w:rsidR="00D27E6E" w:rsidRPr="006E206C" w:rsidRDefault="00D27E6E" w:rsidP="00D27E6E"/>
    <w:p w:rsidR="00D27E6E" w:rsidRDefault="00D27E6E" w:rsidP="00D27E6E">
      <w:pPr>
        <w:jc w:val="center"/>
        <w:rPr>
          <w:b/>
          <w:sz w:val="24"/>
          <w:szCs w:val="24"/>
        </w:rPr>
      </w:pPr>
    </w:p>
    <w:p w:rsidR="00D27E6E" w:rsidRPr="008B28E7" w:rsidRDefault="00D27E6E" w:rsidP="00D27E6E">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D27E6E" w:rsidRPr="008B28E7" w:rsidRDefault="00D27E6E" w:rsidP="00D27E6E">
      <w:pPr>
        <w:jc w:val="both"/>
        <w:rPr>
          <w:sz w:val="24"/>
          <w:szCs w:val="24"/>
        </w:rPr>
      </w:pPr>
    </w:p>
    <w:p w:rsidR="00D27E6E" w:rsidRDefault="00D27E6E" w:rsidP="00D27E6E">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D27E6E" w:rsidRDefault="00D27E6E" w:rsidP="00D27E6E">
      <w:pPr>
        <w:jc w:val="both"/>
        <w:rPr>
          <w:i/>
          <w:sz w:val="24"/>
          <w:szCs w:val="24"/>
        </w:rPr>
      </w:pPr>
    </w:p>
    <w:p w:rsidR="00D27E6E" w:rsidRDefault="00D27E6E" w:rsidP="00D27E6E">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D27E6E" w:rsidRDefault="00D27E6E" w:rsidP="00D27E6E">
      <w:pPr>
        <w:jc w:val="both"/>
        <w:rPr>
          <w:i/>
          <w:sz w:val="24"/>
          <w:szCs w:val="24"/>
        </w:rPr>
      </w:pPr>
    </w:p>
    <w:p w:rsidR="00D27E6E" w:rsidRPr="00D55DE0" w:rsidRDefault="00D27E6E" w:rsidP="00D27E6E">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D27E6E" w:rsidRPr="008B28E7" w:rsidRDefault="00D27E6E" w:rsidP="00D27E6E">
      <w:pPr>
        <w:jc w:val="both"/>
        <w:rPr>
          <w:sz w:val="24"/>
          <w:szCs w:val="24"/>
        </w:rPr>
      </w:pPr>
    </w:p>
    <w:p w:rsidR="00D27E6E" w:rsidRPr="008B28E7" w:rsidRDefault="00D27E6E" w:rsidP="00D27E6E">
      <w:pPr>
        <w:jc w:val="both"/>
        <w:rPr>
          <w:b/>
          <w:sz w:val="24"/>
          <w:szCs w:val="24"/>
          <w:u w:val="single"/>
        </w:rPr>
      </w:pPr>
      <w:r w:rsidRPr="008B28E7">
        <w:rPr>
          <w:b/>
          <w:sz w:val="24"/>
          <w:szCs w:val="24"/>
          <w:u w:val="single"/>
        </w:rPr>
        <w:t xml:space="preserve">Observation Summary </w:t>
      </w:r>
    </w:p>
    <w:p w:rsidR="00D27E6E" w:rsidRPr="008B28E7" w:rsidRDefault="00D27E6E" w:rsidP="00D27E6E">
      <w:pPr>
        <w:jc w:val="both"/>
        <w:rPr>
          <w:sz w:val="24"/>
          <w:szCs w:val="24"/>
        </w:rPr>
      </w:pPr>
    </w:p>
    <w:p w:rsidR="00D27E6E" w:rsidRDefault="00D27E6E" w:rsidP="00D27E6E">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D27E6E" w:rsidRDefault="00D27E6E" w:rsidP="00D27E6E">
      <w:pPr>
        <w:jc w:val="both"/>
        <w:rPr>
          <w:sz w:val="24"/>
          <w:szCs w:val="24"/>
        </w:rPr>
      </w:pPr>
      <w:r>
        <w:rPr>
          <w:sz w:val="24"/>
          <w:szCs w:val="24"/>
        </w:rPr>
        <w:t xml:space="preserve">Michelle Raddie-Jackson. </w:t>
      </w:r>
    </w:p>
    <w:p w:rsidR="00D27E6E" w:rsidRPr="008B28E7"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Date of observation</w:t>
      </w:r>
      <w:r>
        <w:rPr>
          <w:sz w:val="24"/>
          <w:szCs w:val="24"/>
        </w:rPr>
        <w:t xml:space="preserve">:  15.05.2019 </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 xml:space="preserve">To be completed by learner </w:t>
      </w: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Default="00D27E6E" w:rsidP="00D27E6E">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D27E6E" w:rsidRDefault="00D27E6E" w:rsidP="00D27E6E">
            <w:pPr>
              <w:jc w:val="both"/>
              <w:rPr>
                <w:sz w:val="24"/>
                <w:szCs w:val="24"/>
              </w:rPr>
            </w:pPr>
          </w:p>
          <w:p w:rsidR="00D27E6E" w:rsidRDefault="00D27E6E" w:rsidP="00D27E6E">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rsidR="00D27E6E" w:rsidRDefault="00D27E6E" w:rsidP="00D27E6E">
            <w:pPr>
              <w:jc w:val="both"/>
              <w:rPr>
                <w:i/>
                <w:sz w:val="24"/>
                <w:szCs w:val="24"/>
              </w:rPr>
            </w:pPr>
          </w:p>
          <w:p w:rsidR="00D27E6E" w:rsidRPr="008B28E7" w:rsidRDefault="00D27E6E" w:rsidP="00D27E6E">
            <w:pPr>
              <w:jc w:val="both"/>
              <w:rPr>
                <w:i/>
                <w:sz w:val="24"/>
                <w:szCs w:val="24"/>
              </w:rPr>
            </w:pPr>
          </w:p>
        </w:tc>
      </w:tr>
    </w:tbl>
    <w:p w:rsidR="00D27E6E" w:rsidRPr="008B28E7" w:rsidRDefault="00D27E6E" w:rsidP="00D27E6E">
      <w:pPr>
        <w:jc w:val="both"/>
        <w:rPr>
          <w:sz w:val="24"/>
          <w:szCs w:val="24"/>
        </w:rPr>
      </w:pPr>
    </w:p>
    <w:p w:rsidR="00D27E6E" w:rsidRPr="00D27E6E" w:rsidRDefault="00D27E6E" w:rsidP="00D27E6E">
      <w:pPr>
        <w:rPr>
          <w:color w:val="auto"/>
          <w:sz w:val="24"/>
          <w:szCs w:val="24"/>
        </w:rPr>
      </w:pPr>
      <w:r w:rsidRPr="00D27E6E">
        <w:rPr>
          <w:color w:val="auto"/>
          <w:sz w:val="24"/>
          <w:szCs w:val="24"/>
        </w:rPr>
        <w:t>Through my observation, I hope to demonstrate my communication methods and skills; my ability to practice in a person-centred approach; evidence of my social work values; ethical practice and ability to practice in culturally sensitive manner within the service users’ language preference. This will be demonstrated in accordance with the Social Care Wales (2017) National Occupational Standards and the Code of Professional Practice for Social Care.</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observation will evidence my objectives through an initial safeguarding information gathering visit. Service user 1 (SU1) is a Columbian female who suffers with MS, she is in </w:t>
      </w:r>
      <w:r w:rsidRPr="00D27E6E">
        <w:rPr>
          <w:color w:val="auto"/>
          <w:sz w:val="24"/>
          <w:szCs w:val="24"/>
        </w:rPr>
        <w:lastRenderedPageBreak/>
        <w:t>receipt of a package of care.  SU1 is married to a Welsh male and they live with their two young children and SU1’s parent-in-laws. SU1 wrote a letter to the authority disclosing that she felt abused by her husband and his parents. SU1 described how she felt ‘controlled’ by her husband, she wrote about feeling ‘isolated’ and ‘shouted at’ by her in-laws for not trying to speak English. SU1 felt that her cultural values were not respected and she felt her parenting ability was being undermined.</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SU1 is from Columbia, her English is poor. SU1 is keen to improve her language skills but when she is feeling emotionally vulnerable she needs to be able to communicate in Spanish (Welsh Government, 2015). SU1’s husband usually translates for her. However, given her right to use her chosen language (‘Active Offer’), I offered SU1 the opportunity the support of a Spanish interpreter. The family dynamics are complex, they have competing needs. They live in a very small village in rural Wales and the children go to a Welsh speaking primary school. The village is fairly remote with no regular public transport. SU1 does not feel part of the local community, she feels that the language barrier and cultural differences prevents her inclusion.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WORDS 303</w:t>
      </w: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Default="00D27E6E" w:rsidP="00D27E6E">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r>
              <w:rPr>
                <w:sz w:val="24"/>
                <w:szCs w:val="24"/>
              </w:rPr>
              <w:t>ly</w:t>
            </w:r>
            <w:r w:rsidRPr="008B28E7">
              <w:rPr>
                <w:sz w:val="24"/>
                <w:szCs w:val="24"/>
              </w:rPr>
              <w:t xml:space="preserve"> sensitive practice, language</w:t>
            </w:r>
            <w:r>
              <w:rPr>
                <w:sz w:val="24"/>
                <w:szCs w:val="24"/>
              </w:rPr>
              <w:t xml:space="preserve"> needs including the “Active Offer” principle,</w:t>
            </w:r>
            <w:r w:rsidRPr="008B28E7">
              <w:rPr>
                <w:sz w:val="24"/>
                <w:szCs w:val="24"/>
              </w:rPr>
              <w:t xml:space="preserve"> and ethical practice.</w:t>
            </w:r>
          </w:p>
          <w:p w:rsidR="00D27E6E" w:rsidRPr="008B28E7" w:rsidRDefault="00D27E6E" w:rsidP="00D27E6E">
            <w:pPr>
              <w:jc w:val="both"/>
              <w:rPr>
                <w:sz w:val="24"/>
                <w:szCs w:val="24"/>
              </w:rPr>
            </w:pPr>
          </w:p>
          <w:p w:rsidR="00D27E6E" w:rsidRPr="008B28E7" w:rsidRDefault="00D27E6E" w:rsidP="00D27E6E">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D27E6E" w:rsidRPr="008B28E7" w:rsidRDefault="00D27E6E" w:rsidP="00D27E6E">
      <w:pPr>
        <w:jc w:val="both"/>
        <w:rPr>
          <w:b/>
          <w:sz w:val="24"/>
          <w:szCs w:val="24"/>
        </w:rPr>
      </w:pPr>
    </w:p>
    <w:p w:rsidR="00D27E6E" w:rsidRPr="00D27E6E" w:rsidRDefault="00D27E6E" w:rsidP="00D27E6E">
      <w:pPr>
        <w:rPr>
          <w:color w:val="auto"/>
          <w:sz w:val="24"/>
          <w:szCs w:val="24"/>
          <w:lang w:val="en"/>
        </w:rPr>
      </w:pPr>
      <w:r w:rsidRPr="00D27E6E">
        <w:rPr>
          <w:color w:val="auto"/>
          <w:sz w:val="24"/>
          <w:szCs w:val="24"/>
          <w:lang w:val="en"/>
        </w:rPr>
        <w:t xml:space="preserve">In my opinion, communication is central to good social work practice. Thompson describes communication as, ’not just the simple mechanical matter of passing information from one person to one or more others, but rather is a complex multilevel event’ (2011, p13). Within this observation, I was mindful that the role of communication coupled with the application of a person-centered approach was crucial in effectively carrying out good social work practice. In order to achieve this I spent time prior to the observation researching methods and skills in communication, particularly when working with an interpreter as this was the first time that I have done this. </w:t>
      </w:r>
    </w:p>
    <w:p w:rsidR="00D27E6E" w:rsidRPr="00D27E6E" w:rsidRDefault="00D27E6E" w:rsidP="00D27E6E">
      <w:pPr>
        <w:rPr>
          <w:color w:val="auto"/>
          <w:sz w:val="24"/>
          <w:szCs w:val="24"/>
          <w:lang w:val="en"/>
        </w:rPr>
      </w:pPr>
    </w:p>
    <w:p w:rsidR="00D27E6E" w:rsidRPr="00D27E6E" w:rsidRDefault="00D27E6E" w:rsidP="00D27E6E">
      <w:pPr>
        <w:rPr>
          <w:color w:val="auto"/>
          <w:sz w:val="24"/>
          <w:szCs w:val="24"/>
          <w:lang w:val="en"/>
        </w:rPr>
      </w:pPr>
      <w:r w:rsidRPr="00D27E6E">
        <w:rPr>
          <w:color w:val="auto"/>
          <w:sz w:val="24"/>
          <w:szCs w:val="24"/>
          <w:lang w:val="en"/>
        </w:rPr>
        <w:t xml:space="preserve">The Social Care Institute for Excellence argue that without the use of effective communication skills we are less able to find out what others are ‘thinking and feeling, provide the kind of information others need, interpret complex situations accurately or negotiate, mediate and intervene sensitively, authoritatively and appropriately’ (SCIE,2017). I gained consent for the observation and </w:t>
      </w:r>
      <w:r w:rsidRPr="00D27E6E">
        <w:rPr>
          <w:color w:val="auto"/>
          <w:sz w:val="24"/>
          <w:szCs w:val="24"/>
        </w:rPr>
        <w:t xml:space="preserve">upon arriving at SU1’s home, I introduced myself and my ‘observer’ and explained that the observation was purely based on my practice. I ensured that I was actively using positive body language and requested the ‘observer’ sat away from us in the background. I ensured that the interpreter was sat alongside SU1 and that I was in close enough proximity to SU1 to enable her to be able to hear me well and be fully exposed to my non-verbal communication. I found </w:t>
      </w:r>
      <w:proofErr w:type="spellStart"/>
      <w:r w:rsidRPr="00D27E6E">
        <w:rPr>
          <w:color w:val="auto"/>
          <w:sz w:val="24"/>
          <w:szCs w:val="24"/>
        </w:rPr>
        <w:t>Lishman’s</w:t>
      </w:r>
      <w:proofErr w:type="spellEnd"/>
      <w:r w:rsidRPr="00D27E6E">
        <w:rPr>
          <w:color w:val="auto"/>
          <w:sz w:val="24"/>
          <w:szCs w:val="24"/>
        </w:rPr>
        <w:t xml:space="preserve"> (2009) research into barriers to communication useful to plan my communication, this enabled me to also achieve </w:t>
      </w:r>
      <w:r w:rsidRPr="00D27E6E">
        <w:rPr>
          <w:color w:val="auto"/>
          <w:sz w:val="24"/>
          <w:szCs w:val="24"/>
          <w:lang w:val="en"/>
        </w:rPr>
        <w:t>a more person-centered approach.</w:t>
      </w:r>
    </w:p>
    <w:p w:rsidR="00D27E6E" w:rsidRPr="00D27E6E" w:rsidRDefault="00D27E6E" w:rsidP="00D27E6E">
      <w:pPr>
        <w:rPr>
          <w:color w:val="auto"/>
          <w:sz w:val="24"/>
          <w:szCs w:val="24"/>
          <w:lang w:val="en"/>
        </w:rPr>
      </w:pPr>
    </w:p>
    <w:p w:rsidR="00D27E6E" w:rsidRPr="00D27E6E" w:rsidRDefault="00D27E6E" w:rsidP="00D27E6E">
      <w:pPr>
        <w:rPr>
          <w:b/>
          <w:color w:val="auto"/>
          <w:sz w:val="24"/>
          <w:szCs w:val="24"/>
        </w:rPr>
      </w:pPr>
      <w:r w:rsidRPr="00D27E6E">
        <w:rPr>
          <w:color w:val="auto"/>
          <w:sz w:val="24"/>
          <w:szCs w:val="24"/>
          <w:lang w:val="en"/>
        </w:rPr>
        <w:t>Prior to the visit, I researched articles about the use of interpreters. I found Westlake and Jones’ article ‘</w:t>
      </w:r>
      <w:r w:rsidRPr="00D27E6E">
        <w:rPr>
          <w:color w:val="auto"/>
          <w:sz w:val="24"/>
          <w:szCs w:val="24"/>
        </w:rPr>
        <w:t xml:space="preserve">Breaking Down Language Barriers: A Practice-Near Study of Social Work Using Interpreters’ (2018) </w:t>
      </w:r>
      <w:r w:rsidRPr="00D27E6E">
        <w:rPr>
          <w:color w:val="auto"/>
          <w:sz w:val="24"/>
          <w:szCs w:val="24"/>
          <w:lang w:val="en"/>
        </w:rPr>
        <w:t xml:space="preserve">particularly useful in helping me to understand the advantages and disadvantages in using an interpreter. This research supported the development of my skill in communicating using an interpreter. I found the interpreter useful in that she enabled time for me to consider how I was going to respond. I decided to use simple language, with a structured plan of what I needed to communicate in a way in which I thought SU1 could absorb. I ensured that I directed speech towards SU1, despite the interpreter being sat beside her. I found this difficult at times, as it is not a natural way within conversation to not look at the person with whom you are speaking with. I paraphrased and used open ended questions to maximize SU1’s participation and to ensure that she understood what I was saying. I ensured that my communication style was sensitive, yet succinct. I was respectful of working within the National Occupational Standards in relation to promoting SU1’s dignity and enabling her to express her wishes and feelings (SCW, 2020). </w:t>
      </w:r>
    </w:p>
    <w:p w:rsidR="00D27E6E" w:rsidRPr="00D27E6E" w:rsidRDefault="00D27E6E" w:rsidP="00D27E6E">
      <w:pPr>
        <w:rPr>
          <w:color w:val="auto"/>
          <w:sz w:val="24"/>
          <w:szCs w:val="24"/>
          <w:lang w:val="en"/>
        </w:rPr>
      </w:pPr>
    </w:p>
    <w:p w:rsidR="00D27E6E" w:rsidRPr="00D27E6E" w:rsidRDefault="00D27E6E" w:rsidP="00D27E6E">
      <w:pPr>
        <w:rPr>
          <w:color w:val="auto"/>
          <w:sz w:val="24"/>
          <w:szCs w:val="24"/>
        </w:rPr>
      </w:pPr>
      <w:r w:rsidRPr="00D27E6E">
        <w:rPr>
          <w:color w:val="auto"/>
          <w:sz w:val="24"/>
          <w:szCs w:val="24"/>
        </w:rPr>
        <w:lastRenderedPageBreak/>
        <w:t xml:space="preserve">Reflecting on my communication skills during this observation and thinking about the use of an interpreter has given me a deeper acknowledgement of how important non-verbal communication is in practice. Albert </w:t>
      </w:r>
      <w:proofErr w:type="spellStart"/>
      <w:r w:rsidRPr="00D27E6E">
        <w:rPr>
          <w:color w:val="auto"/>
          <w:sz w:val="24"/>
          <w:szCs w:val="24"/>
        </w:rPr>
        <w:t>Mehrabian’s</w:t>
      </w:r>
      <w:proofErr w:type="spellEnd"/>
      <w:r w:rsidRPr="00D27E6E">
        <w:rPr>
          <w:color w:val="auto"/>
          <w:sz w:val="24"/>
          <w:szCs w:val="24"/>
        </w:rPr>
        <w:t xml:space="preserve"> theory that communication is made up of 7% verbal, 38 % tone and 55% visual formula is insightful and has consolidated what I felt at the time. I have since actively considered this theory by being conscious of my appearance, body language and tone of voice within my current practice. This theory has also helped me understand and appreciate that communication is not just about ‘talking and listening’; as </w:t>
      </w:r>
      <w:proofErr w:type="spellStart"/>
      <w:r w:rsidRPr="00D27E6E">
        <w:rPr>
          <w:color w:val="auto"/>
          <w:sz w:val="24"/>
          <w:szCs w:val="24"/>
        </w:rPr>
        <w:t>Mehrabian</w:t>
      </w:r>
      <w:proofErr w:type="spellEnd"/>
      <w:r w:rsidRPr="00D27E6E">
        <w:rPr>
          <w:color w:val="auto"/>
          <w:sz w:val="24"/>
          <w:szCs w:val="24"/>
        </w:rPr>
        <w:t xml:space="preserve"> argues that observing and reflection allows more opportunity to gauge a better understanding of the context in which we practice (</w:t>
      </w:r>
      <w:proofErr w:type="spellStart"/>
      <w:r w:rsidRPr="00D27E6E">
        <w:rPr>
          <w:color w:val="auto"/>
          <w:sz w:val="24"/>
          <w:szCs w:val="24"/>
        </w:rPr>
        <w:t>Mehrabian</w:t>
      </w:r>
      <w:proofErr w:type="spellEnd"/>
      <w:r w:rsidRPr="00D27E6E">
        <w:rPr>
          <w:color w:val="auto"/>
          <w:sz w:val="24"/>
          <w:szCs w:val="24"/>
        </w:rPr>
        <w:t>, 1981).</w:t>
      </w:r>
    </w:p>
    <w:p w:rsidR="00D27E6E" w:rsidRPr="00D27E6E" w:rsidRDefault="00D27E6E" w:rsidP="00D27E6E">
      <w:pPr>
        <w:rPr>
          <w:color w:val="auto"/>
          <w:sz w:val="24"/>
          <w:szCs w:val="24"/>
        </w:rPr>
      </w:pPr>
    </w:p>
    <w:p w:rsidR="00D27E6E" w:rsidRPr="00D27E6E" w:rsidRDefault="00D27E6E" w:rsidP="00D27E6E">
      <w:pPr>
        <w:rPr>
          <w:bCs/>
          <w:color w:val="auto"/>
          <w:sz w:val="24"/>
          <w:szCs w:val="24"/>
          <w:lang w:val="en"/>
        </w:rPr>
      </w:pPr>
      <w:r w:rsidRPr="00D27E6E">
        <w:rPr>
          <w:color w:val="auto"/>
          <w:sz w:val="24"/>
          <w:szCs w:val="24"/>
          <w:lang w:val="en"/>
        </w:rPr>
        <w:t xml:space="preserve">Egan’s communication model demonstrates how communication skills can be integrated into a framework for interviewing, through stages. </w:t>
      </w:r>
      <w:r w:rsidRPr="00D27E6E">
        <w:rPr>
          <w:bCs/>
          <w:color w:val="auto"/>
          <w:sz w:val="24"/>
          <w:szCs w:val="24"/>
          <w:lang w:val="en"/>
        </w:rPr>
        <w:t xml:space="preserve">I believe that in adopting a non-critical acceptance SU1 may have felt more able to express herself. I actively listened and communicated, I hope, with empathetic understanding and appreciation. On reflection, I think that this stage allowed us to build a good working relationship, one in which reduced the power imbalance. I think that SU1 felt able to trust me which smoothed the way for the next stage. SU1 was able to begin to see her situation from an alternative perspective, she was able to acknowledge her own strengths and </w:t>
      </w:r>
      <w:proofErr w:type="spellStart"/>
      <w:r w:rsidRPr="00D27E6E">
        <w:rPr>
          <w:bCs/>
          <w:color w:val="auto"/>
          <w:sz w:val="24"/>
          <w:szCs w:val="24"/>
          <w:lang w:val="en"/>
        </w:rPr>
        <w:t>realise</w:t>
      </w:r>
      <w:proofErr w:type="spellEnd"/>
      <w:r w:rsidRPr="00D27E6E">
        <w:rPr>
          <w:bCs/>
          <w:color w:val="auto"/>
          <w:sz w:val="24"/>
          <w:szCs w:val="24"/>
          <w:lang w:val="en"/>
        </w:rPr>
        <w:t xml:space="preserve"> how she could build on her existing successes and networks. The effectiveness of this framework enabled me to support her in ensuring that I understood her cultural differences and how they impact on her perception and the perceptions of those around her. The last stage of Egan’s model paved the way for SU1 in </w:t>
      </w:r>
      <w:proofErr w:type="spellStart"/>
      <w:r w:rsidRPr="00D27E6E">
        <w:rPr>
          <w:bCs/>
          <w:color w:val="auto"/>
          <w:sz w:val="24"/>
          <w:szCs w:val="24"/>
          <w:lang w:val="en"/>
        </w:rPr>
        <w:t>realising</w:t>
      </w:r>
      <w:proofErr w:type="spellEnd"/>
      <w:r w:rsidRPr="00D27E6E">
        <w:rPr>
          <w:bCs/>
          <w:color w:val="auto"/>
          <w:sz w:val="24"/>
          <w:szCs w:val="24"/>
          <w:lang w:val="en"/>
        </w:rPr>
        <w:t xml:space="preserve"> for herself ways in which she could compromise. It was during these stages I was able to </w:t>
      </w:r>
      <w:proofErr w:type="spellStart"/>
      <w:r w:rsidRPr="00D27E6E">
        <w:rPr>
          <w:bCs/>
          <w:color w:val="auto"/>
          <w:sz w:val="24"/>
          <w:szCs w:val="24"/>
          <w:lang w:val="en"/>
        </w:rPr>
        <w:t>analyse</w:t>
      </w:r>
      <w:proofErr w:type="spellEnd"/>
      <w:r w:rsidRPr="00D27E6E">
        <w:rPr>
          <w:bCs/>
          <w:color w:val="auto"/>
          <w:sz w:val="24"/>
          <w:szCs w:val="24"/>
          <w:lang w:val="en"/>
        </w:rPr>
        <w:t xml:space="preserve"> and evaluate my on-going assessment and information which would be required for any safety plans (Egan, 2007).By using this model, I felt confident that I had been able to use a person-centered approach, which was primarily strengths based. The Signs of Safety model enabled me to fully put SU1 at the </w:t>
      </w:r>
      <w:proofErr w:type="spellStart"/>
      <w:r w:rsidRPr="00D27E6E">
        <w:rPr>
          <w:bCs/>
          <w:color w:val="auto"/>
          <w:sz w:val="24"/>
          <w:szCs w:val="24"/>
          <w:lang w:val="en"/>
        </w:rPr>
        <w:t>centre</w:t>
      </w:r>
      <w:proofErr w:type="spellEnd"/>
      <w:r w:rsidRPr="00D27E6E">
        <w:rPr>
          <w:bCs/>
          <w:color w:val="auto"/>
          <w:sz w:val="24"/>
          <w:szCs w:val="24"/>
          <w:lang w:val="en"/>
        </w:rPr>
        <w:t xml:space="preserve"> of the intervention and focus on what was working well, working towards establishing the concerns in order to develop her safety plan in full consultation with her </w:t>
      </w:r>
      <w:r w:rsidRPr="00D27E6E">
        <w:rPr>
          <w:color w:val="auto"/>
          <w:sz w:val="24"/>
          <w:szCs w:val="24"/>
        </w:rPr>
        <w:t xml:space="preserve">(Edwards &amp; </w:t>
      </w:r>
      <w:proofErr w:type="spellStart"/>
      <w:r w:rsidRPr="00D27E6E">
        <w:rPr>
          <w:color w:val="auto"/>
          <w:sz w:val="24"/>
          <w:szCs w:val="24"/>
        </w:rPr>
        <w:t>Turnell</w:t>
      </w:r>
      <w:proofErr w:type="spellEnd"/>
      <w:r w:rsidRPr="00D27E6E">
        <w:rPr>
          <w:color w:val="auto"/>
          <w:sz w:val="24"/>
          <w:szCs w:val="24"/>
        </w:rPr>
        <w:t>, 1999).</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sidRPr="00D27E6E">
        <w:rPr>
          <w:bCs/>
          <w:color w:val="auto"/>
          <w:sz w:val="24"/>
          <w:szCs w:val="24"/>
          <w:lang w:val="en"/>
        </w:rPr>
        <w:t>In comparison to other Nations, Wales has a unique legislative context in regard to language. It is expected that the Welsh language should be equally as visible as the English language. The Welsh Language Strategic Framework ‘More than just words….’ Was launched in 2012, following the Welsh Language (Wales) Measure 2011. The emphasis is on the provision of a framework to strengthen Welsh language services within health, social services and social care. The framework acknowledges that many citizens are only able to communicate effectively in their care through the medium of Welsh (Welsh Government</w:t>
      </w:r>
      <w:r w:rsidRPr="00D27E6E">
        <w:rPr>
          <w:color w:val="auto"/>
          <w:sz w:val="24"/>
          <w:szCs w:val="24"/>
        </w:rPr>
        <w:t>, 2015</w:t>
      </w:r>
      <w:r w:rsidRPr="00D27E6E">
        <w:rPr>
          <w:bCs/>
          <w:color w:val="auto"/>
          <w:sz w:val="24"/>
          <w:szCs w:val="24"/>
          <w:lang w:val="en"/>
        </w:rPr>
        <w:t xml:space="preserve">). I was aware that the majority of the population of where SU1 lives are Welsh speakers. According to the Census (2011), this equated to approximately half of the population in SU1’s community. Had I not have known SU1’s language preference I would have implemented the ‘Active Offer’ during my initial involvement. I understand that this ensures that Welsh speaking service users’ needs are understood and that they are treated with respect and dignity. Nevertheless, I applied the principles of the ‘Active Offer’ with SU1 by commissioning an interpreter. On reflection, I do not believe the intervention would have been effective without this as SU1 has very limited English and would have been unable to fully participate and she may have felt that her dignity was compromised. In relation to the Welsh language, it became clear that this was a language barrier for SU1 and indeed a cultural barrier. I came to appreciate how oppressed she felt </w:t>
      </w:r>
      <w:r w:rsidRPr="00D27E6E">
        <w:rPr>
          <w:bCs/>
          <w:color w:val="auto"/>
          <w:sz w:val="24"/>
          <w:szCs w:val="24"/>
          <w:lang w:val="en"/>
        </w:rPr>
        <w:lastRenderedPageBreak/>
        <w:t>about not being able to speak in her native language, this consolidated my appreciation of how important the use of the ‘Active offer’ is in working effectively with all service users (Welsh Government,2015).</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sidRPr="00D27E6E">
        <w:rPr>
          <w:bCs/>
          <w:color w:val="auto"/>
          <w:sz w:val="24"/>
          <w:szCs w:val="24"/>
          <w:lang w:val="en"/>
        </w:rPr>
        <w:t xml:space="preserve">Reflecting on this observation has helped my progression into becoming a more critical practitioner. This observation led me to reflect on my personal values and how they could impact on my professional values, thus developing my thinking around ethical practice and what that entails. </w:t>
      </w:r>
      <w:proofErr w:type="spellStart"/>
      <w:r w:rsidRPr="00D27E6E">
        <w:rPr>
          <w:bCs/>
          <w:color w:val="auto"/>
          <w:sz w:val="24"/>
          <w:szCs w:val="24"/>
          <w:lang w:val="en"/>
        </w:rPr>
        <w:t>Eby</w:t>
      </w:r>
      <w:proofErr w:type="spellEnd"/>
      <w:r w:rsidRPr="00D27E6E">
        <w:rPr>
          <w:bCs/>
          <w:color w:val="auto"/>
          <w:sz w:val="24"/>
          <w:szCs w:val="24"/>
          <w:lang w:val="en"/>
        </w:rPr>
        <w:t xml:space="preserve"> and Gallagher (2008) argue that values should not be considered in a superficial and unreflective manner, they argue that ethical frameworks can be helpful in decision making and professional judgement. These perspectives have developed an awareness of my need to be more culturally competent and reflective within my practice. I think that I have consolidated my learning around the link between communication and social work values which is embedded in the Code of Professional Practice for Social Work (2017). </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Pr>
          <w:bCs/>
          <w:color w:val="auto"/>
          <w:sz w:val="24"/>
          <w:szCs w:val="24"/>
          <w:lang w:val="en"/>
        </w:rPr>
        <w:t>WORDS 1266</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Pr>
          <w:b/>
          <w:sz w:val="24"/>
          <w:szCs w:val="24"/>
        </w:rPr>
        <w:br w:type="page"/>
      </w: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D27E6E" w:rsidRPr="008B28E7" w:rsidRDefault="00D27E6E" w:rsidP="00D27E6E">
      <w:pPr>
        <w:jc w:val="both"/>
        <w:rPr>
          <w:sz w:val="24"/>
          <w:szCs w:val="24"/>
        </w:rPr>
      </w:pPr>
    </w:p>
    <w:p w:rsidR="00D27E6E" w:rsidRDefault="00D27E6E" w:rsidP="00D27E6E">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D27E6E"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D27E6E" w:rsidRPr="008B28E7" w:rsidRDefault="00D27E6E" w:rsidP="00D27E6E">
      <w:pPr>
        <w:jc w:val="both"/>
        <w:rPr>
          <w:sz w:val="24"/>
          <w:szCs w:val="24"/>
        </w:rPr>
      </w:pPr>
    </w:p>
    <w:p w:rsidR="00D27E6E" w:rsidRPr="008B28E7" w:rsidRDefault="00D27E6E" w:rsidP="00D27E6E">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D27E6E"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27E6E" w:rsidRPr="008B28E7" w:rsidTr="00D27E6E">
        <w:tc>
          <w:tcPr>
            <w:tcW w:w="2718" w:type="dxa"/>
            <w:shd w:val="clear" w:color="auto" w:fill="auto"/>
          </w:tcPr>
          <w:p w:rsidR="00D27E6E" w:rsidRPr="00C7108B" w:rsidRDefault="00D27E6E" w:rsidP="00D27E6E">
            <w:pPr>
              <w:rPr>
                <w:sz w:val="22"/>
                <w:szCs w:val="22"/>
              </w:rPr>
            </w:pPr>
            <w:r w:rsidRPr="00C7108B">
              <w:rPr>
                <w:sz w:val="22"/>
                <w:szCs w:val="22"/>
              </w:rPr>
              <w:t>Was the social worker on time?  Or if de</w:t>
            </w:r>
            <w:r>
              <w:rPr>
                <w:sz w:val="22"/>
                <w:szCs w:val="22"/>
              </w:rPr>
              <w:t>layed did he or she contact you?</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Default="00D27E6E" w:rsidP="00D27E6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D27E6E" w:rsidRPr="00C7108B" w:rsidRDefault="00D27E6E" w:rsidP="00D27E6E">
            <w:pPr>
              <w:rPr>
                <w:sz w:val="22"/>
                <w:szCs w:val="22"/>
              </w:rPr>
            </w:pPr>
            <w:r>
              <w:rPr>
                <w:sz w:val="22"/>
                <w:szCs w:val="22"/>
              </w:rPr>
              <w:t>Did they explain why they were being observed?</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 she phoned</w:t>
            </w:r>
          </w:p>
        </w:tc>
      </w:tr>
      <w:tr w:rsidR="00D27E6E" w:rsidRPr="008B28E7" w:rsidTr="00D27E6E">
        <w:tc>
          <w:tcPr>
            <w:tcW w:w="2718" w:type="dxa"/>
            <w:shd w:val="clear" w:color="auto" w:fill="auto"/>
          </w:tcPr>
          <w:p w:rsidR="00D27E6E" w:rsidRDefault="00D27E6E" w:rsidP="00D27E6E">
            <w:pPr>
              <w:rPr>
                <w:sz w:val="22"/>
                <w:szCs w:val="22"/>
              </w:rPr>
            </w:pPr>
            <w:r w:rsidRPr="00C7108B">
              <w:rPr>
                <w:sz w:val="22"/>
                <w:szCs w:val="22"/>
              </w:rPr>
              <w:t>Were you clear why the social worker met with you today?</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 it was about the abuse that has been happening</w:t>
            </w:r>
          </w:p>
        </w:tc>
      </w:tr>
      <w:tr w:rsidR="00D27E6E" w:rsidRPr="008B28E7" w:rsidTr="00D27E6E">
        <w:tc>
          <w:tcPr>
            <w:tcW w:w="2718" w:type="dxa"/>
            <w:shd w:val="clear" w:color="auto" w:fill="auto"/>
          </w:tcPr>
          <w:p w:rsidR="00D27E6E" w:rsidRPr="00C7108B" w:rsidRDefault="00D27E6E" w:rsidP="00D27E6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Default="00D27E6E" w:rsidP="00D27E6E">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D27E6E" w:rsidRPr="00C7108B" w:rsidRDefault="00D27E6E" w:rsidP="00D27E6E">
            <w:pPr>
              <w:tabs>
                <w:tab w:val="left" w:pos="851"/>
              </w:tabs>
              <w:overflowPunct/>
              <w:autoSpaceDE/>
              <w:autoSpaceDN/>
              <w:adjustRightInd/>
              <w:ind w:hanging="142"/>
              <w:textAlignment w:val="auto"/>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 xml:space="preserve">Yes very much </w:t>
            </w:r>
          </w:p>
        </w:tc>
      </w:tr>
      <w:tr w:rsidR="00D27E6E" w:rsidRPr="008B28E7" w:rsidTr="00D27E6E">
        <w:tc>
          <w:tcPr>
            <w:tcW w:w="2718" w:type="dxa"/>
            <w:shd w:val="clear" w:color="auto" w:fill="auto"/>
          </w:tcPr>
          <w:p w:rsidR="00D27E6E" w:rsidRDefault="00D27E6E" w:rsidP="00D27E6E">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D27E6E" w:rsidRDefault="00D27E6E" w:rsidP="00D27E6E">
            <w:pPr>
              <w:tabs>
                <w:tab w:val="left" w:pos="-142"/>
                <w:tab w:val="left" w:pos="851"/>
              </w:tabs>
              <w:overflowPunct/>
              <w:autoSpaceDE/>
              <w:autoSpaceDN/>
              <w:adjustRightInd/>
              <w:textAlignment w:val="auto"/>
              <w:rPr>
                <w:sz w:val="22"/>
                <w:szCs w:val="22"/>
              </w:rPr>
            </w:pPr>
            <w:r>
              <w:rPr>
                <w:sz w:val="22"/>
                <w:szCs w:val="22"/>
              </w:rPr>
              <w:t xml:space="preserve">Did you understand the language they used? Do you feel you have benefitted from formal </w:t>
            </w:r>
            <w:r>
              <w:rPr>
                <w:sz w:val="22"/>
                <w:szCs w:val="22"/>
              </w:rPr>
              <w:lastRenderedPageBreak/>
              <w:t xml:space="preserve">translation during you </w:t>
            </w:r>
            <w:proofErr w:type="spellStart"/>
            <w:r>
              <w:rPr>
                <w:sz w:val="22"/>
                <w:szCs w:val="22"/>
              </w:rPr>
              <w:t>rmeetings</w:t>
            </w:r>
            <w:proofErr w:type="spellEnd"/>
            <w:r>
              <w:rPr>
                <w:sz w:val="22"/>
                <w:szCs w:val="22"/>
              </w:rPr>
              <w:t xml:space="preserve"> with the social worker?</w:t>
            </w:r>
          </w:p>
          <w:p w:rsidR="00D27E6E" w:rsidRPr="00C7108B" w:rsidRDefault="00D27E6E" w:rsidP="00D27E6E">
            <w:pPr>
              <w:tabs>
                <w:tab w:val="left" w:pos="-142"/>
                <w:tab w:val="left" w:pos="851"/>
              </w:tabs>
              <w:overflowPunct/>
              <w:autoSpaceDE/>
              <w:autoSpaceDN/>
              <w:adjustRightInd/>
              <w:textAlignment w:val="auto"/>
              <w:rPr>
                <w:sz w:val="22"/>
                <w:szCs w:val="22"/>
              </w:rPr>
            </w:pPr>
          </w:p>
        </w:tc>
        <w:tc>
          <w:tcPr>
            <w:tcW w:w="7470" w:type="dxa"/>
            <w:shd w:val="clear" w:color="auto" w:fill="auto"/>
          </w:tcPr>
          <w:p w:rsidR="00D27E6E" w:rsidRDefault="00D27E6E" w:rsidP="00D27E6E">
            <w:pPr>
              <w:jc w:val="both"/>
              <w:rPr>
                <w:sz w:val="24"/>
                <w:szCs w:val="24"/>
              </w:rPr>
            </w:pPr>
            <w:r>
              <w:rPr>
                <w:sz w:val="24"/>
                <w:szCs w:val="24"/>
              </w:rPr>
              <w:lastRenderedPageBreak/>
              <w:t>Yes</w:t>
            </w: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r>
              <w:rPr>
                <w:sz w:val="24"/>
                <w:szCs w:val="24"/>
              </w:rPr>
              <w:t>Yes it is helpful</w:t>
            </w:r>
          </w:p>
        </w:tc>
      </w:tr>
    </w:tbl>
    <w:p w:rsidR="00D27E6E" w:rsidRDefault="00D27E6E" w:rsidP="00D27E6E">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27E6E" w:rsidRPr="008B28E7" w:rsidTr="00D27E6E">
        <w:tc>
          <w:tcPr>
            <w:tcW w:w="2718" w:type="dxa"/>
            <w:shd w:val="clear" w:color="auto" w:fill="auto"/>
          </w:tcPr>
          <w:p w:rsidR="00D27E6E" w:rsidRDefault="00D27E6E" w:rsidP="00D27E6E">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27E6E" w:rsidRPr="00C7108B" w:rsidRDefault="00D27E6E" w:rsidP="00D27E6E">
            <w:pPr>
              <w:tabs>
                <w:tab w:val="left" w:pos="-142"/>
                <w:tab w:val="left" w:pos="851"/>
              </w:tabs>
              <w:overflowPunct/>
              <w:autoSpaceDE/>
              <w:autoSpaceDN/>
              <w:adjustRightInd/>
              <w:textAlignment w:val="auto"/>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Pr="00C7108B" w:rsidRDefault="00D27E6E" w:rsidP="00D27E6E">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27E6E" w:rsidRPr="008B28E7" w:rsidRDefault="00D27E6E" w:rsidP="00D27E6E">
            <w:pPr>
              <w:jc w:val="both"/>
              <w:rPr>
                <w:sz w:val="24"/>
                <w:szCs w:val="24"/>
              </w:rPr>
            </w:pPr>
            <w:r>
              <w:rPr>
                <w:sz w:val="24"/>
                <w:szCs w:val="24"/>
              </w:rPr>
              <w:t>No</w:t>
            </w:r>
          </w:p>
        </w:tc>
      </w:tr>
    </w:tbl>
    <w:p w:rsidR="00D27E6E" w:rsidRDefault="00D27E6E" w:rsidP="00D27E6E">
      <w:pPr>
        <w:ind w:left="720"/>
        <w:jc w:val="center"/>
        <w:rPr>
          <w:b/>
          <w:sz w:val="24"/>
          <w:szCs w:val="24"/>
        </w:rPr>
      </w:pPr>
      <w:r>
        <w:rPr>
          <w:b/>
          <w:sz w:val="24"/>
          <w:szCs w:val="24"/>
        </w:rPr>
        <w:br w:type="page"/>
      </w:r>
      <w:r>
        <w:rPr>
          <w:b/>
          <w:sz w:val="24"/>
          <w:szCs w:val="24"/>
        </w:rPr>
        <w:lastRenderedPageBreak/>
        <w:t xml:space="preserve">Section 4 </w:t>
      </w:r>
    </w:p>
    <w:p w:rsidR="00D27E6E" w:rsidRDefault="00D27E6E" w:rsidP="00D27E6E">
      <w:pPr>
        <w:rPr>
          <w:b/>
          <w:sz w:val="24"/>
          <w:szCs w:val="24"/>
        </w:rPr>
      </w:pPr>
    </w:p>
    <w:p w:rsidR="00D27E6E" w:rsidRPr="00E559CE" w:rsidRDefault="00D27E6E" w:rsidP="00D27E6E">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D27E6E" w:rsidRDefault="00D27E6E" w:rsidP="00D27E6E">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D27E6E" w:rsidRDefault="00D27E6E" w:rsidP="00D27E6E">
            <w:pPr>
              <w:jc w:val="both"/>
              <w:rPr>
                <w:sz w:val="24"/>
                <w:szCs w:val="24"/>
              </w:rPr>
            </w:pPr>
          </w:p>
          <w:p w:rsidR="00D27E6E" w:rsidRPr="008B28E7" w:rsidRDefault="00D27E6E" w:rsidP="00D27E6E">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D27E6E" w:rsidRPr="00C937FB" w:rsidRDefault="00D27E6E" w:rsidP="00D27E6E">
      <w:pPr>
        <w:rPr>
          <w:i/>
          <w:sz w:val="24"/>
          <w:szCs w:val="24"/>
        </w:rPr>
      </w:pPr>
    </w:p>
    <w:p w:rsidR="00D27E6E" w:rsidRPr="00D27E6E" w:rsidRDefault="00D27E6E" w:rsidP="00D27E6E">
      <w:pPr>
        <w:rPr>
          <w:color w:val="auto"/>
          <w:sz w:val="24"/>
          <w:szCs w:val="24"/>
        </w:rPr>
      </w:pPr>
      <w:r w:rsidRPr="00D27E6E">
        <w:rPr>
          <w:color w:val="auto"/>
          <w:sz w:val="24"/>
          <w:szCs w:val="24"/>
        </w:rPr>
        <w:t xml:space="preserve">My chosen case study involves an 85 year old female who is experiencing mental and physical ill health. SU2 is a retired headmistress, she has led a fiercely independent life having never married. SU2 lives in a large property in rural Wales, she has a lodger (SU3) and a cousin (SU4). Concerns about SU2’s mental health and physical well-being were raised by her neighbour, additionally the Police contacted Social Services with similar concerns.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In Wales, legislation specific to safeguarding adults is the Social Services and Well-being (Wales) Act 2014. Part 7 of SSWBA14 addresses safeguarding along with the statutory codes of practice. The SSWBA14 builds on the white paper: Sustainable Social Services for Wales: A Framework for Action, and aims to strengthen safeguarding. The SSWBA14 emphasises the need for practitioners to consider legislation, regulations, guidance, policy and procedure in relation to safeguarding (Social Care Wales, 2019). The Wales Interim Policy and Procedures for the protection of Vulnerable Adults from Abuse 2013 is due to be replaced by the Wales Safeguarding Procedures 2019. These procedures aim to build on and clarify the statutory guidance of SSWBA14 and specifically Working Together to Safeguard People volumes 1, 4, 5 and 6. The Wales Safeguarding Procedures 2019 have been developed by the Wales Safeguarding procedures Project Board, which is made up of members of and practitioners of the regional Safeguarding Boards. These procedures will ensure that safeguarding practice accurately reflects statutory guidance and is standardised across all agencies and all of Wales (WSP, 2019). Safeguarding is not only concerned with protecting adults and children from abuse and neglect, it is also about educating people who are involved with their care and support to recognise the signs and dangers (Social Care Wales, 2019). Practitioners working within the SSWBA14 must also have regard to other overarching duties, such as the United Nations Principles for older persons, rights of disabled people and public authorities must not act in a way that is incompatible with the rights under the European Convention on Human Rights (Social Care Wales, 2019).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Section 197 of the SSWBA14 states that ‘abuse’ means physical, sexual, psychological, emotional or financial abuse (and includes abuse taking place in any setting, whether in a private dwelling, an institution or any other place), and financial abuse. ‘Neglect’ means a failure to meet a person’s basic physical, emotional, social or psychological needs, which is likely to result in an impairment of the person’s well-being. Section 126 of Part 7 defines an </w:t>
      </w:r>
      <w:r w:rsidRPr="00D27E6E">
        <w:rPr>
          <w:color w:val="auto"/>
          <w:sz w:val="24"/>
          <w:szCs w:val="24"/>
        </w:rPr>
        <w:lastRenderedPageBreak/>
        <w:t xml:space="preserve">‘adult at risk’ as an adult who (a) is experiencing or is at risk of abuse or neglect, (b) has needs for care and support (whether or not the authority is meeting any of those needs), and (c) as a result of those needs is unable to protect himself or herself against the abuse or neglect or the risk of it (SSWBA14).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Upon receipt of referral, SU2 was deemed to be an ‘adult at risk’, she was deemed to be at risk of abuse and neglect, she had needs for care and support and as a result of her needs would be unlikely to be able to protect herself against the risk of abuse and neglect. As such, the local authority was required to make further enquiries and decide whether or not any action should be taken (SSWBA14).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Following the information recorded within the referral, I was aware that SU2 may be physically and mentally unwell and carefully planned my approach. I decided to arrange to visit her, jointly with the District Nurse as I was aware that she was already known to SU2. My aim was to introduce myself, my role and responsibilities, with the view of informing and explaining to SU2 why I had become involved. I was aware that SU2 had not sought support, thus realising that I may have been met with hostility and distress. Sadly, this was the case. SU2 did not appreciate my involvement, she did not fully understand why she needed a Social Worker and was reluctant to discuss her situation. I reflected on the situation using </w:t>
      </w:r>
      <w:proofErr w:type="spellStart"/>
      <w:r w:rsidRPr="00D27E6E">
        <w:rPr>
          <w:color w:val="auto"/>
          <w:sz w:val="24"/>
          <w:szCs w:val="24"/>
        </w:rPr>
        <w:t>Schon’s</w:t>
      </w:r>
      <w:proofErr w:type="spellEnd"/>
      <w:r w:rsidRPr="00D27E6E">
        <w:rPr>
          <w:color w:val="auto"/>
          <w:sz w:val="24"/>
          <w:szCs w:val="24"/>
        </w:rPr>
        <w:t xml:space="preserve"> (1983) ‘reflection in action, reflection on action’ model and decided that I needed to form a trusting working relationship with SU2, one in which empowered her and was fundamentally person-centred. </w:t>
      </w:r>
      <w:proofErr w:type="spellStart"/>
      <w:r w:rsidRPr="00D27E6E">
        <w:rPr>
          <w:color w:val="auto"/>
          <w:sz w:val="24"/>
          <w:szCs w:val="24"/>
        </w:rPr>
        <w:t>Dominelli</w:t>
      </w:r>
      <w:proofErr w:type="spellEnd"/>
      <w:r w:rsidRPr="00D27E6E">
        <w:rPr>
          <w:color w:val="auto"/>
          <w:sz w:val="24"/>
          <w:szCs w:val="24"/>
        </w:rPr>
        <w:t xml:space="preserve"> (2002) argues that at times social workers face potential conflicts within organisational structures whilst actively empowering and advocating on behalf of the service user. This led me to consider how the power imbalance was influencing my social work relationship with SU2 and what I could do to attempt to address this, considering the Code of Professional Practice for Social Care (2017). </w:t>
      </w:r>
    </w:p>
    <w:p w:rsidR="00D27E6E" w:rsidRPr="00D27E6E" w:rsidRDefault="00D27E6E" w:rsidP="00D27E6E">
      <w:pPr>
        <w:rPr>
          <w:color w:val="auto"/>
          <w:sz w:val="24"/>
          <w:szCs w:val="24"/>
        </w:rPr>
      </w:pPr>
    </w:p>
    <w:p w:rsidR="00D27E6E" w:rsidRPr="00D27E6E" w:rsidRDefault="00D27E6E" w:rsidP="00D27E6E">
      <w:pPr>
        <w:rPr>
          <w:color w:val="auto"/>
          <w:sz w:val="24"/>
          <w:szCs w:val="24"/>
          <w:shd w:val="clear" w:color="auto" w:fill="FFFFFF"/>
        </w:rPr>
      </w:pPr>
      <w:r w:rsidRPr="00D27E6E">
        <w:rPr>
          <w:color w:val="auto"/>
          <w:sz w:val="24"/>
          <w:szCs w:val="24"/>
        </w:rPr>
        <w:t xml:space="preserve">I began by visiting for short periods regularly, this enabled me to build a picture of her day-to-day life, whilst capturing her wishes and feelings. I found using a person-centred approach to work with SU2 through the life perspective theory beneficial to ensure I was treating SU2 with dignity, compassion and respect (BASW, 2020). Talking about her life history helped SU2 to feel more in control, I found that by showing genuine interest and empathy she began to open up more freely. Life perspective theory enabled me to better understand her life trajectory and factors that have previously influenced her and I was able to analyse SU2’s life within structural, social and cultural contexts (World Health Organisation, 2018). Over time SU2 no longer felt threatened by my presence and throughout the assessment period I was able to support SU2 to identify what was important to her and ways in which she could reduce the barriers in achieving this. Carl Rogers believed </w:t>
      </w:r>
      <w:r w:rsidRPr="00D27E6E">
        <w:rPr>
          <w:color w:val="auto"/>
          <w:sz w:val="24"/>
          <w:szCs w:val="24"/>
          <w:shd w:val="clear" w:color="auto" w:fill="FFFFFF"/>
        </w:rPr>
        <w:t>that ‘all of us have the power to find the best solutions for ourselves and make appropriate changes in our lives’. It can be argued that Person-centred therapy is a movement away from the therapist’s traditional role, as an ‘expert and </w:t>
      </w:r>
      <w:hyperlink r:id="rId6" w:tooltip="Psychology Today looks at leader" w:history="1">
        <w:r w:rsidRPr="00D27E6E">
          <w:rPr>
            <w:rStyle w:val="Hyperlink"/>
            <w:color w:val="auto"/>
            <w:sz w:val="24"/>
            <w:szCs w:val="24"/>
            <w:u w:val="none"/>
            <w:shd w:val="clear" w:color="auto" w:fill="FFFFFF"/>
          </w:rPr>
          <w:t>leader</w:t>
        </w:r>
      </w:hyperlink>
      <w:r w:rsidRPr="00D27E6E">
        <w:rPr>
          <w:color w:val="auto"/>
          <w:sz w:val="24"/>
          <w:szCs w:val="24"/>
        </w:rPr>
        <w:t>’</w:t>
      </w:r>
      <w:r w:rsidRPr="00D27E6E">
        <w:rPr>
          <w:color w:val="auto"/>
          <w:sz w:val="24"/>
          <w:szCs w:val="24"/>
          <w:shd w:val="clear" w:color="auto" w:fill="FFFFFF"/>
        </w:rPr>
        <w:t xml:space="preserve">, toward a process that allows people to use their own understanding of their experiences as a platform for change (Psychology Today, 2020). This approach enabled me to co-produce with SU2, as expected within SSWBA14 and the Code of Professional Practice for Social Care (2017).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 xml:space="preserve">During a visit, SU2 alleged that her lodger had stolen her gold watch and bought a new car with it. I had reasonable cause to suspect SU2 was at risk of financial abuse and in accordance with my duty to report (s128 SSWBA14), I discussed my concern with SU2 and she did not wish for me to act. I explained to her that I had a duty to report and that I would need to override her consent as a crime may have been committed (financial abuse) and I suspected that she may have been coerced (psychological abuse) by SU3. There are ‘ten stages and timescales in the Adult Protection Process’ set out in the Wales Interim Policy and Procedures for the protection of Vulnerable Adults from Abuse 2013. These procedures state that if I had suspected a serious offence had occurred I would have contacted 999 immediately. I completed a safeguarding referral which the safeguarding team screened within one working day, as per procedure. Within the next seven working days, the Safeguarding Team collected, collated and reviewed additional information. Within this time I accompanied the police on a joint visit to discuss the allegation with SU2. Following this a determination was made using a Regional Risk Assessment Tool and no further action was taken in relation to the allegation of theft as SU2 could not recall the disclosure. It is important to note that the decision to act does not require abuse or neglect to have taken place, the aim is to protect people and help to prevent abuse and neglect from taking place (Regional Adult Safeguarding Threshold Guidance, 2018). The determination was made for me to re-assess SU2’s care and support needs within Part 3 SSWBA14, </w:t>
      </w:r>
      <w:r w:rsidRPr="00D27E6E">
        <w:rPr>
          <w:color w:val="auto"/>
          <w:sz w:val="24"/>
          <w:szCs w:val="24"/>
          <w:shd w:val="clear" w:color="auto" w:fill="FFFFFF"/>
        </w:rPr>
        <w:t xml:space="preserve">which aims to improve the well-being of people who need care and support, and carers who need support (Social Care Wales, 2020). The </w:t>
      </w:r>
      <w:r w:rsidRPr="00D27E6E">
        <w:rPr>
          <w:color w:val="auto"/>
          <w:sz w:val="24"/>
          <w:szCs w:val="24"/>
        </w:rPr>
        <w:t xml:space="preserve">essential principles of SSWBA14 are: ‘voice and control’; ‘prevention and early intervention’; ‘well-being’ and ‘co-production. These principles support a move away from a deficit model of assessment towards a strengths-based model, which enables the voice of the service user to be heard and allows them to be ‘the expert’ of their own situation (Social Care Wales, 2020). Part 3 of the SSWBA14 places an equal duty on practitioners to assess both the cared for and carer (Social Care Wales, 2020). In accordance with my professional duty, I offered SU3 a carers assessment in the knowledge that potentially increased support to him may reduce the risk of abuse to SU2 from him as I became aware that caring for SU2 was impacting heavily on is employment commitments.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Within the assessment I considered SU2’s well-being outcomes, including protection from abuse and neglect (Part 1, Section 2, </w:t>
      </w:r>
      <w:proofErr w:type="gramStart"/>
      <w:r w:rsidRPr="00D27E6E">
        <w:rPr>
          <w:color w:val="auto"/>
          <w:sz w:val="24"/>
          <w:szCs w:val="24"/>
        </w:rPr>
        <w:t>SSWBA14</w:t>
      </w:r>
      <w:proofErr w:type="gramEnd"/>
      <w:r w:rsidRPr="00D27E6E">
        <w:rPr>
          <w:color w:val="auto"/>
          <w:sz w:val="24"/>
          <w:szCs w:val="24"/>
        </w:rPr>
        <w:t xml:space="preserve">). I was now aware that SU2 was at risk of the lodger taking financial advantage and/or neglecting her needs, I decided to explore this further with SU2. Through discussions with SU2, SU3 and SU4 it transpired that they had an ‘informal arrangement’ in place. SU2 was no stranger to having lodgers, she had done for the most part of her adult life. SU2 had invited SU3 to live with her on the basis that he supported her informally with shopping, cleaning, general DIY jobs around the home and companionship. Once I began to work collaboratively with all parties, on reflection I believe this to have been the turning point in SU2 being able to improve her quality of life through our respective roles and responsibilities. </w:t>
      </w:r>
    </w:p>
    <w:p w:rsidR="00D27E6E" w:rsidRPr="00D27E6E" w:rsidRDefault="00D27E6E" w:rsidP="00D27E6E">
      <w:pPr>
        <w:rPr>
          <w:color w:val="auto"/>
          <w:sz w:val="24"/>
          <w:szCs w:val="24"/>
        </w:rPr>
      </w:pPr>
    </w:p>
    <w:p w:rsidR="00D27E6E" w:rsidRPr="00D27E6E" w:rsidRDefault="00D27E6E" w:rsidP="00D27E6E">
      <w:pPr>
        <w:suppressAutoHyphens/>
        <w:overflowPunct/>
        <w:autoSpaceDE/>
        <w:autoSpaceDN/>
        <w:adjustRightInd/>
        <w:spacing w:after="200"/>
        <w:jc w:val="both"/>
        <w:textAlignment w:val="auto"/>
        <w:rPr>
          <w:color w:val="auto"/>
          <w:sz w:val="24"/>
          <w:szCs w:val="24"/>
          <w:highlight w:val="yellow"/>
        </w:rPr>
      </w:pPr>
      <w:r w:rsidRPr="00D27E6E">
        <w:rPr>
          <w:color w:val="auto"/>
          <w:sz w:val="24"/>
          <w:szCs w:val="24"/>
        </w:rPr>
        <w:t xml:space="preserve">Throughout this intervention I found it challenging to ‘get the balance right’ between supporting SU2 to maintain her safety whilst supporting her right to private family life (Article8 the Human Rights Act 1998), whilst working towards protecting her from abuse and neglect. I was aware that I needed to pay due regard to other over-arching legislation such as the European Convention on Human Rights. Article 5 HRA98 right to liberty was one such dilemma I </w:t>
      </w:r>
      <w:r w:rsidRPr="00D27E6E">
        <w:rPr>
          <w:color w:val="auto"/>
          <w:sz w:val="24"/>
          <w:szCs w:val="24"/>
        </w:rPr>
        <w:lastRenderedPageBreak/>
        <w:t xml:space="preserve">experienced with this case. As a ‘limited right’ I was aware that it would be lawful to detain SU2, providing it was for a fair and valid reason (MIND, 2015).  </w:t>
      </w:r>
    </w:p>
    <w:p w:rsidR="00D27E6E" w:rsidRPr="00D27E6E" w:rsidRDefault="00D27E6E" w:rsidP="00D27E6E">
      <w:pPr>
        <w:suppressAutoHyphens/>
        <w:overflowPunct/>
        <w:autoSpaceDE/>
        <w:autoSpaceDN/>
        <w:adjustRightInd/>
        <w:spacing w:after="200"/>
        <w:jc w:val="both"/>
        <w:textAlignment w:val="auto"/>
        <w:rPr>
          <w:color w:val="auto"/>
          <w:sz w:val="24"/>
          <w:szCs w:val="24"/>
          <w:highlight w:val="yellow"/>
        </w:rPr>
      </w:pPr>
    </w:p>
    <w:p w:rsidR="00D27E6E" w:rsidRPr="00D27E6E" w:rsidRDefault="00D27E6E" w:rsidP="00D27E6E">
      <w:pPr>
        <w:suppressAutoHyphens/>
        <w:overflowPunct/>
        <w:autoSpaceDE/>
        <w:autoSpaceDN/>
        <w:adjustRightInd/>
        <w:spacing w:after="200"/>
        <w:jc w:val="both"/>
        <w:textAlignment w:val="auto"/>
        <w:rPr>
          <w:color w:val="auto"/>
          <w:sz w:val="24"/>
          <w:szCs w:val="24"/>
        </w:rPr>
      </w:pPr>
      <w:r w:rsidRPr="00D27E6E">
        <w:rPr>
          <w:color w:val="auto"/>
          <w:sz w:val="24"/>
          <w:szCs w:val="24"/>
        </w:rPr>
        <w:t>Within safeguarding procedures, ‘Protecting a vulnerable adult should be everyone’s paramount concern’ and values of independence, dignity, respect, equality, privacy and choice should underpin all practice within safeguarding adults. This is compatible with the National occupational Standards for Social Work (2017). I also thought about the</w:t>
      </w:r>
      <w:r w:rsidRPr="00D27E6E">
        <w:rPr>
          <w:color w:val="auto"/>
          <w:sz w:val="24"/>
          <w:szCs w:val="24"/>
          <w:shd w:val="clear" w:color="auto" w:fill="FFFFFF"/>
        </w:rPr>
        <w:t xml:space="preserve"> United Nations Principles for Older Persons and how I needed to consider SU2’s rights to independence, participation, care, self-fulfilment and dignity and balanced this against my role and duty of care to protect her from abuse and neglect. </w:t>
      </w:r>
      <w:r w:rsidRPr="00D27E6E">
        <w:rPr>
          <w:color w:val="auto"/>
          <w:sz w:val="24"/>
          <w:szCs w:val="24"/>
        </w:rPr>
        <w:t xml:space="preserve"> I explored the possible benefits and possible harms at each and every stage that a decision was required and as far as possible involved SU2, incorporating her wishes and feelings and gathering as much information as possible about her life history, likely choices and previous perceptions of positive risk taking. I used a practice model, namely the Person-centred Risk Assessment and Risk Management System (PRAMS). This model uses a ten step model aimed at guiding practitioners when managing risk (</w:t>
      </w:r>
      <w:proofErr w:type="spellStart"/>
      <w:r w:rsidRPr="00D27E6E">
        <w:rPr>
          <w:color w:val="auto"/>
          <w:sz w:val="24"/>
          <w:szCs w:val="24"/>
        </w:rPr>
        <w:t>Titterton</w:t>
      </w:r>
      <w:proofErr w:type="spellEnd"/>
      <w:r w:rsidRPr="00D27E6E">
        <w:rPr>
          <w:color w:val="auto"/>
          <w:sz w:val="24"/>
          <w:szCs w:val="24"/>
        </w:rPr>
        <w:t>, 2005). Working through the ten steps enabled me to involve SU2 at every stage and during times when she was unable to demonstrate understanding the use of advocacy was fundamental in ensuring I was capturing her wishes and feelings, and ensuring she was actively involved. Part 10 of the SSWBA14 legislates for advocacy and the code of practice on advocacy sets out the functions in which the local authority in partnership with the individual must consider how advocacy could support. Safeguarding guidance stipulates that people should be active partners in any safeguarding matters, regardless of how complex their needs are (Working Together to Safeguard People: Volume 6). Advocacy should be considered if the person has substantial difficulty in engaging with the safeguarding process, I realised this was the case for SU2 and deemed her cousin to be an appropriate person to support. Had I not have been able to identify an appropriate person I would have needed to arrange for an independent advocate (Social Care Wales, 2020).</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PRAMS model enabled me to apply my professional judgement in an increasingly complex situation. From this, I learnt that assessment is not always ‘linear’. In a clear, succinct way I could see how ‘circular’ the process should be and the advantages in this being so. This led me to research models of assessment. Parker’s (2007) ‘relationship-based, reflective model of assessment’ helped me to develop my skill in assessing collaboratively. I was able to reflect and re-visit when new information was made available. I believe this to be a skill that I am continuously developing. The visual model reminded me of the pathway that I should follow, with a shared and transparent understanding of my professional involvement. Within the second stage (collaborative construction of concerns), I was more able to incorporate the Signs of Safety model (Edwards and </w:t>
      </w:r>
      <w:proofErr w:type="spellStart"/>
      <w:r w:rsidRPr="00D27E6E">
        <w:rPr>
          <w:color w:val="auto"/>
          <w:sz w:val="24"/>
          <w:szCs w:val="24"/>
        </w:rPr>
        <w:t>Turnell</w:t>
      </w:r>
      <w:proofErr w:type="spellEnd"/>
      <w:r w:rsidRPr="00D27E6E">
        <w:rPr>
          <w:color w:val="auto"/>
          <w:sz w:val="24"/>
          <w:szCs w:val="24"/>
        </w:rPr>
        <w:t xml:space="preserve">, 1999).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I felt daunted when I learnt that my Local Authority had decided to adopt the Signs of Safety model. I work primarily with adults and felt a little perplexed at how this model would work in practice, knowing that it has evolved from child protection work and is viewed as a ‘solution and safety orientated approach to child protection’ (Edwards and </w:t>
      </w:r>
      <w:proofErr w:type="spellStart"/>
      <w:r w:rsidRPr="00D27E6E">
        <w:rPr>
          <w:color w:val="auto"/>
          <w:sz w:val="24"/>
          <w:szCs w:val="24"/>
        </w:rPr>
        <w:t>Turnell</w:t>
      </w:r>
      <w:proofErr w:type="spellEnd"/>
      <w:r w:rsidRPr="00D27E6E">
        <w:rPr>
          <w:color w:val="auto"/>
          <w:sz w:val="24"/>
          <w:szCs w:val="24"/>
        </w:rPr>
        <w:t xml:space="preserve">, 1999). From reading the Department of Health’s (2017) report on ‘strengths-based social work practice with adults’, </w:t>
      </w:r>
      <w:r w:rsidRPr="00D27E6E">
        <w:rPr>
          <w:color w:val="auto"/>
          <w:sz w:val="24"/>
          <w:szCs w:val="24"/>
        </w:rPr>
        <w:lastRenderedPageBreak/>
        <w:t xml:space="preserve">I learnt that for use with adults the framework and practice tools can guide questioning and analysis towards forming a professional judgement within safety or well-being interventions. Throughout this intervention, I became enlightened at how the model can be adapted and applied within assessments under Part 3 or Part 7 of the SSWBA14. One negative aspect of the </w:t>
      </w:r>
      <w:proofErr w:type="spellStart"/>
      <w:proofErr w:type="gramStart"/>
      <w:r w:rsidRPr="00D27E6E">
        <w:rPr>
          <w:color w:val="auto"/>
          <w:sz w:val="24"/>
          <w:szCs w:val="24"/>
        </w:rPr>
        <w:t>SoS</w:t>
      </w:r>
      <w:proofErr w:type="spellEnd"/>
      <w:proofErr w:type="gramEnd"/>
      <w:r w:rsidRPr="00D27E6E">
        <w:rPr>
          <w:color w:val="auto"/>
          <w:sz w:val="24"/>
          <w:szCs w:val="24"/>
        </w:rPr>
        <w:t xml:space="preserve"> model I encountered was the lack of support and perception of others around acceptable outcomes, particularly when risk and adult safeguarding is involved. For example, SU2’s support network were reluctant to accept responsibilities in relation to supporting SU2, they were clear in their opinions that ‘she would be best looked after in a care home’ and honest in that they felt that would be less worry for them. During the initial safeguarding assessment period, the </w:t>
      </w:r>
      <w:proofErr w:type="spellStart"/>
      <w:r w:rsidRPr="00D27E6E">
        <w:rPr>
          <w:color w:val="auto"/>
          <w:sz w:val="24"/>
          <w:szCs w:val="24"/>
        </w:rPr>
        <w:t>SoS</w:t>
      </w:r>
      <w:proofErr w:type="spellEnd"/>
      <w:r w:rsidRPr="00D27E6E">
        <w:rPr>
          <w:color w:val="auto"/>
          <w:sz w:val="24"/>
          <w:szCs w:val="24"/>
        </w:rPr>
        <w:t xml:space="preserve"> Model enabled me to ascertain what was working well in relation to SU2’s existing safety and well-being and consider what if any harm had occurred and enabled exploration of the complicating factors. Through this, an initial safety plan was drawn up in consultation with SU2, SU3, SU4 and the District nurse. In accordance with current procedures, I ensured that I recorded the facts accurately and shared my findings with the safeguarding team in a timely manner (The Wales Interim Policy and Procedures for the protection of Vulnerable Adults from Abuse 2013).</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Throughout this case, I suspected SU was self-neglecting. She showed very little insight into her situation and the risks she was exposed to. Her home condition was poor, this caused me to explore and consider what is acceptable and consider local health and safety policy. I needed to apply my professional judgement in relation to whether or not an environmental health referral was required and specifically as the Local Authority were commissioning a service (domiciliary care). SU2’s home is effectively a ‘workplace’ meaning employees have the right to a safe working environment (Health and Safety Policy, 2019). I used supervision as a tool to explore my professional practice and decision making, to seek guidance in an area I was less confident in.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element of ‘self-neglect’ is rarely managed within the Adult Safeguarding Arena in my Local Authority. I am aware that this is not the case in other countries. For example, in England the Care Act (2014) </w:t>
      </w:r>
      <w:r w:rsidRPr="00D27E6E">
        <w:rPr>
          <w:rStyle w:val="Strong"/>
          <w:b w:val="0"/>
          <w:color w:val="auto"/>
          <w:sz w:val="24"/>
          <w:szCs w:val="24"/>
          <w:bdr w:val="none" w:sz="0" w:space="0" w:color="auto" w:frame="1"/>
        </w:rPr>
        <w:t>statutory guidance</w:t>
      </w:r>
      <w:r w:rsidRPr="00D27E6E">
        <w:rPr>
          <w:color w:val="auto"/>
          <w:sz w:val="24"/>
          <w:szCs w:val="24"/>
        </w:rPr>
        <w:t xml:space="preserve"> includes ‘self-neglect’ as a category of abuse under adult safeguarding (SCIE, 2018).  Phillips (2018) argues that there is an absence of any clarification of self-neglect, she reports that there has been no work to date by any Regional Safeguarding Boards or the National Independent Safeguarding board Wales. Phillips (2018) argues that the SSWBA14 has not strengthened the focus on self-neglect and safeguarding. I decided that it would be useful for me to use Gibb’s Reflective Cycle (1998) to specifically focus on the ‘self-neglect’ element of this case. Essentially, I wanted to make sense of the situation and explore what else I could have done to inform my practice for any future similar cases. I started by thinking back to how I was thinking and feeling at the time, I recalled feeling upset at how SU2 was living and that her right to self-determination was compromised due to her cognitive impairment and physical ill health. I recall thinking that her situation may have been prevented or the severity of self-neglect reduced, had intervention had taken place sooner. I recall being appreciative of the differing perspective the District Nurse was able to offer. I recall feeling frustrated that I felt powerless to some extent in supporting SU2. Gibbs’ reflective model (1998) has enabled me to develop my awareness of the ethical and moral dilemmas practitioners face. I now feel better equipped to manage situations where my personal values conflict with my professional values (BASW, 2014). </w:t>
      </w:r>
    </w:p>
    <w:p w:rsidR="00D27E6E" w:rsidRPr="00D27E6E" w:rsidRDefault="00D27E6E" w:rsidP="00D27E6E">
      <w:pPr>
        <w:rPr>
          <w:color w:val="auto"/>
          <w:sz w:val="24"/>
          <w:szCs w:val="24"/>
        </w:rPr>
      </w:pPr>
    </w:p>
    <w:p w:rsidR="00D27E6E" w:rsidRPr="00D27E6E" w:rsidRDefault="00D27E6E" w:rsidP="00D27E6E">
      <w:pPr>
        <w:jc w:val="both"/>
        <w:rPr>
          <w:color w:val="auto"/>
          <w:sz w:val="24"/>
          <w:szCs w:val="24"/>
        </w:rPr>
      </w:pPr>
      <w:r w:rsidRPr="00D27E6E">
        <w:rPr>
          <w:color w:val="auto"/>
          <w:sz w:val="24"/>
          <w:szCs w:val="24"/>
        </w:rPr>
        <w:t xml:space="preserve">During one visit, in which I was accompanied by the District Nurse. We found SU2 in a very poor state. She was ‘stuck in her chair’, ‘covered in faeces’, her skin had broken down due to severe incontinence and she was clearly distressed although seemingly unaware. This was the point at which my own values were truly compromised. At this point, I was acutely aware that SU2 would have felt ashamed had she have had insight. In collaboration with the District Nurse we considered whether SU2 was experiencing abuse by the domiciliary care workers. I sought advice from my senior and discussed this with the Safeguarding Duty Officer. It was decided that SU2 had become non-compliant and had refused to engage with services. In order to reach this determination, I was required to inspect the care workers records. There were multiple entries recorded as ‘SU2 has refused personal care’. An MDT meeting was convened to establish what is in SU2’s best interests in relation to her care arrangements as at this time, she lacked capacity in this regard. Had there have been evidence causing me reasonable belief that SU2 was at risk of abuse or neglect from the domiciliary care workers a different pathway would have been followed. It can be straightforward to determine abuse has taken place, but not always. The Wales Interim Policy and Procedures for the protection of Vulnerable Adults from Abuse 2013 recommends that ‘if in doubt report’ as some very serious abuse is only uncovered from a series of reports which may appear to be minor concerns. </w:t>
      </w:r>
    </w:p>
    <w:p w:rsidR="00D27E6E" w:rsidRPr="00D27E6E" w:rsidRDefault="00D27E6E" w:rsidP="00D27E6E">
      <w:pPr>
        <w:rPr>
          <w:color w:val="auto"/>
          <w:sz w:val="24"/>
          <w:szCs w:val="24"/>
        </w:rPr>
      </w:pP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Mental Capacity Act 2005 defines that capacity must be assumed unless proven otherwise. I, along with the District Nurse actively worked within the principles of the MCA05, we considered whether the Mental Health Act 1985 would have been a more appropriate legislative framework to use. After much debate, we agreed that an acute psychiatric setting would not likely benefit her or allow for the rehabilitation and care SU2 required. What SU2 needed was an environment able to reduce the risk of her self-neglecting. Under the MCA05 I made a professional decision that it would be in SU2’s best interests to access a residential care home for a short period of time, in order for her house to be deep cleaned and an increased package of care be sought for her to be better supported with her needs. This decision sat heavily on my personal values. I firmly believe that people should be able to live in their own homes and not be deprived of their liberty, unless every other less restrictive option is explored and ruled out (MCA05). I was aware that the care home would seek an urgent </w:t>
      </w:r>
      <w:proofErr w:type="spellStart"/>
      <w:r w:rsidRPr="00D27E6E">
        <w:rPr>
          <w:color w:val="auto"/>
          <w:sz w:val="24"/>
          <w:szCs w:val="24"/>
        </w:rPr>
        <w:t>DoLS</w:t>
      </w:r>
      <w:proofErr w:type="spellEnd"/>
      <w:r w:rsidRPr="00D27E6E">
        <w:rPr>
          <w:color w:val="auto"/>
          <w:sz w:val="24"/>
          <w:szCs w:val="24"/>
        </w:rPr>
        <w:t xml:space="preserve"> application, as SU2 would meet the ‘Acid Test’, namely she lacks capacity, would be under constant control and supervision and would not be free to leave (Thirty Nine, Essex Street). It can be argued that SU2 did not arrive at this point overnight and agreeably her mental and physical ill health needs were increasing over time. When I first became involved and at the point of questioning how her care and support needs would best be met I came across some interesting case law, which gave me confidence in knowing that my professional judgement was sound and that I was working within legislative frameworks. I researched case law as a way of checking out my judgement. I came across Judge Munby’s ‘safe and miserable’ case law (</w:t>
      </w:r>
      <w:r w:rsidRPr="00D27E6E">
        <w:rPr>
          <w:i/>
          <w:color w:val="auto"/>
          <w:sz w:val="24"/>
          <w:szCs w:val="24"/>
        </w:rPr>
        <w:t xml:space="preserve">Local authority X v MM &amp; Anor (N0.1) (2007), </w:t>
      </w:r>
      <w:r w:rsidRPr="00D27E6E">
        <w:rPr>
          <w:color w:val="auto"/>
          <w:sz w:val="24"/>
          <w:szCs w:val="24"/>
        </w:rPr>
        <w:t xml:space="preserve">in which he states ‘The emphasis must be on sensible risk appraisal, not striving to avoid all risk………………What good is making someone safer if it merely makes them miserable?’ (Munby, 2007). This really enabled me to consider the risk to SU2’s well-being as opposed to only focusing on the risk to her safety.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It is widely accepted that there are many challenges to working in Wales. Legislation specific to working in Wales underpins my practice. The Well-being of Future Generations (Wales) Act 2015 legislates a requirement for all public bodies to work in a sustainable way that considers the impact on the well-being of the people of Wales. This legislation informs local policy and links in with the community and resources available to the people of Wales (Welsh Government Wales, 2015). Both the SSWBA14 and the FWGA15 place great emphasis on ‘prevention’. I considered how the outcomes for SU2 may have differed had I been involved sooner. A large proportion of adult protection is concerned with prevention and this sits primarily within the SSWBA14. Low level engagement with local groups, community activities and services such as a ‘befriender’ may have benefitted SU2 in being able to retain greater choice and control over her day-to-day life. Research into the importance and effectiveness of early intervention demonstrates that prevention often improves outcomes. It can be argued that there appears to be a cultural shift away from assessing through a deficit model and a move more towards a strengths-based outcome focused model, preventative work is more akin with current National and Domestic legislative frameworks (</w:t>
      </w:r>
      <w:proofErr w:type="spellStart"/>
      <w:r w:rsidRPr="00D27E6E">
        <w:rPr>
          <w:color w:val="auto"/>
          <w:sz w:val="24"/>
          <w:szCs w:val="24"/>
        </w:rPr>
        <w:t>Gollins</w:t>
      </w:r>
      <w:proofErr w:type="spellEnd"/>
      <w:r w:rsidRPr="00D27E6E">
        <w:rPr>
          <w:color w:val="auto"/>
          <w:sz w:val="24"/>
          <w:szCs w:val="24"/>
        </w:rPr>
        <w:t>, 2016).</w:t>
      </w:r>
    </w:p>
    <w:p w:rsidR="00D27E6E" w:rsidRPr="00D27E6E" w:rsidRDefault="00D27E6E" w:rsidP="00D27E6E">
      <w:pPr>
        <w:rPr>
          <w:color w:val="auto"/>
          <w:sz w:val="24"/>
          <w:szCs w:val="24"/>
        </w:rPr>
      </w:pPr>
    </w:p>
    <w:p w:rsidR="00D27E6E" w:rsidRPr="00D27E6E" w:rsidRDefault="00D27E6E" w:rsidP="00D27E6E">
      <w:pPr>
        <w:rPr>
          <w:color w:val="auto"/>
          <w:sz w:val="24"/>
          <w:szCs w:val="24"/>
          <w:shd w:val="clear" w:color="auto" w:fill="FFFFFF"/>
        </w:rPr>
      </w:pPr>
      <w:r w:rsidRPr="00D27E6E">
        <w:rPr>
          <w:color w:val="auto"/>
          <w:sz w:val="24"/>
          <w:szCs w:val="24"/>
        </w:rPr>
        <w:t xml:space="preserve">Using an ecological approach helped me to better understand the Welsh context within this case study. </w:t>
      </w:r>
      <w:r w:rsidRPr="00D27E6E">
        <w:rPr>
          <w:bCs/>
          <w:color w:val="auto"/>
          <w:sz w:val="24"/>
          <w:szCs w:val="24"/>
          <w:shd w:val="clear" w:color="auto" w:fill="FFFFFF"/>
        </w:rPr>
        <w:t>Bronfenbrenner</w:t>
      </w:r>
      <w:r w:rsidRPr="00D27E6E">
        <w:rPr>
          <w:color w:val="auto"/>
          <w:sz w:val="24"/>
          <w:szCs w:val="24"/>
          <w:shd w:val="clear" w:color="auto" w:fill="FFFFFF"/>
        </w:rPr>
        <w:t xml:space="preserve">’s (1979) </w:t>
      </w:r>
      <w:r w:rsidRPr="00D27E6E">
        <w:rPr>
          <w:bCs/>
          <w:color w:val="auto"/>
          <w:sz w:val="24"/>
          <w:szCs w:val="24"/>
          <w:shd w:val="clear" w:color="auto" w:fill="FFFFFF"/>
        </w:rPr>
        <w:t>ecological</w:t>
      </w:r>
      <w:r w:rsidRPr="00D27E6E">
        <w:rPr>
          <w:color w:val="auto"/>
          <w:sz w:val="24"/>
          <w:szCs w:val="24"/>
          <w:shd w:val="clear" w:color="auto" w:fill="FFFFFF"/>
        </w:rPr>
        <w:t xml:space="preserve"> model divides the environment into five different levels, ‘identifying the risks and strengths of the existing situation and potential intervention’ (Wilson et al, p289-290). This model helped me to consider SU2’s interaction within her immediate environment, her community and wider society. Had she been able to I may have considered using this model as a visual aid to explore further with her potential ways of additional support from community services as opposed to reliance on available statutory services. The mesosystem consists of interactions between a person's microsystems (SU2’s home, friends, family, neighbourhood and wider Community). The mesosystem (SU2’s connections) and the </w:t>
      </w:r>
      <w:proofErr w:type="spellStart"/>
      <w:r w:rsidRPr="00D27E6E">
        <w:rPr>
          <w:color w:val="auto"/>
          <w:sz w:val="24"/>
          <w:szCs w:val="24"/>
          <w:shd w:val="clear" w:color="auto" w:fill="FFFFFF"/>
        </w:rPr>
        <w:t>Exosytem</w:t>
      </w:r>
      <w:proofErr w:type="spellEnd"/>
      <w:r w:rsidRPr="00D27E6E">
        <w:rPr>
          <w:color w:val="auto"/>
          <w:sz w:val="24"/>
          <w:szCs w:val="24"/>
          <w:shd w:val="clear" w:color="auto" w:fill="FFFFFF"/>
        </w:rPr>
        <w:t xml:space="preserve"> (indirect environment). The </w:t>
      </w:r>
      <w:proofErr w:type="spellStart"/>
      <w:r w:rsidRPr="00D27E6E">
        <w:rPr>
          <w:color w:val="auto"/>
          <w:sz w:val="24"/>
          <w:szCs w:val="24"/>
          <w:shd w:val="clear" w:color="auto" w:fill="FFFFFF"/>
        </w:rPr>
        <w:t>Macrosystem</w:t>
      </w:r>
      <w:proofErr w:type="spellEnd"/>
      <w:r w:rsidRPr="00D27E6E">
        <w:rPr>
          <w:color w:val="auto"/>
          <w:sz w:val="24"/>
          <w:szCs w:val="24"/>
          <w:shd w:val="clear" w:color="auto" w:fill="FFFFFF"/>
        </w:rPr>
        <w:t xml:space="preserve"> stage allowed me to consider the cultural expectations of those around her and how these ideas are changing over time in accordance with legislation changes, demographic factors and so on. For example, in Wales the Welsh Assembly has set a goal for there to be one million Welsh speakers by 2050, which would equate to roughly a third of the population (The Guardian, 2019). SU2’s first language is Welsh, I implemented the ‘Active Offer’ (Welsh Government, 2015) during my initial involvement. Although SU2 was happy to engage in English, her rationale was ‘having always conducted official business in English’, I was aware of the importance of incorporating the Welsh language as far as possible in my communication with her. </w:t>
      </w:r>
    </w:p>
    <w:p w:rsidR="00D27E6E" w:rsidRPr="00D27E6E" w:rsidRDefault="00D27E6E" w:rsidP="00D27E6E">
      <w:pPr>
        <w:rPr>
          <w:color w:val="auto"/>
          <w:sz w:val="24"/>
          <w:szCs w:val="24"/>
          <w:shd w:val="clear" w:color="auto" w:fill="FFFFFF"/>
        </w:rPr>
      </w:pPr>
    </w:p>
    <w:p w:rsidR="00D27E6E" w:rsidRPr="00D27E6E" w:rsidRDefault="00D27E6E" w:rsidP="00D27E6E">
      <w:pPr>
        <w:rPr>
          <w:color w:val="auto"/>
          <w:sz w:val="24"/>
          <w:szCs w:val="24"/>
        </w:rPr>
      </w:pPr>
      <w:r w:rsidRPr="00D27E6E">
        <w:rPr>
          <w:color w:val="auto"/>
          <w:sz w:val="24"/>
          <w:szCs w:val="24"/>
        </w:rPr>
        <w:t xml:space="preserve">This case has increased my awareness around the importance of accountability and accurate record keeping. The General Data Protection Regulation (GDPR) 2018, protects personal date sharing without explicit consent. The Welsh Accord for the Sharing of Personal Information (WASPI) clarifies that organisations should only share the bare minimum, on a need-to-know basis and with the person’s consent. WASPI guidance states that personal information should be shared in order to prevent abuse or serious harm, but this must be in accordance with adult protection procedures (Social Care Wales, 2017).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This case has taught me that deciding what constitutes abuse and neglect is a complex area of social work practice. Through reflection, and discussion with my mentor and in supervision I </w:t>
      </w:r>
      <w:r w:rsidRPr="00D27E6E">
        <w:rPr>
          <w:color w:val="auto"/>
          <w:sz w:val="24"/>
          <w:szCs w:val="24"/>
        </w:rPr>
        <w:lastRenderedPageBreak/>
        <w:t>have realised that each situation needs careful analysis as there are so many factors to take into account in the context of each individual case.</w:t>
      </w:r>
    </w:p>
    <w:p w:rsidR="00D27E6E" w:rsidRPr="005224C9" w:rsidRDefault="00D27E6E" w:rsidP="00D27E6E">
      <w:pPr>
        <w:rPr>
          <w:color w:val="auto"/>
        </w:rPr>
      </w:pPr>
    </w:p>
    <w:p w:rsidR="00D27E6E" w:rsidRDefault="00D27E6E" w:rsidP="00D27E6E"/>
    <w:p w:rsidR="00D27E6E" w:rsidRDefault="00D27E6E" w:rsidP="00D27E6E"/>
    <w:p w:rsidR="00D27E6E" w:rsidRPr="00221440" w:rsidRDefault="00D27E6E" w:rsidP="00D27E6E">
      <w:pPr>
        <w:rPr>
          <w:sz w:val="24"/>
          <w:szCs w:val="24"/>
        </w:rPr>
      </w:pPr>
      <w:r>
        <w:rPr>
          <w:sz w:val="24"/>
          <w:szCs w:val="24"/>
        </w:rPr>
        <w:t>WORD COUNT 4119</w:t>
      </w:r>
    </w:p>
    <w:p w:rsidR="00D27E6E" w:rsidRPr="008B28E7" w:rsidRDefault="00D27E6E" w:rsidP="00D27E6E">
      <w:pPr>
        <w:jc w:val="both"/>
        <w:rPr>
          <w:b/>
          <w:sz w:val="24"/>
          <w:szCs w:val="24"/>
        </w:rPr>
      </w:pPr>
    </w:p>
    <w:p w:rsidR="00D27E6E" w:rsidRDefault="00D27E6E" w:rsidP="00D27E6E">
      <w:pPr>
        <w:jc w:val="center"/>
        <w:rPr>
          <w:b/>
          <w:sz w:val="24"/>
          <w:szCs w:val="24"/>
        </w:rPr>
      </w:pPr>
      <w:r w:rsidRPr="008B28E7">
        <w:rPr>
          <w:sz w:val="24"/>
          <w:szCs w:val="24"/>
        </w:rPr>
        <w:br w:type="page"/>
      </w:r>
      <w:proofErr w:type="gramStart"/>
      <w:r>
        <w:rPr>
          <w:b/>
          <w:sz w:val="24"/>
          <w:szCs w:val="24"/>
        </w:rPr>
        <w:lastRenderedPageBreak/>
        <w:t>Section  5</w:t>
      </w:r>
      <w:proofErr w:type="gramEnd"/>
    </w:p>
    <w:p w:rsidR="00D27E6E" w:rsidRDefault="00D27E6E" w:rsidP="00D27E6E">
      <w:pPr>
        <w:jc w:val="center"/>
        <w:rPr>
          <w:b/>
          <w:sz w:val="24"/>
          <w:szCs w:val="24"/>
        </w:rPr>
      </w:pPr>
    </w:p>
    <w:p w:rsidR="00D27E6E" w:rsidRPr="008B28E7" w:rsidRDefault="00D27E6E" w:rsidP="00D27E6E">
      <w:pPr>
        <w:rPr>
          <w:b/>
          <w:sz w:val="24"/>
          <w:szCs w:val="24"/>
        </w:rPr>
      </w:pPr>
      <w:r>
        <w:rPr>
          <w:b/>
          <w:sz w:val="24"/>
          <w:szCs w:val="24"/>
        </w:rPr>
        <w:t>Safeguarding</w:t>
      </w:r>
    </w:p>
    <w:p w:rsidR="00D27E6E" w:rsidRPr="008B28E7" w:rsidRDefault="00D27E6E" w:rsidP="00D27E6E">
      <w:pPr>
        <w:jc w:val="both"/>
        <w:rPr>
          <w:b/>
          <w:sz w:val="24"/>
          <w:szCs w:val="24"/>
        </w:rPr>
      </w:pPr>
    </w:p>
    <w:p w:rsidR="00D27E6E" w:rsidRPr="008B28E7" w:rsidRDefault="00D27E6E" w:rsidP="00D27E6E">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D27E6E" w:rsidRPr="008B28E7" w:rsidRDefault="00D27E6E" w:rsidP="00D27E6E">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D27E6E" w:rsidRPr="006108C9" w:rsidRDefault="00D27E6E" w:rsidP="00D27E6E">
            <w:pPr>
              <w:jc w:val="both"/>
              <w:rPr>
                <w:sz w:val="24"/>
                <w:szCs w:val="24"/>
              </w:rPr>
            </w:pPr>
          </w:p>
          <w:p w:rsidR="00D27E6E" w:rsidRPr="008B28E7" w:rsidRDefault="00D27E6E" w:rsidP="00D27E6E">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Default="00D27E6E" w:rsidP="00D27E6E">
      <w:pPr>
        <w:jc w:val="both"/>
        <w:rPr>
          <w:sz w:val="24"/>
          <w:szCs w:val="24"/>
        </w:rPr>
      </w:pPr>
    </w:p>
    <w:p w:rsidR="00D27E6E" w:rsidRPr="00C83594" w:rsidRDefault="00D27E6E" w:rsidP="00D27E6E">
      <w:pPr>
        <w:jc w:val="both"/>
        <w:rPr>
          <w:color w:val="auto"/>
          <w:sz w:val="24"/>
          <w:szCs w:val="24"/>
        </w:rPr>
      </w:pPr>
      <w:r w:rsidRPr="00C83594">
        <w:rPr>
          <w:color w:val="auto"/>
          <w:sz w:val="24"/>
          <w:szCs w:val="24"/>
        </w:rPr>
        <w:t xml:space="preserve">In Wales legislation relevant to safeguarding children is the Social Services and Well-being Act (Wales) 2014, the Children Act 1989 and the Children Act 2004. This legislation bestows the context for the All Wales Child Protection Procedures 2008, which has been produced on behalf of all local safeguarding boards in Wales, placing a duty on designated bodies to safeguard and promote the welfare of children. I’m aware that these have been updated and implementation is to be led by each Regional Safeguarding Board which should be completed by April 2020. Remarkably, Wales is the only country in the UK to embed the principles of the United Nations Convention on the Rights of the Child 1989 into its own domestic law (NSSPC). </w:t>
      </w:r>
    </w:p>
    <w:p w:rsidR="00D27E6E" w:rsidRPr="00C83594" w:rsidRDefault="00D27E6E" w:rsidP="00D27E6E">
      <w:pPr>
        <w:jc w:val="both"/>
        <w:rPr>
          <w:color w:val="auto"/>
          <w:sz w:val="36"/>
          <w:szCs w:val="36"/>
        </w:rPr>
      </w:pPr>
    </w:p>
    <w:p w:rsidR="00D27E6E" w:rsidRPr="00C83594" w:rsidRDefault="00D27E6E" w:rsidP="00D27E6E">
      <w:pPr>
        <w:jc w:val="both"/>
        <w:rPr>
          <w:rFonts w:eastAsia="Calibri"/>
          <w:color w:val="auto"/>
          <w:sz w:val="24"/>
          <w:szCs w:val="24"/>
          <w:lang w:eastAsia="en-US"/>
        </w:rPr>
      </w:pPr>
      <w:r w:rsidRPr="00C83594">
        <w:rPr>
          <w:rFonts w:eastAsia="Calibri"/>
          <w:color w:val="auto"/>
          <w:sz w:val="24"/>
          <w:szCs w:val="24"/>
          <w:lang w:eastAsia="en-US"/>
        </w:rPr>
        <w:t xml:space="preserve">The AWCPP08 are based on the fundamental principle that the protection of children from harm is the responsibility of all individuals and agencies working with children and families. The procedures clarify how individuals and agencies should communicate and work together effectively in collaboration in order to identify children who may be at risk and keep them safe, whilst improving outcomes for them (AWCPP08). The Laming enquiry (2003) into the death of Victoria </w:t>
      </w:r>
      <w:proofErr w:type="spellStart"/>
      <w:r w:rsidRPr="00C83594">
        <w:rPr>
          <w:rFonts w:eastAsia="Calibri"/>
          <w:color w:val="auto"/>
          <w:sz w:val="24"/>
          <w:szCs w:val="24"/>
          <w:lang w:eastAsia="en-US"/>
        </w:rPr>
        <w:t>Climbie</w:t>
      </w:r>
      <w:proofErr w:type="spellEnd"/>
      <w:r w:rsidRPr="00C83594">
        <w:rPr>
          <w:rFonts w:eastAsia="Calibri"/>
          <w:color w:val="auto"/>
          <w:sz w:val="24"/>
          <w:szCs w:val="24"/>
          <w:lang w:eastAsia="en-US"/>
        </w:rPr>
        <w:t xml:space="preserve"> had a profound effect on policy. The enquiry identified major failures of child safeguarding. It made numerous recommendations aimed at improving practice. This report was a key driver in policy change, identified in the Government paper, ‘Every Child Matters’ (DfES, 2003) and was later incorporated into the Children Act 2004 (Cooper,p468). </w:t>
      </w:r>
    </w:p>
    <w:p w:rsidR="00D27E6E" w:rsidRPr="00C83594" w:rsidRDefault="00D27E6E" w:rsidP="00D27E6E">
      <w:pPr>
        <w:overflowPunct/>
        <w:textAlignment w:val="auto"/>
        <w:rPr>
          <w:rFonts w:eastAsia="Calibri"/>
          <w:color w:val="auto"/>
          <w:sz w:val="24"/>
          <w:szCs w:val="24"/>
          <w:lang w:eastAsia="en-US"/>
        </w:rPr>
      </w:pPr>
    </w:p>
    <w:p w:rsidR="00D27E6E" w:rsidRPr="00C83594" w:rsidRDefault="00D27E6E" w:rsidP="00D27E6E">
      <w:pPr>
        <w:overflowPunct/>
        <w:textAlignment w:val="auto"/>
        <w:rPr>
          <w:rFonts w:eastAsia="Calibri"/>
          <w:color w:val="auto"/>
          <w:sz w:val="24"/>
          <w:szCs w:val="24"/>
          <w:lang w:eastAsia="en-US"/>
        </w:rPr>
      </w:pPr>
      <w:r w:rsidRPr="00C83594">
        <w:rPr>
          <w:color w:val="auto"/>
          <w:sz w:val="24"/>
          <w:szCs w:val="24"/>
        </w:rPr>
        <w:t xml:space="preserve">The duty to report a child at risk is stipulated within Part 7, Section 130 SSWBA14. Statutory guidance in relation to Part 7 has subsequently been issued. </w:t>
      </w:r>
      <w:r w:rsidRPr="00C83594">
        <w:rPr>
          <w:rFonts w:eastAsia="Calibri"/>
          <w:color w:val="auto"/>
          <w:sz w:val="24"/>
          <w:szCs w:val="24"/>
          <w:lang w:eastAsia="en-US"/>
        </w:rPr>
        <w:t xml:space="preserve">Section 130 SSWBA14(4) defines a ‘child at risk’ as a child who:(a) is experiencing or is at risk of abuse, neglect or other kinds of harm; and (b) has needs for care and support (whether or not the authority is meeting any of those needs). When a child has been reported under section 130, the local authority </w:t>
      </w:r>
      <w:r w:rsidRPr="00C83594">
        <w:rPr>
          <w:rFonts w:eastAsia="Calibri"/>
          <w:bCs/>
          <w:color w:val="auto"/>
          <w:sz w:val="24"/>
          <w:szCs w:val="24"/>
          <w:lang w:eastAsia="en-US"/>
        </w:rPr>
        <w:t>must</w:t>
      </w:r>
      <w:r w:rsidRPr="00C83594">
        <w:rPr>
          <w:rFonts w:eastAsia="Calibri"/>
          <w:b/>
          <w:bCs/>
          <w:color w:val="auto"/>
          <w:sz w:val="24"/>
          <w:szCs w:val="24"/>
          <w:lang w:eastAsia="en-US"/>
        </w:rPr>
        <w:t xml:space="preserve"> </w:t>
      </w:r>
      <w:r w:rsidRPr="00C83594">
        <w:rPr>
          <w:rFonts w:eastAsia="Calibri"/>
          <w:color w:val="auto"/>
          <w:sz w:val="24"/>
          <w:szCs w:val="24"/>
          <w:lang w:eastAsia="en-US"/>
        </w:rPr>
        <w:t>consider whether there are grounds for carrying out an investigation under section 47 of The Children Act 1989. Section 47 requires that where a local authority has reasonable cause to suspect that a child “is suffering, or is likely to suffer, significant harm" the local authority make or cause to be made such enquires as it considers necessary to enable it to decide whether it should take any action to safeguard or promote the child’s welfare (CA89).</w:t>
      </w:r>
    </w:p>
    <w:p w:rsidR="00D27E6E" w:rsidRPr="00C83594" w:rsidRDefault="00D27E6E" w:rsidP="00D27E6E">
      <w:pPr>
        <w:pStyle w:val="Pa5"/>
        <w:spacing w:before="220" w:after="100"/>
        <w:rPr>
          <w:bCs/>
        </w:rPr>
      </w:pPr>
      <w:r w:rsidRPr="00C83594">
        <w:rPr>
          <w:rFonts w:ascii="Arial" w:hAnsi="Arial" w:cs="Arial"/>
          <w:bCs/>
        </w:rPr>
        <w:lastRenderedPageBreak/>
        <w:t xml:space="preserve">The statutory definitions of abuse, harm and neglect are stipulated in </w:t>
      </w:r>
      <w:r w:rsidRPr="00C83594">
        <w:rPr>
          <w:rFonts w:ascii="Arial" w:hAnsi="Arial" w:cs="Arial"/>
        </w:rPr>
        <w:t xml:space="preserve">Section 197 of SSWBA14. These broad definitions can be applied to a whole host of various facts. </w:t>
      </w:r>
      <w:r w:rsidRPr="00C83594">
        <w:rPr>
          <w:rFonts w:ascii="Arial" w:hAnsi="Arial" w:cs="Arial"/>
          <w:bCs/>
        </w:rPr>
        <w:t>“Abuse”</w:t>
      </w:r>
      <w:r w:rsidRPr="00C83594">
        <w:rPr>
          <w:rFonts w:ascii="Arial" w:hAnsi="Arial" w:cs="Arial"/>
          <w:b/>
          <w:bCs/>
        </w:rPr>
        <w:t xml:space="preserve"> </w:t>
      </w:r>
      <w:r w:rsidRPr="00C83594">
        <w:rPr>
          <w:rFonts w:ascii="Arial" w:hAnsi="Arial" w:cs="Arial"/>
        </w:rPr>
        <w:t xml:space="preserve">means physical, sexual, psychological, emotional or financial abuse. </w:t>
      </w:r>
      <w:r w:rsidRPr="00C83594">
        <w:rPr>
          <w:rFonts w:ascii="Arial" w:hAnsi="Arial" w:cs="Arial"/>
          <w:bCs/>
        </w:rPr>
        <w:t>“Harm”</w:t>
      </w:r>
      <w:r w:rsidRPr="00C83594">
        <w:rPr>
          <w:rFonts w:ascii="Arial" w:hAnsi="Arial" w:cs="Arial"/>
          <w:b/>
          <w:bCs/>
        </w:rPr>
        <w:t xml:space="preserve"> </w:t>
      </w:r>
      <w:r w:rsidRPr="00C83594">
        <w:rPr>
          <w:rFonts w:ascii="Arial" w:hAnsi="Arial" w:cs="Arial"/>
        </w:rPr>
        <w:t>in relation to a child, means abuse or the impairment of— (a) physical or mental health, or (b) physical, intellectual, emotional, social or behavioural development, and where the question of whether harm is significant turns on the child’s health or development, the child’s health or development is to be compared with that which could reasonably be expected of a similar child. “</w:t>
      </w:r>
      <w:r w:rsidRPr="00C83594">
        <w:rPr>
          <w:rFonts w:ascii="Arial" w:hAnsi="Arial" w:cs="Arial"/>
          <w:bCs/>
        </w:rPr>
        <w:t xml:space="preserve">Neglect” </w:t>
      </w:r>
      <w:r w:rsidRPr="00C83594">
        <w:rPr>
          <w:rFonts w:ascii="Arial" w:hAnsi="Arial" w:cs="Arial"/>
        </w:rPr>
        <w:t>means a failure to meet a person’s basic physical, emotional, social or psychological needs, which is likely to result in an impairment of the person’s well-being (The National Independent Safeguarding Board, 2016).</w:t>
      </w:r>
    </w:p>
    <w:p w:rsidR="00D27E6E" w:rsidRDefault="00D27E6E" w:rsidP="00D27E6E">
      <w:pPr>
        <w:jc w:val="both"/>
        <w:rPr>
          <w:sz w:val="36"/>
          <w:szCs w:val="36"/>
        </w:rPr>
      </w:pPr>
    </w:p>
    <w:p w:rsidR="00D27E6E" w:rsidRPr="000032FA" w:rsidRDefault="00D27E6E" w:rsidP="00D27E6E">
      <w:pPr>
        <w:jc w:val="both"/>
        <w:rPr>
          <w:rFonts w:eastAsia="Calibri"/>
          <w:color w:val="auto"/>
          <w:sz w:val="24"/>
          <w:szCs w:val="24"/>
          <w:lang w:eastAsia="en-US"/>
        </w:rPr>
      </w:pPr>
      <w:r>
        <w:rPr>
          <w:rFonts w:eastAsia="Calibri"/>
          <w:color w:val="auto"/>
          <w:sz w:val="24"/>
          <w:szCs w:val="24"/>
          <w:lang w:eastAsia="en-US"/>
        </w:rPr>
        <w:t>Word count 539</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 w:rsidR="00D27E6E" w:rsidRPr="0002440E" w:rsidRDefault="00D27E6E" w:rsidP="00D27E6E"/>
    <w:p w:rsidR="00D27E6E" w:rsidRPr="008B28E7"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Default="00D27E6E" w:rsidP="00D27E6E">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D27E6E" w:rsidRDefault="00D27E6E" w:rsidP="00D27E6E">
            <w:pPr>
              <w:jc w:val="both"/>
              <w:rPr>
                <w:sz w:val="24"/>
                <w:szCs w:val="24"/>
              </w:rPr>
            </w:pPr>
          </w:p>
          <w:p w:rsidR="00D27E6E" w:rsidRDefault="00D27E6E" w:rsidP="00D27E6E">
            <w:pPr>
              <w:jc w:val="both"/>
              <w:rPr>
                <w:sz w:val="24"/>
                <w:szCs w:val="24"/>
              </w:rPr>
            </w:pPr>
          </w:p>
          <w:p w:rsidR="00D27E6E" w:rsidRPr="006108C9" w:rsidRDefault="00D27E6E" w:rsidP="00D27E6E">
            <w:pPr>
              <w:jc w:val="both"/>
              <w:rPr>
                <w:sz w:val="24"/>
                <w:szCs w:val="24"/>
              </w:rPr>
            </w:pPr>
          </w:p>
          <w:p w:rsidR="00D27E6E" w:rsidRDefault="00D27E6E" w:rsidP="00D27E6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D27E6E" w:rsidRPr="006108C9" w:rsidRDefault="00D27E6E" w:rsidP="00D27E6E">
            <w:pPr>
              <w:jc w:val="both"/>
              <w:rPr>
                <w:sz w:val="24"/>
                <w:szCs w:val="24"/>
              </w:rPr>
            </w:pPr>
          </w:p>
        </w:tc>
      </w:tr>
    </w:tbl>
    <w:p w:rsidR="00D27E6E" w:rsidRPr="008B28E7" w:rsidRDefault="00D27E6E" w:rsidP="00D27E6E">
      <w:pPr>
        <w:ind w:left="360" w:hanging="360"/>
        <w:jc w:val="both"/>
        <w:rPr>
          <w:b/>
          <w:sz w:val="24"/>
          <w:szCs w:val="24"/>
        </w:rPr>
      </w:pPr>
    </w:p>
    <w:p w:rsidR="00D27E6E" w:rsidRPr="00C83594" w:rsidRDefault="00D27E6E" w:rsidP="00D27E6E">
      <w:pPr>
        <w:pStyle w:val="NormalWeb"/>
        <w:shd w:val="clear" w:color="auto" w:fill="FEFEFE"/>
        <w:rPr>
          <w:rFonts w:ascii="Arial" w:hAnsi="Arial" w:cs="Arial"/>
        </w:rPr>
      </w:pPr>
      <w:r w:rsidRPr="00C83594">
        <w:rPr>
          <w:rFonts w:ascii="Arial" w:hAnsi="Arial" w:cs="Arial"/>
        </w:rPr>
        <w:t>The main difference between safeguarding in adult and children’s work is concerned with the adult’s right to self-determination. Adults may choose not to protect themselves from risk and social workers are only able to intervene in certain circumstances (Ann Craft Trust, 2019). For this reason, in some situations actions will only be taken following informed consent from the adult. It is a requirement that an adult who has capacity to make informed decisions about their care and support arrangements consents to any intervention in relation to safeguarding, unless there are others who may be at risk or a crime may have been committed (Wales Safeguarding Procedures,2019).</w:t>
      </w:r>
    </w:p>
    <w:p w:rsidR="00D27E6E" w:rsidRPr="00C83594" w:rsidRDefault="00D27E6E" w:rsidP="00D27E6E">
      <w:pPr>
        <w:pStyle w:val="NormalWeb"/>
        <w:shd w:val="clear" w:color="auto" w:fill="FEFEFE"/>
        <w:rPr>
          <w:rFonts w:ascii="Arial" w:hAnsi="Arial" w:cs="Arial"/>
        </w:rPr>
      </w:pPr>
      <w:r w:rsidRPr="00C83594">
        <w:rPr>
          <w:rFonts w:ascii="Arial" w:hAnsi="Arial" w:cs="Arial"/>
        </w:rPr>
        <w:t xml:space="preserve">The Mental Capacity Act 2005 stipulates that a person must be assumed to have capacity unless it is proven otherwise. A person deemed to have capacity is entitled to make unwise decisions even if this places them at risk of harm or abuse. The Social Services and Well-being (Wales) Act 2014 defines well-being outcomes for both adults and children, one of which being protection from abuse and harm. However, an adult may know and understand that they are experiencing abuse but wish their situation to remain the same because of their perception of their own well-being (NSPCC, 2019). </w:t>
      </w:r>
    </w:p>
    <w:p w:rsidR="00D27E6E" w:rsidRPr="00C83594" w:rsidRDefault="00D27E6E" w:rsidP="00D27E6E">
      <w:pPr>
        <w:pStyle w:val="NormalWeb"/>
        <w:shd w:val="clear" w:color="auto" w:fill="FEFEFE"/>
        <w:rPr>
          <w:rFonts w:ascii="Arial" w:hAnsi="Arial" w:cs="Arial"/>
        </w:rPr>
      </w:pPr>
      <w:r w:rsidRPr="00C83594">
        <w:rPr>
          <w:rFonts w:ascii="Arial" w:hAnsi="Arial" w:cs="Arial"/>
        </w:rPr>
        <w:t>Professionals must have regard to the rights of the person and indeed pay regard to their wishes and feelings, informing and consulting about decisions which may affect them (SSWBA14).  Professionals are expected to co-produce with adults and children. However, adults are likely to have more choice and control in relation to how they are supported within their situation (Wales Safeguarding Procedures, 2019).</w:t>
      </w:r>
    </w:p>
    <w:p w:rsidR="00D27E6E" w:rsidRPr="00C83594" w:rsidRDefault="00D27E6E" w:rsidP="00D27E6E">
      <w:pPr>
        <w:rPr>
          <w:color w:val="auto"/>
          <w:sz w:val="24"/>
          <w:szCs w:val="24"/>
        </w:rPr>
      </w:pPr>
    </w:p>
    <w:p w:rsidR="00D27E6E" w:rsidRPr="00C83594" w:rsidRDefault="00D27E6E" w:rsidP="00D27E6E">
      <w:pPr>
        <w:rPr>
          <w:color w:val="auto"/>
          <w:sz w:val="24"/>
          <w:szCs w:val="24"/>
        </w:rPr>
      </w:pPr>
      <w:r w:rsidRPr="00C83594">
        <w:rPr>
          <w:color w:val="auto"/>
          <w:sz w:val="24"/>
          <w:szCs w:val="24"/>
        </w:rPr>
        <w:t>Actions taken within safeguarding differ between children and adult. Section 46 of The Children Act 1989 affords the power to remove children by police in cases of emergency where</w:t>
      </w:r>
      <w:r w:rsidRPr="00C83594">
        <w:rPr>
          <w:rStyle w:val="legds"/>
          <w:color w:val="auto"/>
          <w:sz w:val="24"/>
          <w:szCs w:val="24"/>
        </w:rPr>
        <w:t xml:space="preserve"> there is reasonable cause to believe that a child would otherwise be likely to suffer significant harm. Conversely, for</w:t>
      </w:r>
      <w:r w:rsidRPr="00C83594">
        <w:rPr>
          <w:color w:val="auto"/>
        </w:rPr>
        <w:t xml:space="preserve"> </w:t>
      </w:r>
      <w:r w:rsidRPr="00C83594">
        <w:rPr>
          <w:color w:val="auto"/>
          <w:sz w:val="24"/>
          <w:szCs w:val="24"/>
        </w:rPr>
        <w:t xml:space="preserve">adults there is no power within legislation to remove. However, s127. SSWBA14 allows for an adult and protection support order to be sought to </w:t>
      </w:r>
      <w:r w:rsidRPr="00C83594">
        <w:rPr>
          <w:color w:val="auto"/>
          <w:sz w:val="24"/>
          <w:szCs w:val="24"/>
          <w:shd w:val="clear" w:color="auto" w:fill="FFFFFF"/>
        </w:rPr>
        <w:t>enable an authorised officer of the local authority to speak in private to a person suspected of being an adult at risk in order to establish whether he or she can make decisions freely, to assess whether the person is an adult at risk and to establish whether any action should be taken, and if so, what action (Law Wales, 2019).</w:t>
      </w:r>
    </w:p>
    <w:p w:rsidR="00D27E6E" w:rsidRPr="00C83594" w:rsidRDefault="00D27E6E" w:rsidP="00D27E6E">
      <w:pPr>
        <w:pStyle w:val="NormalWeb"/>
        <w:shd w:val="clear" w:color="auto" w:fill="FEFEFE"/>
        <w:rPr>
          <w:rFonts w:ascii="Arial" w:hAnsi="Arial" w:cs="Arial"/>
        </w:rPr>
      </w:pPr>
      <w:r w:rsidRPr="00C83594">
        <w:rPr>
          <w:rFonts w:ascii="Arial" w:hAnsi="Arial" w:cs="Arial"/>
        </w:rPr>
        <w:t>WORD COUNT 399</w:t>
      </w:r>
    </w:p>
    <w:p w:rsidR="00D27E6E" w:rsidRPr="008B28E7" w:rsidRDefault="00D27E6E" w:rsidP="00D27E6E">
      <w:pPr>
        <w:jc w:val="both"/>
        <w:rPr>
          <w:sz w:val="24"/>
          <w:szCs w:val="24"/>
        </w:rPr>
      </w:pPr>
    </w:p>
    <w:p w:rsidR="00D27E6E" w:rsidRPr="008B28E7" w:rsidRDefault="00D27E6E" w:rsidP="00D27E6E">
      <w:pPr>
        <w:ind w:left="360" w:hanging="360"/>
        <w:jc w:val="both"/>
        <w:rPr>
          <w:sz w:val="24"/>
          <w:szCs w:val="24"/>
        </w:rPr>
      </w:pPr>
    </w:p>
    <w:p w:rsidR="00D27E6E" w:rsidRPr="008B28E7" w:rsidRDefault="00D27E6E" w:rsidP="00D27E6E">
      <w:pPr>
        <w:ind w:left="360" w:hanging="360"/>
        <w:jc w:val="both"/>
        <w:rPr>
          <w:sz w:val="24"/>
          <w:szCs w:val="24"/>
        </w:rPr>
      </w:pPr>
    </w:p>
    <w:p w:rsidR="00D27E6E" w:rsidRPr="008B28E7" w:rsidRDefault="00D27E6E" w:rsidP="00D27E6E">
      <w:pPr>
        <w:ind w:left="360" w:hanging="360"/>
        <w:jc w:val="both"/>
        <w:rPr>
          <w:b/>
          <w:sz w:val="24"/>
          <w:szCs w:val="24"/>
        </w:rPr>
      </w:pPr>
    </w:p>
    <w:p w:rsidR="00D27E6E" w:rsidRDefault="00D27E6E" w:rsidP="00D27E6E">
      <w:pPr>
        <w:jc w:val="center"/>
        <w:rPr>
          <w:b/>
          <w:sz w:val="24"/>
          <w:szCs w:val="24"/>
        </w:rPr>
      </w:pPr>
      <w:r w:rsidRPr="008B28E7">
        <w:rPr>
          <w:b/>
          <w:sz w:val="24"/>
          <w:szCs w:val="24"/>
        </w:rPr>
        <w:br w:type="page"/>
      </w:r>
      <w:r w:rsidRPr="008B28E7">
        <w:rPr>
          <w:b/>
          <w:sz w:val="24"/>
          <w:szCs w:val="24"/>
        </w:rPr>
        <w:lastRenderedPageBreak/>
        <w:t xml:space="preserve">Section </w:t>
      </w:r>
      <w:r>
        <w:rPr>
          <w:b/>
          <w:sz w:val="24"/>
          <w:szCs w:val="24"/>
        </w:rPr>
        <w:t>6</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Developmental Review</w:t>
      </w:r>
      <w:r>
        <w:rPr>
          <w:b/>
          <w:sz w:val="24"/>
          <w:szCs w:val="24"/>
        </w:rPr>
        <w:t xml:space="preserve"> (b)</w:t>
      </w: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D27E6E" w:rsidRPr="008B28E7" w:rsidRDefault="00D27E6E" w:rsidP="00D27E6E">
            <w:pPr>
              <w:jc w:val="both"/>
              <w:rPr>
                <w:sz w:val="24"/>
                <w:szCs w:val="24"/>
              </w:rPr>
            </w:pPr>
          </w:p>
          <w:p w:rsidR="00D27E6E" w:rsidRPr="008B28E7" w:rsidRDefault="00D27E6E" w:rsidP="00D27E6E">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722674" w:rsidRDefault="00D27E6E" w:rsidP="00D27E6E">
      <w:pPr>
        <w:pStyle w:val="Heading3"/>
        <w:shd w:val="clear" w:color="auto" w:fill="FFFFFF"/>
        <w:spacing w:before="0"/>
        <w:rPr>
          <w:rFonts w:ascii="Arial" w:hAnsi="Arial" w:cs="Arial"/>
          <w:b/>
          <w:color w:val="auto"/>
        </w:rPr>
      </w:pPr>
      <w:r w:rsidRPr="00722674">
        <w:rPr>
          <w:rFonts w:ascii="Arial" w:hAnsi="Arial" w:cs="Arial"/>
          <w:color w:val="auto"/>
        </w:rPr>
        <w:t xml:space="preserve">Reflecting on my development, I feel that overall I have achieved my aims. Completing the VARK assessment (2019) was crucial in supporting me to tailor my learning. I have attended various training sessions, some traditional classroom based and some more innovative, such as a ‘virtual dementia </w:t>
      </w:r>
      <w:proofErr w:type="spellStart"/>
      <w:r w:rsidRPr="00722674">
        <w:rPr>
          <w:rFonts w:ascii="Arial" w:hAnsi="Arial" w:cs="Arial"/>
          <w:color w:val="auto"/>
        </w:rPr>
        <w:t>bus’</w:t>
      </w:r>
      <w:proofErr w:type="spellEnd"/>
      <w:r w:rsidRPr="00722674">
        <w:rPr>
          <w:rFonts w:ascii="Arial" w:hAnsi="Arial" w:cs="Arial"/>
          <w:color w:val="auto"/>
        </w:rPr>
        <w:t xml:space="preserve"> (2019). What I learnt was that fundamentally, I need to be visually stimulated to learn. I found the virtual dementia bus incredibly engaging and thought provoking, causing me a desire to learn more about how dementia affects individuals, their families and care givers. This has led me to watch podcasts produced by the Dementia Action Alliance (2019). Through discussion with my mentor, I have identified that I would like to train to be a ‘dementia friend’ within my team (The Alzheimer’s Society, 2020).</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 xml:space="preserve">I have developed my ability to critically analyse my own practice and have begun to embed the signs of safety model (Edwards &amp; </w:t>
      </w:r>
      <w:proofErr w:type="spellStart"/>
      <w:r w:rsidRPr="00722674">
        <w:rPr>
          <w:color w:val="auto"/>
          <w:sz w:val="24"/>
          <w:szCs w:val="24"/>
        </w:rPr>
        <w:t>Turnell</w:t>
      </w:r>
      <w:proofErr w:type="spellEnd"/>
      <w:r w:rsidRPr="00722674">
        <w:rPr>
          <w:color w:val="auto"/>
          <w:sz w:val="24"/>
          <w:szCs w:val="24"/>
        </w:rPr>
        <w:t xml:space="preserve">, 1999) within my practice, despite the challenges I found in doing so. Much of the literature available in regard to </w:t>
      </w:r>
      <w:proofErr w:type="spellStart"/>
      <w:proofErr w:type="gramStart"/>
      <w:r w:rsidRPr="00722674">
        <w:rPr>
          <w:color w:val="auto"/>
          <w:sz w:val="24"/>
          <w:szCs w:val="24"/>
        </w:rPr>
        <w:t>SoS</w:t>
      </w:r>
      <w:proofErr w:type="spellEnd"/>
      <w:proofErr w:type="gramEnd"/>
      <w:r w:rsidRPr="00722674">
        <w:rPr>
          <w:color w:val="auto"/>
          <w:sz w:val="24"/>
          <w:szCs w:val="24"/>
        </w:rPr>
        <w:t xml:space="preserve"> is specific to child safeguarding practice. I was initially daunted, due to working primarily with adults. However, through reflecting ‘in action and on action’ (</w:t>
      </w:r>
      <w:proofErr w:type="spellStart"/>
      <w:r w:rsidRPr="00722674">
        <w:rPr>
          <w:color w:val="auto"/>
          <w:sz w:val="24"/>
          <w:szCs w:val="24"/>
        </w:rPr>
        <w:t>Schon</w:t>
      </w:r>
      <w:proofErr w:type="spellEnd"/>
      <w:r w:rsidRPr="00722674">
        <w:rPr>
          <w:color w:val="auto"/>
          <w:sz w:val="24"/>
          <w:szCs w:val="24"/>
        </w:rPr>
        <w:t xml:space="preserve">, 1983), I feel that I have developed a method which works for me and realise that I will continuously develop my thinking through reflective practice. I have attended various training sessions in relation to adapting and applying </w:t>
      </w:r>
      <w:proofErr w:type="spellStart"/>
      <w:proofErr w:type="gramStart"/>
      <w:r w:rsidRPr="00722674">
        <w:rPr>
          <w:color w:val="auto"/>
          <w:sz w:val="24"/>
          <w:szCs w:val="24"/>
        </w:rPr>
        <w:t>SoS</w:t>
      </w:r>
      <w:proofErr w:type="spellEnd"/>
      <w:proofErr w:type="gramEnd"/>
      <w:r w:rsidRPr="00722674">
        <w:rPr>
          <w:color w:val="auto"/>
          <w:sz w:val="24"/>
          <w:szCs w:val="24"/>
        </w:rPr>
        <w:t xml:space="preserve"> to adult practice, which has certainly consolidated my knowledge. Discussion with my mentor has enabled me to develop my confidence in adapting the model to various situations, from care plan reviews to chairing best interest meetings (NICE, 2018). I have developed into facilitating the signs of safety case reviews held within the team and in terms of my further development hope to become a </w:t>
      </w:r>
      <w:proofErr w:type="spellStart"/>
      <w:proofErr w:type="gramStart"/>
      <w:r w:rsidRPr="00722674">
        <w:rPr>
          <w:color w:val="auto"/>
          <w:sz w:val="24"/>
          <w:szCs w:val="24"/>
        </w:rPr>
        <w:t>SoS</w:t>
      </w:r>
      <w:proofErr w:type="spellEnd"/>
      <w:proofErr w:type="gramEnd"/>
      <w:r w:rsidRPr="00722674">
        <w:rPr>
          <w:color w:val="auto"/>
          <w:sz w:val="24"/>
          <w:szCs w:val="24"/>
        </w:rPr>
        <w:t xml:space="preserve"> pra</w:t>
      </w:r>
      <w:r w:rsidR="00C83594" w:rsidRPr="00722674">
        <w:rPr>
          <w:color w:val="auto"/>
          <w:sz w:val="24"/>
          <w:szCs w:val="24"/>
        </w:rPr>
        <w:t>ctice lead within my Local A</w:t>
      </w:r>
      <w:r w:rsidRPr="00722674">
        <w:rPr>
          <w:color w:val="auto"/>
          <w:sz w:val="24"/>
          <w:szCs w:val="24"/>
        </w:rPr>
        <w:t>uthority.</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I have found supervision a safe space to discuss the values, conflicts, ethical and moral dilemmas that I have experienced (Browne &amp; Bourne, 1996). Having managed some complex cases this year, supervision has enabled me to reflect and focus on what has worked well within my practice and helped me to identify areas I still need to focus on. One of these areas has been my ability to use the Welsh language more fluently. I have gained a deeper appreciation of the ‘Active Offer’ (Welsh Government, 2015) and have found some situations frustrating as I have not felt able to fully engage with service users due to my lack of Welsh Language skills. Moving forward, I intend to develop fluency in Welsh within the next year.</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Considering feedback I have received this year has helped me think more about my professional integrity (Department of Health, 2016). Some service users have commented that they have appreciated the time and understanding I have given them. One service user became upset due her husband needing to access a care home. She later told me that she was relieved that the decision wasn’t rushed and how she was glad she had been so involved with the decision making. Although I was satisfied that this showed I had practiced within the National Occupational Standards (2011), I reflected on thinking about my practice had she have felt excluded. This consolidates for me how important co-production is and I feel that I have come to appreciate that what service users want is time, honesty and above all to have a voice and be listened to (</w:t>
      </w:r>
      <w:proofErr w:type="spellStart"/>
      <w:r w:rsidRPr="00722674">
        <w:rPr>
          <w:color w:val="auto"/>
          <w:sz w:val="24"/>
          <w:szCs w:val="24"/>
        </w:rPr>
        <w:t>DoH</w:t>
      </w:r>
      <w:proofErr w:type="spellEnd"/>
      <w:r w:rsidRPr="00722674">
        <w:rPr>
          <w:color w:val="auto"/>
          <w:sz w:val="24"/>
          <w:szCs w:val="24"/>
        </w:rPr>
        <w:t>, 2016).</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Through working collaboratively with various other professionals, I feel I have become more assertive and better equipped to manage more complex meetings. Court Skills training helped me to understand how crucial it is to work within legislative frameworks and professional boundaries (BASW, 2009). I have discussed case law specific to Court of Protection cases regularly with my mentor, this I believe has furthered my professional development in becoming an accountable practitioner. I have identified that I will need further training specific to the new legislation due to be implemented in relation to the Liberty Protection Safeguards (SCIE, 2020).</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 xml:space="preserve">I have identified that I would like to undertake the Practice Assessor Award. I feel that I have benefitted this year by new member of staff shadowing my practice as part of their induction as it has caused me to reflect on their questions in addition to my practice. </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Transitioning into an experienced practitioner will entail a plan of action, which I have developed in consultation with my mentor and supervisor. I feel confident that I am able to ask for support and guidance when required. As my caseload and complexity of work has increased I have also learnt that ‘self-care’ is vital to my own well-being and ability to practice effectively. I’ve started to practice mindfulness as a means to relax and switch off (Community Care, 2018). Having researched burn out in social work practice (Lloyd</w:t>
      </w:r>
      <w:r w:rsidR="00C83594" w:rsidRPr="00722674">
        <w:rPr>
          <w:color w:val="auto"/>
          <w:sz w:val="24"/>
          <w:szCs w:val="24"/>
        </w:rPr>
        <w:t xml:space="preserve"> et al.</w:t>
      </w:r>
      <w:r w:rsidRPr="00722674">
        <w:rPr>
          <w:color w:val="auto"/>
          <w:sz w:val="24"/>
          <w:szCs w:val="24"/>
        </w:rPr>
        <w:t xml:space="preserve"> 2002). I feel strongly about ensuring I prevent this happening to me. </w:t>
      </w:r>
    </w:p>
    <w:p w:rsidR="00D27E6E" w:rsidRDefault="00D27E6E" w:rsidP="00D27E6E">
      <w:pPr>
        <w:rPr>
          <w:sz w:val="24"/>
          <w:szCs w:val="24"/>
        </w:rPr>
      </w:pPr>
    </w:p>
    <w:p w:rsidR="00D27E6E" w:rsidRDefault="00D27E6E" w:rsidP="00D27E6E">
      <w:pPr>
        <w:rPr>
          <w:sz w:val="24"/>
          <w:szCs w:val="24"/>
        </w:rPr>
      </w:pPr>
    </w:p>
    <w:p w:rsidR="00D27E6E" w:rsidRDefault="00D27E6E" w:rsidP="00D27E6E">
      <w:pPr>
        <w:rPr>
          <w:sz w:val="24"/>
          <w:szCs w:val="24"/>
        </w:rPr>
      </w:pPr>
      <w:r>
        <w:rPr>
          <w:sz w:val="24"/>
          <w:szCs w:val="24"/>
        </w:rPr>
        <w:t>WORD COUNT</w:t>
      </w:r>
    </w:p>
    <w:p w:rsidR="00D27E6E" w:rsidRDefault="00D27E6E" w:rsidP="00D27E6E">
      <w:pPr>
        <w:rPr>
          <w:sz w:val="24"/>
          <w:szCs w:val="24"/>
        </w:rPr>
      </w:pPr>
      <w:r>
        <w:rPr>
          <w:sz w:val="24"/>
          <w:szCs w:val="24"/>
        </w:rPr>
        <w:t>828</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B17FA0" w:rsidRDefault="00D27E6E" w:rsidP="00D27E6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D27E6E" w:rsidRPr="00B17FA0"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D27E6E" w:rsidRPr="00B17FA0" w:rsidTr="00D27E6E">
        <w:tc>
          <w:tcPr>
            <w:tcW w:w="5094" w:type="dxa"/>
          </w:tcPr>
          <w:p w:rsidR="00D27E6E" w:rsidRPr="00B17FA0" w:rsidRDefault="00D27E6E" w:rsidP="00D27E6E">
            <w:pPr>
              <w:jc w:val="both"/>
              <w:rPr>
                <w:sz w:val="24"/>
                <w:szCs w:val="24"/>
              </w:rPr>
            </w:pPr>
            <w:r>
              <w:rPr>
                <w:sz w:val="24"/>
                <w:szCs w:val="24"/>
              </w:rPr>
              <w:t>Consolidation workshop</w:t>
            </w:r>
            <w:r w:rsidRPr="00B17FA0">
              <w:rPr>
                <w:sz w:val="24"/>
                <w:szCs w:val="24"/>
              </w:rPr>
              <w:t xml:space="preserve"> </w:t>
            </w:r>
          </w:p>
        </w:tc>
        <w:tc>
          <w:tcPr>
            <w:tcW w:w="5094" w:type="dxa"/>
          </w:tcPr>
          <w:p w:rsidR="00D27E6E" w:rsidRPr="00B17FA0" w:rsidRDefault="00D27E6E" w:rsidP="00D27E6E">
            <w:pPr>
              <w:jc w:val="both"/>
              <w:rPr>
                <w:sz w:val="24"/>
                <w:szCs w:val="24"/>
              </w:rPr>
            </w:pPr>
            <w:r w:rsidRPr="00B17FA0">
              <w:rPr>
                <w:sz w:val="24"/>
                <w:szCs w:val="24"/>
              </w:rPr>
              <w:t xml:space="preserve">Date Attended  </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1</w:t>
            </w:r>
          </w:p>
        </w:tc>
        <w:tc>
          <w:tcPr>
            <w:tcW w:w="5094" w:type="dxa"/>
          </w:tcPr>
          <w:p w:rsidR="00D27E6E" w:rsidRPr="00B17FA0" w:rsidRDefault="00D27E6E" w:rsidP="00D27E6E">
            <w:pPr>
              <w:jc w:val="both"/>
              <w:rPr>
                <w:sz w:val="24"/>
                <w:szCs w:val="24"/>
              </w:rPr>
            </w:pPr>
            <w:r>
              <w:rPr>
                <w:sz w:val="24"/>
                <w:szCs w:val="24"/>
              </w:rPr>
              <w:t>28.03.2019</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2</w:t>
            </w:r>
          </w:p>
        </w:tc>
        <w:tc>
          <w:tcPr>
            <w:tcW w:w="5094" w:type="dxa"/>
          </w:tcPr>
          <w:p w:rsidR="00D27E6E" w:rsidRPr="00B17FA0" w:rsidRDefault="00D27E6E" w:rsidP="00D27E6E">
            <w:pPr>
              <w:jc w:val="both"/>
              <w:rPr>
                <w:sz w:val="24"/>
                <w:szCs w:val="24"/>
              </w:rPr>
            </w:pPr>
            <w:r>
              <w:rPr>
                <w:sz w:val="24"/>
                <w:szCs w:val="24"/>
              </w:rPr>
              <w:t>12.9.2019</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3</w:t>
            </w:r>
          </w:p>
        </w:tc>
        <w:tc>
          <w:tcPr>
            <w:tcW w:w="5094" w:type="dxa"/>
          </w:tcPr>
          <w:p w:rsidR="00D27E6E" w:rsidRPr="00B17FA0" w:rsidRDefault="00D27E6E" w:rsidP="00D27E6E">
            <w:pPr>
              <w:jc w:val="both"/>
              <w:rPr>
                <w:sz w:val="24"/>
                <w:szCs w:val="24"/>
              </w:rPr>
            </w:pPr>
            <w:r>
              <w:rPr>
                <w:sz w:val="24"/>
                <w:szCs w:val="24"/>
              </w:rPr>
              <w:t>12.09.2019</w:t>
            </w:r>
          </w:p>
        </w:tc>
      </w:tr>
      <w:tr w:rsidR="00D27E6E" w:rsidRPr="008B28E7" w:rsidTr="00D27E6E">
        <w:tc>
          <w:tcPr>
            <w:tcW w:w="5094" w:type="dxa"/>
          </w:tcPr>
          <w:p w:rsidR="00D27E6E" w:rsidRPr="00B17FA0" w:rsidRDefault="00D27E6E" w:rsidP="00D27E6E">
            <w:pPr>
              <w:jc w:val="both"/>
              <w:rPr>
                <w:sz w:val="24"/>
                <w:szCs w:val="24"/>
              </w:rPr>
            </w:pPr>
            <w:r w:rsidRPr="00B17FA0">
              <w:rPr>
                <w:sz w:val="24"/>
                <w:szCs w:val="24"/>
              </w:rPr>
              <w:t>4</w:t>
            </w:r>
          </w:p>
        </w:tc>
        <w:tc>
          <w:tcPr>
            <w:tcW w:w="5094" w:type="dxa"/>
          </w:tcPr>
          <w:p w:rsidR="00D27E6E" w:rsidRPr="00B17FA0" w:rsidRDefault="00D27E6E" w:rsidP="00D27E6E">
            <w:pPr>
              <w:jc w:val="both"/>
              <w:rPr>
                <w:sz w:val="24"/>
                <w:szCs w:val="24"/>
              </w:rPr>
            </w:pPr>
            <w:r>
              <w:rPr>
                <w:sz w:val="24"/>
                <w:szCs w:val="24"/>
              </w:rPr>
              <w:t>04.12.2019</w:t>
            </w:r>
          </w:p>
        </w:tc>
      </w:tr>
    </w:tbl>
    <w:p w:rsidR="00D27E6E" w:rsidRPr="008B28E7" w:rsidRDefault="00D27E6E" w:rsidP="00D27E6E">
      <w:pPr>
        <w:jc w:val="both"/>
        <w:rPr>
          <w:sz w:val="24"/>
          <w:szCs w:val="24"/>
        </w:rPr>
      </w:pPr>
    </w:p>
    <w:p w:rsidR="00D27E6E" w:rsidRDefault="00D27E6E" w:rsidP="00D27E6E">
      <w:pPr>
        <w:jc w:val="both"/>
        <w:rPr>
          <w:sz w:val="24"/>
          <w:szCs w:val="24"/>
        </w:rPr>
      </w:pPr>
      <w:r>
        <w:rPr>
          <w:sz w:val="24"/>
          <w:szCs w:val="24"/>
        </w:rPr>
        <w:t>Notes</w:t>
      </w:r>
      <w:r w:rsidRPr="008B28E7">
        <w:rPr>
          <w:sz w:val="24"/>
          <w:szCs w:val="24"/>
        </w:rPr>
        <w:t xml:space="preserve"> </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tcPr>
          <w:p w:rsidR="00D27E6E" w:rsidRDefault="00D27E6E" w:rsidP="00D27E6E">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D27E6E" w:rsidRPr="008B28E7" w:rsidRDefault="00D27E6E" w:rsidP="00D27E6E">
            <w:pPr>
              <w:jc w:val="both"/>
              <w:rPr>
                <w:sz w:val="24"/>
                <w:szCs w:val="24"/>
              </w:rPr>
            </w:pPr>
          </w:p>
        </w:tc>
      </w:tr>
      <w:tr w:rsidR="00D27E6E" w:rsidRPr="008B28E7" w:rsidTr="00D27E6E">
        <w:tc>
          <w:tcPr>
            <w:tcW w:w="10188" w:type="dxa"/>
          </w:tcPr>
          <w:p w:rsidR="00D27E6E" w:rsidRPr="008B28E7" w:rsidRDefault="00D27E6E" w:rsidP="00D27E6E">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D27E6E" w:rsidRDefault="00D27E6E" w:rsidP="00D27E6E">
      <w:pPr>
        <w:jc w:val="both"/>
        <w:rPr>
          <w:sz w:val="24"/>
          <w:szCs w:val="24"/>
        </w:rPr>
      </w:pPr>
    </w:p>
    <w:p w:rsidR="00D27E6E" w:rsidRPr="005224C9" w:rsidRDefault="00D27E6E" w:rsidP="00D27E6E">
      <w:pPr>
        <w:rPr>
          <w:sz w:val="24"/>
          <w:szCs w:val="24"/>
        </w:rPr>
      </w:pPr>
      <w:r w:rsidRPr="005224C9">
        <w:rPr>
          <w:sz w:val="24"/>
          <w:szCs w:val="24"/>
        </w:rPr>
        <w:t xml:space="preserve">Throughout the process of undertaking the CPEL course the student has made consistent efforts to develop and improve practice skills. When considering the learning outcomes as well as general practice there is evidence of consistent improvement and a commitments to developing understanding in regards to policy and legislative frameworks, practice frameworks and a deeper understanding of the challenges faced by individuals. </w:t>
      </w:r>
    </w:p>
    <w:p w:rsidR="00D27E6E" w:rsidRPr="005224C9" w:rsidRDefault="00D27E6E" w:rsidP="00D27E6E">
      <w:pPr>
        <w:rPr>
          <w:sz w:val="24"/>
          <w:szCs w:val="24"/>
        </w:rPr>
      </w:pPr>
      <w:r w:rsidRPr="005224C9">
        <w:rPr>
          <w:sz w:val="24"/>
          <w:szCs w:val="24"/>
        </w:rPr>
        <w:t xml:space="preserve">The student highlighted three key areas for development; Application of Signs of Safety model, development of skills in relation to adult safeguarding and increased knowledge in relation to dementia. </w:t>
      </w:r>
    </w:p>
    <w:p w:rsidR="00D27E6E" w:rsidRPr="005224C9" w:rsidRDefault="00D27E6E" w:rsidP="00D27E6E">
      <w:pPr>
        <w:rPr>
          <w:sz w:val="24"/>
          <w:szCs w:val="24"/>
        </w:rPr>
      </w:pPr>
      <w:r w:rsidRPr="005224C9">
        <w:rPr>
          <w:sz w:val="24"/>
          <w:szCs w:val="24"/>
        </w:rPr>
        <w:lastRenderedPageBreak/>
        <w:t>Over the last 12 months the student has made considerable efforts to gain greater insight and understanding of the Signs of Safety model and how this applies to her role. There is evidence of the student increasingly using this in practice within assessments which demonstrate a greater analysis and move towards risk management. The student has also taken an active role in leading the Case review meetings which are explored through the signs of safety model.  As a result of her considerable effort in this regard she has been nominated as a practice lead for signs of safety.</w:t>
      </w:r>
    </w:p>
    <w:p w:rsidR="00D27E6E" w:rsidRPr="005224C9" w:rsidRDefault="00D27E6E" w:rsidP="00D27E6E">
      <w:pPr>
        <w:rPr>
          <w:sz w:val="24"/>
          <w:szCs w:val="24"/>
        </w:rPr>
      </w:pPr>
      <w:r w:rsidRPr="005224C9">
        <w:rPr>
          <w:sz w:val="24"/>
          <w:szCs w:val="24"/>
        </w:rPr>
        <w:t xml:space="preserve">The students work in relation to adult safeguarding has been increasingly complex, The student has successfully demonstrated an familiarity and understanding of the legislative and policy frameworks in this area and has utilised supervision/mentoring to explore and reflect on such interventions and identify ways in which her practice can be further developed. </w:t>
      </w:r>
    </w:p>
    <w:p w:rsidR="00D27E6E" w:rsidRPr="005224C9" w:rsidRDefault="00D27E6E" w:rsidP="00D27E6E">
      <w:pPr>
        <w:rPr>
          <w:sz w:val="24"/>
          <w:szCs w:val="24"/>
        </w:rPr>
      </w:pPr>
      <w:r w:rsidRPr="005224C9">
        <w:rPr>
          <w:sz w:val="24"/>
          <w:szCs w:val="24"/>
        </w:rPr>
        <w:t xml:space="preserve">The final area identified by the student was an increased knowledge and understanding of dementia. The student has actively sought learning opportunities in this area as well as engaged in personal reading to further deepen her knowledge. The student has appropriately reflected on the learning in order to reinforce learning and understanding and has discussed the development of practice during mentoring. </w:t>
      </w:r>
    </w:p>
    <w:p w:rsidR="00D27E6E" w:rsidRDefault="00D27E6E" w:rsidP="00D27E6E">
      <w:r w:rsidRPr="005224C9">
        <w:rPr>
          <w:sz w:val="24"/>
          <w:szCs w:val="24"/>
        </w:rPr>
        <w:t>In my opinion the student’s development during the period has exceeded those set out in her developmental review. The student has successfully utilised the learning period to further develop an understanding practice and has appropriately utilised reflection and constructive criticism to make positive changes to practice quality</w:t>
      </w:r>
      <w:r>
        <w:t xml:space="preserve">. </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b/>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Default="00D27E6E" w:rsidP="00D27E6E">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rsidR="00D27E6E" w:rsidRDefault="00D27E6E" w:rsidP="00D27E6E">
      <w:pPr>
        <w:keepNext/>
        <w:spacing w:before="240" w:after="60"/>
        <w:jc w:val="both"/>
        <w:rPr>
          <w:b/>
          <w:sz w:val="24"/>
          <w:szCs w:val="24"/>
        </w:rPr>
      </w:pPr>
      <w:r w:rsidRPr="008B28E7">
        <w:rPr>
          <w:b/>
          <w:sz w:val="24"/>
          <w:szCs w:val="24"/>
        </w:rPr>
        <w:t>Bibliography</w:t>
      </w:r>
    </w:p>
    <w:p w:rsidR="00D27E6E" w:rsidRPr="008B28E7" w:rsidRDefault="00D27E6E" w:rsidP="00D27E6E">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D27E6E" w:rsidRDefault="00D27E6E" w:rsidP="00D27E6E">
      <w:pPr>
        <w:jc w:val="both"/>
        <w:rPr>
          <w:b/>
          <w:sz w:val="24"/>
          <w:szCs w:val="24"/>
        </w:rPr>
      </w:pPr>
    </w:p>
    <w:p w:rsidR="00D27E6E" w:rsidRDefault="00D27E6E" w:rsidP="00D27E6E">
      <w:pPr>
        <w:rPr>
          <w:sz w:val="24"/>
          <w:szCs w:val="24"/>
        </w:rPr>
      </w:pPr>
      <w:r w:rsidRPr="000D12AB">
        <w:rPr>
          <w:sz w:val="24"/>
          <w:szCs w:val="24"/>
        </w:rPr>
        <w:t xml:space="preserve">Ann Craft Trust </w:t>
      </w:r>
      <w:r>
        <w:rPr>
          <w:sz w:val="24"/>
          <w:szCs w:val="24"/>
        </w:rPr>
        <w:t>(</w:t>
      </w:r>
      <w:r w:rsidRPr="000D12AB">
        <w:rPr>
          <w:sz w:val="24"/>
          <w:szCs w:val="24"/>
        </w:rPr>
        <w:t>2019</w:t>
      </w:r>
      <w:r>
        <w:rPr>
          <w:sz w:val="24"/>
          <w:szCs w:val="24"/>
        </w:rPr>
        <w:t>)</w:t>
      </w:r>
      <w:r w:rsidRPr="000D12AB">
        <w:rPr>
          <w:sz w:val="24"/>
          <w:szCs w:val="24"/>
        </w:rPr>
        <w:t xml:space="preserve"> [online] Available at</w:t>
      </w:r>
      <w:r w:rsidRPr="006D15D0">
        <w:rPr>
          <w:sz w:val="24"/>
          <w:szCs w:val="24"/>
        </w:rPr>
        <w:t xml:space="preserve"> </w:t>
      </w:r>
      <w:hyperlink r:id="rId7" w:history="1">
        <w:r w:rsidRPr="006D15D0">
          <w:rPr>
            <w:rStyle w:val="Hyperlink"/>
            <w:sz w:val="24"/>
            <w:szCs w:val="24"/>
          </w:rPr>
          <w:t>https://www.anncrafttrust.org/resources/why-have-different-policies-and-procedures-for-safeguarding-children-and-adults/</w:t>
        </w:r>
      </w:hyperlink>
      <w:r w:rsidRPr="006D15D0">
        <w:rPr>
          <w:sz w:val="24"/>
          <w:szCs w:val="24"/>
        </w:rPr>
        <w:t xml:space="preserve"> (Accessed 29 October 2019).</w:t>
      </w:r>
    </w:p>
    <w:p w:rsidR="00D27E6E" w:rsidRDefault="00D27E6E" w:rsidP="00D27E6E">
      <w:pPr>
        <w:rPr>
          <w:sz w:val="24"/>
          <w:szCs w:val="24"/>
        </w:rPr>
      </w:pPr>
    </w:p>
    <w:p w:rsidR="00D27E6E" w:rsidRDefault="00D27E6E" w:rsidP="00D27E6E">
      <w:pPr>
        <w:rPr>
          <w:sz w:val="24"/>
          <w:szCs w:val="24"/>
        </w:rPr>
      </w:pPr>
      <w:r>
        <w:rPr>
          <w:sz w:val="24"/>
          <w:szCs w:val="24"/>
        </w:rPr>
        <w:t xml:space="preserve">BASW (2009) Professional Boundaries: Guidance for social workers [online] Available at </w:t>
      </w:r>
      <w:hyperlink r:id="rId8" w:history="1">
        <w:r w:rsidRPr="005224C9">
          <w:rPr>
            <w:rStyle w:val="Hyperlink"/>
            <w:sz w:val="24"/>
            <w:szCs w:val="24"/>
          </w:rPr>
          <w:t>https://www.basw.co.uk/resources/professional-boundaries-guidance-social-workers</w:t>
        </w:r>
      </w:hyperlink>
      <w:r w:rsidRPr="005224C9">
        <w:rPr>
          <w:sz w:val="24"/>
          <w:szCs w:val="24"/>
        </w:rPr>
        <w:t xml:space="preserve"> (Accessed 02 February 2020).</w:t>
      </w:r>
    </w:p>
    <w:p w:rsidR="00D27E6E" w:rsidRDefault="00D27E6E" w:rsidP="00D27E6E"/>
    <w:p w:rsidR="00D27E6E" w:rsidRDefault="00D27E6E" w:rsidP="00D27E6E">
      <w:r w:rsidRPr="0053775C">
        <w:rPr>
          <w:sz w:val="24"/>
          <w:szCs w:val="24"/>
        </w:rPr>
        <w:t xml:space="preserve">BASW (2014) Code of Ethics [online] Available at </w:t>
      </w:r>
      <w:hyperlink r:id="rId9" w:history="1">
        <w:r w:rsidRPr="0053775C">
          <w:rPr>
            <w:rStyle w:val="Hyperlink"/>
            <w:sz w:val="24"/>
            <w:szCs w:val="24"/>
          </w:rPr>
          <w:t>https://www.basw.co.uk/about-basw/code-ethics</w:t>
        </w:r>
      </w:hyperlink>
      <w:r w:rsidRPr="0053775C">
        <w:rPr>
          <w:sz w:val="24"/>
          <w:szCs w:val="24"/>
        </w:rPr>
        <w:t xml:space="preserve"> (Accessed 02 February 2020</w:t>
      </w:r>
      <w:r>
        <w:t>).</w:t>
      </w:r>
    </w:p>
    <w:p w:rsidR="00D27E6E" w:rsidRDefault="00D27E6E" w:rsidP="00D27E6E">
      <w:pPr>
        <w:rPr>
          <w:sz w:val="24"/>
          <w:szCs w:val="24"/>
        </w:rPr>
      </w:pPr>
    </w:p>
    <w:p w:rsidR="00D27E6E" w:rsidRDefault="00D27E6E" w:rsidP="00D27E6E">
      <w:pPr>
        <w:rPr>
          <w:sz w:val="24"/>
          <w:szCs w:val="24"/>
        </w:rPr>
      </w:pPr>
      <w:r w:rsidRPr="009D53E2">
        <w:rPr>
          <w:sz w:val="24"/>
          <w:szCs w:val="24"/>
        </w:rPr>
        <w:t xml:space="preserve">BASW (2020) Person-centred Care made simple [online] Available at </w:t>
      </w:r>
      <w:hyperlink r:id="rId10" w:history="1">
        <w:r w:rsidRPr="009D53E2">
          <w:rPr>
            <w:rStyle w:val="Hyperlink"/>
            <w:sz w:val="24"/>
            <w:szCs w:val="24"/>
          </w:rPr>
          <w:t>https://www.basw.co.uk/resources/person-centred-care-made-simple</w:t>
        </w:r>
      </w:hyperlink>
      <w:r w:rsidRPr="009D53E2">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Brown, A. and Bourne, I. (1996) </w:t>
      </w:r>
      <w:proofErr w:type="gramStart"/>
      <w:r>
        <w:rPr>
          <w:sz w:val="24"/>
          <w:szCs w:val="24"/>
        </w:rPr>
        <w:t>The</w:t>
      </w:r>
      <w:proofErr w:type="gramEnd"/>
      <w:r>
        <w:rPr>
          <w:sz w:val="24"/>
          <w:szCs w:val="24"/>
        </w:rPr>
        <w:t xml:space="preserve"> Social Work Supervisor, Buckingham, Open University Press.</w:t>
      </w:r>
    </w:p>
    <w:p w:rsidR="00D27E6E" w:rsidRPr="009D53E2" w:rsidRDefault="00D27E6E" w:rsidP="00D27E6E">
      <w:pPr>
        <w:rPr>
          <w:sz w:val="24"/>
          <w:szCs w:val="24"/>
        </w:rPr>
      </w:pPr>
    </w:p>
    <w:p w:rsidR="00D27E6E" w:rsidRDefault="00D27E6E" w:rsidP="00D27E6E">
      <w:pPr>
        <w:rPr>
          <w:sz w:val="24"/>
          <w:szCs w:val="24"/>
        </w:rPr>
      </w:pPr>
      <w:r w:rsidRPr="006D15D0">
        <w:rPr>
          <w:sz w:val="24"/>
          <w:szCs w:val="24"/>
        </w:rPr>
        <w:t xml:space="preserve">Census (2011) Stats Wales: Welsh Language [online] Available at </w:t>
      </w:r>
      <w:hyperlink r:id="rId11" w:history="1">
        <w:r w:rsidRPr="0045417E">
          <w:rPr>
            <w:rStyle w:val="Hyperlink"/>
            <w:sz w:val="24"/>
            <w:szCs w:val="24"/>
          </w:rPr>
          <w:t>https://statswales.gov.wales/Catalogue/Welsh-Language/Census-Welsh-Language</w:t>
        </w:r>
      </w:hyperlink>
      <w:r w:rsidRPr="006D15D0">
        <w:rPr>
          <w:sz w:val="24"/>
          <w:szCs w:val="24"/>
        </w:rPr>
        <w:t xml:space="preserve"> (Accessed 20 November 2019).</w:t>
      </w:r>
    </w:p>
    <w:p w:rsidR="00D27E6E" w:rsidRPr="009613AB" w:rsidRDefault="00D27E6E" w:rsidP="00D27E6E">
      <w:pPr>
        <w:rPr>
          <w:sz w:val="24"/>
          <w:szCs w:val="24"/>
        </w:rPr>
      </w:pPr>
    </w:p>
    <w:p w:rsidR="00D27E6E" w:rsidRDefault="00D27E6E" w:rsidP="00D27E6E">
      <w:pPr>
        <w:rPr>
          <w:sz w:val="24"/>
          <w:szCs w:val="24"/>
        </w:rPr>
      </w:pPr>
      <w:r w:rsidRPr="00975AFC">
        <w:rPr>
          <w:sz w:val="24"/>
          <w:szCs w:val="24"/>
        </w:rPr>
        <w:t xml:space="preserve">Chenoweth. L, King. R, &amp; Lloyd. C 2002 Social work, stress and burnout: A review. Journal of Mental Health (2002) 11, 3, 255–265 [online] Available at </w:t>
      </w:r>
      <w:hyperlink r:id="rId12" w:history="1">
        <w:r w:rsidRPr="00975AFC">
          <w:rPr>
            <w:rStyle w:val="Hyperlink"/>
            <w:sz w:val="24"/>
            <w:szCs w:val="24"/>
          </w:rPr>
          <w:t>https://www.researchgate.net/publication/29464897_Social_Work_stress_and_burnout_A_review/link/0912f50a0ac4144275000000/download</w:t>
        </w:r>
      </w:hyperlink>
      <w:r w:rsidRPr="00975AFC">
        <w:rPr>
          <w:sz w:val="24"/>
          <w:szCs w:val="24"/>
        </w:rPr>
        <w:t xml:space="preserve"> (Accessed 02 February 2020).</w:t>
      </w:r>
    </w:p>
    <w:p w:rsidR="00722674" w:rsidRPr="006D15D0" w:rsidRDefault="00722674" w:rsidP="00D27E6E">
      <w:pPr>
        <w:rPr>
          <w:sz w:val="24"/>
          <w:szCs w:val="24"/>
        </w:rPr>
      </w:pPr>
    </w:p>
    <w:p w:rsidR="00D27E6E" w:rsidRDefault="00D27E6E" w:rsidP="00D27E6E">
      <w:pPr>
        <w:rPr>
          <w:sz w:val="24"/>
          <w:szCs w:val="24"/>
        </w:rPr>
      </w:pPr>
      <w:r w:rsidRPr="006D15D0">
        <w:rPr>
          <w:sz w:val="24"/>
          <w:szCs w:val="24"/>
        </w:rPr>
        <w:t xml:space="preserve">Code of Professional Practice for Social Care (2017) [online] Available at </w:t>
      </w:r>
      <w:hyperlink r:id="rId13" w:history="1">
        <w:r w:rsidRPr="006D15D0">
          <w:rPr>
            <w:rStyle w:val="Hyperlink"/>
            <w:sz w:val="24"/>
            <w:szCs w:val="24"/>
          </w:rPr>
          <w:t>https://socialcare.wales/cms_assets/file-uploads/Code-of-Professional-Practice-for-Social-Care-web-version.pdf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Pr>
          <w:sz w:val="24"/>
          <w:szCs w:val="24"/>
        </w:rPr>
        <w:t>Community Care (</w:t>
      </w:r>
      <w:r w:rsidRPr="000D12AB">
        <w:rPr>
          <w:sz w:val="24"/>
          <w:szCs w:val="24"/>
        </w:rPr>
        <w:t>2018</w:t>
      </w:r>
      <w:r>
        <w:rPr>
          <w:sz w:val="24"/>
          <w:szCs w:val="24"/>
        </w:rPr>
        <w:t>).</w:t>
      </w:r>
      <w:r w:rsidRPr="000D12AB">
        <w:rPr>
          <w:sz w:val="24"/>
          <w:szCs w:val="24"/>
        </w:rPr>
        <w:t xml:space="preserve"> </w:t>
      </w:r>
      <w:r>
        <w:rPr>
          <w:sz w:val="24"/>
          <w:szCs w:val="24"/>
        </w:rPr>
        <w:t>‘</w:t>
      </w:r>
      <w:r w:rsidRPr="000D12AB">
        <w:rPr>
          <w:sz w:val="24"/>
          <w:szCs w:val="24"/>
        </w:rPr>
        <w:t>Stress and experiencing a client’s trauma: why self-care for social workers is so important</w:t>
      </w:r>
      <w:r>
        <w:rPr>
          <w:sz w:val="24"/>
          <w:szCs w:val="24"/>
        </w:rPr>
        <w:t xml:space="preserve">’ </w:t>
      </w:r>
      <w:r w:rsidRPr="000D12AB">
        <w:rPr>
          <w:sz w:val="24"/>
          <w:szCs w:val="24"/>
        </w:rPr>
        <w:t xml:space="preserve">[online] Available at </w:t>
      </w:r>
      <w:hyperlink r:id="rId14" w:history="1">
        <w:r w:rsidRPr="000D12AB">
          <w:rPr>
            <w:rStyle w:val="Hyperlink"/>
            <w:sz w:val="24"/>
            <w:szCs w:val="24"/>
          </w:rPr>
          <w:t>https://www.communitycare.co.uk/2018/06/01/stress-and-experiencing-a-clients-trauma-why-self-care-for-social-workers-is-so-important/</w:t>
        </w:r>
      </w:hyperlink>
      <w:r w:rsidRPr="000D12AB">
        <w:rPr>
          <w:sz w:val="24"/>
          <w:szCs w:val="24"/>
        </w:rPr>
        <w:t xml:space="preserve"> (Accessed 02 February 2020).</w:t>
      </w:r>
    </w:p>
    <w:p w:rsidR="00D27E6E" w:rsidRPr="000D12AB" w:rsidRDefault="00D27E6E" w:rsidP="00D27E6E">
      <w:pPr>
        <w:rPr>
          <w:sz w:val="24"/>
          <w:szCs w:val="24"/>
        </w:rPr>
      </w:pPr>
    </w:p>
    <w:p w:rsidR="00D27E6E" w:rsidRDefault="00D27E6E" w:rsidP="00D27E6E">
      <w:pPr>
        <w:rPr>
          <w:sz w:val="24"/>
          <w:szCs w:val="24"/>
        </w:rPr>
      </w:pPr>
      <w:r>
        <w:rPr>
          <w:sz w:val="24"/>
          <w:szCs w:val="24"/>
        </w:rPr>
        <w:t xml:space="preserve">Dementia Action Alliance (2019) Podcasts [online] Available at </w:t>
      </w:r>
      <w:hyperlink r:id="rId15" w:history="1">
        <w:r w:rsidRPr="00A050E8">
          <w:rPr>
            <w:rStyle w:val="Hyperlink"/>
            <w:sz w:val="24"/>
            <w:szCs w:val="24"/>
          </w:rPr>
          <w:t>https://www.dementiaaction.org.uk/resources/podcasts</w:t>
        </w:r>
      </w:hyperlink>
      <w:r w:rsidRPr="00A050E8">
        <w:rPr>
          <w:sz w:val="24"/>
          <w:szCs w:val="24"/>
        </w:rPr>
        <w:t xml:space="preserve"> (Accessed 02 February 2020).</w:t>
      </w:r>
    </w:p>
    <w:p w:rsidR="00D27E6E" w:rsidRDefault="00D27E6E" w:rsidP="00D27E6E">
      <w:pPr>
        <w:rPr>
          <w:sz w:val="24"/>
          <w:szCs w:val="24"/>
        </w:rPr>
      </w:pPr>
      <w:r w:rsidRPr="00975AFC">
        <w:rPr>
          <w:sz w:val="24"/>
          <w:szCs w:val="24"/>
        </w:rPr>
        <w:t xml:space="preserve">Dementia Friends [online] Available at </w:t>
      </w:r>
      <w:hyperlink r:id="rId16" w:history="1">
        <w:r w:rsidRPr="00975AFC">
          <w:rPr>
            <w:rStyle w:val="Hyperlink"/>
            <w:sz w:val="24"/>
            <w:szCs w:val="24"/>
          </w:rPr>
          <w:t>https://www.dementiafriends.org.uk/</w:t>
        </w:r>
      </w:hyperlink>
      <w:r w:rsidRPr="00975AFC">
        <w:rPr>
          <w:sz w:val="24"/>
          <w:szCs w:val="24"/>
        </w:rPr>
        <w:t xml:space="preserve"> (Accessed 02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Department of Health (2016) ‘Making the difference together’ [online] Available at </w:t>
      </w:r>
      <w:hyperlink r:id="rId17" w:history="1">
        <w:r w:rsidRPr="00E52BBD">
          <w:rPr>
            <w:rStyle w:val="Hyperlink"/>
            <w:sz w:val="24"/>
            <w:szCs w:val="24"/>
          </w:rPr>
          <w:t>https://www.basw.co.uk/system/files/resources/basw_12856-8_0.pdf</w:t>
        </w:r>
      </w:hyperlink>
      <w:r w:rsidRPr="00E52BBD">
        <w:rPr>
          <w:sz w:val="24"/>
          <w:szCs w:val="24"/>
        </w:rPr>
        <w:t xml:space="preserve"> (accessed 02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Edwards, S. and </w:t>
      </w:r>
      <w:proofErr w:type="spellStart"/>
      <w:r>
        <w:rPr>
          <w:sz w:val="24"/>
          <w:szCs w:val="24"/>
        </w:rPr>
        <w:t>Turnell</w:t>
      </w:r>
      <w:proofErr w:type="spellEnd"/>
      <w:r>
        <w:rPr>
          <w:sz w:val="24"/>
          <w:szCs w:val="24"/>
        </w:rPr>
        <w:t>, A. (1999) Signs of Safety, W.W. Norton &amp; Company, Inc.</w:t>
      </w:r>
      <w:proofErr w:type="gramStart"/>
      <w:r>
        <w:rPr>
          <w:sz w:val="24"/>
          <w:szCs w:val="24"/>
        </w:rPr>
        <w:t>,500</w:t>
      </w:r>
      <w:proofErr w:type="gramEnd"/>
      <w:r>
        <w:rPr>
          <w:sz w:val="24"/>
          <w:szCs w:val="24"/>
        </w:rPr>
        <w:t xml:space="preserve"> Fifth Avenue, New York, n. Y. 10110.</w:t>
      </w:r>
    </w:p>
    <w:p w:rsidR="00D27E6E" w:rsidRPr="006D15D0" w:rsidRDefault="00D27E6E" w:rsidP="00D27E6E">
      <w:pPr>
        <w:rPr>
          <w:sz w:val="24"/>
          <w:szCs w:val="24"/>
        </w:rPr>
      </w:pPr>
    </w:p>
    <w:p w:rsidR="00D27E6E" w:rsidRDefault="00D27E6E" w:rsidP="00D27E6E">
      <w:pPr>
        <w:rPr>
          <w:sz w:val="24"/>
          <w:szCs w:val="24"/>
        </w:rPr>
      </w:pPr>
      <w:proofErr w:type="spellStart"/>
      <w:r w:rsidRPr="006D15D0">
        <w:rPr>
          <w:sz w:val="24"/>
          <w:szCs w:val="24"/>
        </w:rPr>
        <w:t>Eby</w:t>
      </w:r>
      <w:proofErr w:type="spellEnd"/>
      <w:r w:rsidRPr="006D15D0">
        <w:rPr>
          <w:sz w:val="24"/>
          <w:szCs w:val="24"/>
        </w:rPr>
        <w:t>, M. and Gallagher, A. (2008) ‘Values and ethics in practice’, in Fraser, S. and Matthews, S (</w:t>
      </w:r>
      <w:proofErr w:type="spellStart"/>
      <w:proofErr w:type="gramStart"/>
      <w:r w:rsidRPr="006D15D0">
        <w:rPr>
          <w:sz w:val="24"/>
          <w:szCs w:val="24"/>
        </w:rPr>
        <w:t>eds</w:t>
      </w:r>
      <w:proofErr w:type="spellEnd"/>
      <w:proofErr w:type="gramEnd"/>
      <w:r w:rsidRPr="006D15D0">
        <w:rPr>
          <w:sz w:val="24"/>
          <w:szCs w:val="24"/>
        </w:rPr>
        <w:t>) The Critical Practitioner in Social Work and Health Care, London, Sage.</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Egan, G. (2007) The Skilled Helper, 8</w:t>
      </w:r>
      <w:r w:rsidRPr="006D15D0">
        <w:rPr>
          <w:sz w:val="24"/>
          <w:szCs w:val="24"/>
          <w:vertAlign w:val="superscript"/>
        </w:rPr>
        <w:t>th</w:t>
      </w:r>
      <w:r w:rsidRPr="006D15D0">
        <w:rPr>
          <w:sz w:val="24"/>
          <w:szCs w:val="24"/>
        </w:rPr>
        <w:t xml:space="preserve"> </w:t>
      </w:r>
      <w:proofErr w:type="spellStart"/>
      <w:r w:rsidRPr="006D15D0">
        <w:rPr>
          <w:sz w:val="24"/>
          <w:szCs w:val="24"/>
        </w:rPr>
        <w:t>edn</w:t>
      </w:r>
      <w:proofErr w:type="spellEnd"/>
      <w:r w:rsidRPr="006D15D0">
        <w:rPr>
          <w:sz w:val="24"/>
          <w:szCs w:val="24"/>
        </w:rPr>
        <w:t>. Belmont, CA: Thomson Books/Cole.</w:t>
      </w:r>
    </w:p>
    <w:p w:rsidR="00D27E6E" w:rsidRDefault="00D27E6E" w:rsidP="00D27E6E">
      <w:pPr>
        <w:rPr>
          <w:sz w:val="24"/>
          <w:szCs w:val="24"/>
        </w:rPr>
      </w:pPr>
      <w:r>
        <w:rPr>
          <w:sz w:val="24"/>
          <w:szCs w:val="24"/>
        </w:rPr>
        <w:t xml:space="preserve">Gibbs’ Reflective Model (1998) [online] Available at </w:t>
      </w:r>
      <w:hyperlink r:id="rId18" w:history="1">
        <w:r w:rsidRPr="001A0FF1">
          <w:rPr>
            <w:rStyle w:val="Hyperlink"/>
            <w:sz w:val="24"/>
            <w:szCs w:val="24"/>
          </w:rPr>
          <w:t>https://www.mindtools.com/pages/article/reflective-cycle.htm</w:t>
        </w:r>
      </w:hyperlink>
      <w:r w:rsidRPr="001A0FF1">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Health and Safety Policy, 2019 *** County Council.</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Law Wales. Adult Protection Orders 2019 [online] Available at </w:t>
      </w:r>
      <w:hyperlink r:id="rId19" w:history="1">
        <w:r w:rsidRPr="00970BDA">
          <w:rPr>
            <w:rStyle w:val="Hyperlink"/>
            <w:sz w:val="24"/>
            <w:szCs w:val="24"/>
          </w:rPr>
          <w:t>https://law.gov.wales/publicservices/social-care/Local-authorityresponsibilities/Safeguarding/adult-protection-and-support-orders/?lang=en#/publicservices/social-care/Local-authority-responsibilities/Safeguarding/adult-protection-and-support-orders/?tab=overview&amp;lang=en</w:t>
        </w:r>
      </w:hyperlink>
      <w:r w:rsidRPr="006D15D0">
        <w:rPr>
          <w:sz w:val="24"/>
          <w:szCs w:val="24"/>
        </w:rPr>
        <w:t xml:space="preserve"> (Accessed 13 January 2020).</w:t>
      </w:r>
    </w:p>
    <w:p w:rsidR="00D27E6E" w:rsidRPr="006D15D0" w:rsidRDefault="00D27E6E" w:rsidP="00D27E6E">
      <w:pPr>
        <w:rPr>
          <w:sz w:val="24"/>
          <w:szCs w:val="24"/>
        </w:rPr>
      </w:pPr>
    </w:p>
    <w:p w:rsidR="00D27E6E" w:rsidRPr="006D15D0" w:rsidRDefault="00D27E6E" w:rsidP="00D27E6E">
      <w:pPr>
        <w:rPr>
          <w:sz w:val="24"/>
          <w:szCs w:val="24"/>
        </w:rPr>
      </w:pPr>
      <w:proofErr w:type="spellStart"/>
      <w:r w:rsidRPr="006D15D0">
        <w:rPr>
          <w:sz w:val="24"/>
          <w:szCs w:val="24"/>
        </w:rPr>
        <w:t>Lishman</w:t>
      </w:r>
      <w:proofErr w:type="spellEnd"/>
      <w:r w:rsidRPr="006D15D0">
        <w:rPr>
          <w:sz w:val="24"/>
          <w:szCs w:val="24"/>
        </w:rPr>
        <w:t>, J (2009) Communication in Social Work. Palgrave Macmillan, Basingstoke.</w:t>
      </w:r>
    </w:p>
    <w:p w:rsidR="00D27E6E" w:rsidRDefault="00D27E6E" w:rsidP="00D27E6E">
      <w:pPr>
        <w:rPr>
          <w:sz w:val="24"/>
          <w:szCs w:val="24"/>
          <w:lang w:val="en"/>
        </w:rPr>
      </w:pPr>
      <w:proofErr w:type="spellStart"/>
      <w:r w:rsidRPr="006D15D0">
        <w:rPr>
          <w:sz w:val="24"/>
          <w:szCs w:val="24"/>
          <w:lang w:val="en"/>
        </w:rPr>
        <w:t>Mehrabian</w:t>
      </w:r>
      <w:proofErr w:type="spellEnd"/>
      <w:r w:rsidRPr="006D15D0">
        <w:rPr>
          <w:sz w:val="24"/>
          <w:szCs w:val="24"/>
          <w:lang w:val="en"/>
        </w:rPr>
        <w:t xml:space="preserve">, A, 1981. </w:t>
      </w:r>
      <w:r w:rsidRPr="00722674">
        <w:rPr>
          <w:color w:val="auto"/>
          <w:sz w:val="24"/>
          <w:szCs w:val="24"/>
          <w:lang w:val="en"/>
        </w:rPr>
        <w:t>‘</w:t>
      </w:r>
      <w:r w:rsidRPr="00722674">
        <w:rPr>
          <w:rStyle w:val="Strong"/>
          <w:b w:val="0"/>
          <w:color w:val="auto"/>
          <w:sz w:val="24"/>
          <w:szCs w:val="24"/>
          <w:lang w:val="en"/>
        </w:rPr>
        <w:t>Silent messages:</w:t>
      </w:r>
      <w:r w:rsidRPr="00722674">
        <w:rPr>
          <w:color w:val="auto"/>
          <w:sz w:val="24"/>
          <w:szCs w:val="24"/>
          <w:lang w:val="en"/>
        </w:rPr>
        <w:t xml:space="preserve"> </w:t>
      </w:r>
      <w:r w:rsidRPr="00722674">
        <w:rPr>
          <w:rStyle w:val="Emphasis"/>
          <w:i w:val="0"/>
          <w:color w:val="auto"/>
          <w:sz w:val="24"/>
          <w:szCs w:val="24"/>
          <w:lang w:val="en"/>
        </w:rPr>
        <w:t>implicit communication of emotions and attitudes</w:t>
      </w:r>
      <w:r w:rsidRPr="00722674">
        <w:rPr>
          <w:color w:val="auto"/>
          <w:sz w:val="24"/>
          <w:szCs w:val="24"/>
          <w:lang w:val="en"/>
        </w:rPr>
        <w:t xml:space="preserve"> 2d </w:t>
      </w:r>
      <w:proofErr w:type="spellStart"/>
      <w:r w:rsidRPr="00722674">
        <w:rPr>
          <w:color w:val="auto"/>
          <w:sz w:val="24"/>
          <w:szCs w:val="24"/>
          <w:lang w:val="en"/>
        </w:rPr>
        <w:t>ed</w:t>
      </w:r>
      <w:proofErr w:type="spellEnd"/>
      <w:r w:rsidRPr="00722674">
        <w:rPr>
          <w:color w:val="auto"/>
          <w:sz w:val="24"/>
          <w:szCs w:val="24"/>
          <w:lang w:val="en"/>
        </w:rPr>
        <w:t xml:space="preserve">’. </w:t>
      </w:r>
      <w:proofErr w:type="spellStart"/>
      <w:r w:rsidRPr="006D15D0">
        <w:rPr>
          <w:sz w:val="24"/>
          <w:szCs w:val="24"/>
          <w:lang w:val="en"/>
        </w:rPr>
        <w:t>Wandsworth</w:t>
      </w:r>
      <w:proofErr w:type="spellEnd"/>
      <w:r w:rsidRPr="006D15D0">
        <w:rPr>
          <w:sz w:val="24"/>
          <w:szCs w:val="24"/>
          <w:lang w:val="en"/>
        </w:rPr>
        <w:t xml:space="preserve"> Publisher, Belmont, California.</w:t>
      </w:r>
    </w:p>
    <w:p w:rsidR="00D27E6E" w:rsidRDefault="00D27E6E" w:rsidP="00D27E6E">
      <w:pPr>
        <w:rPr>
          <w:sz w:val="24"/>
          <w:szCs w:val="24"/>
          <w:lang w:val="en"/>
        </w:rPr>
      </w:pPr>
    </w:p>
    <w:p w:rsidR="00D27E6E" w:rsidRDefault="00D27E6E" w:rsidP="00D27E6E">
      <w:pPr>
        <w:rPr>
          <w:sz w:val="24"/>
          <w:szCs w:val="24"/>
        </w:rPr>
      </w:pPr>
      <w:r>
        <w:rPr>
          <w:sz w:val="24"/>
          <w:szCs w:val="24"/>
          <w:lang w:val="en"/>
        </w:rPr>
        <w:t xml:space="preserve">MIND (2015) Human Rights Act 1998 [online] Available at </w:t>
      </w:r>
      <w:hyperlink r:id="rId20" w:history="1">
        <w:r w:rsidRPr="0015492C">
          <w:rPr>
            <w:rStyle w:val="Hyperlink"/>
            <w:sz w:val="24"/>
            <w:szCs w:val="24"/>
          </w:rPr>
          <w:t>https://www.mind.org.uk/media/1823083/human-rights-act.pdf</w:t>
        </w:r>
      </w:hyperlink>
      <w:r w:rsidR="009C3528">
        <w:rPr>
          <w:sz w:val="24"/>
          <w:szCs w:val="24"/>
        </w:rPr>
        <w:t xml:space="preserve"> (</w:t>
      </w:r>
      <w:r w:rsidRPr="0015492C">
        <w:rPr>
          <w:sz w:val="24"/>
          <w:szCs w:val="24"/>
        </w:rPr>
        <w:t>Accessed 05 February 2020).</w:t>
      </w:r>
    </w:p>
    <w:p w:rsidR="00D27E6E" w:rsidRPr="006D15D0" w:rsidRDefault="00D27E6E" w:rsidP="00D27E6E">
      <w:pPr>
        <w:rPr>
          <w:bCs/>
          <w:sz w:val="24"/>
          <w:szCs w:val="24"/>
        </w:rPr>
      </w:pPr>
    </w:p>
    <w:p w:rsidR="00D27E6E" w:rsidRDefault="00D27E6E" w:rsidP="00D27E6E">
      <w:pPr>
        <w:rPr>
          <w:sz w:val="24"/>
          <w:szCs w:val="24"/>
        </w:rPr>
      </w:pPr>
      <w:r w:rsidRPr="006D15D0">
        <w:rPr>
          <w:sz w:val="24"/>
          <w:szCs w:val="24"/>
        </w:rPr>
        <w:t xml:space="preserve">More than just words 2019 [online] ‘Active Offer’ Available at </w:t>
      </w:r>
      <w:hyperlink r:id="rId21" w:history="1">
        <w:r w:rsidRPr="006D15D0">
          <w:rPr>
            <w:rStyle w:val="Hyperlink"/>
            <w:sz w:val="24"/>
            <w:szCs w:val="24"/>
          </w:rPr>
          <w:t>https://gov.wales/sites/default/files/publications/2019-04/delivering-the-active-offer-information-pack-social-services-and-social-care.pdf</w:t>
        </w:r>
      </w:hyperlink>
      <w:r w:rsidR="009C3528">
        <w:rPr>
          <w:sz w:val="24"/>
          <w:szCs w:val="24"/>
        </w:rPr>
        <w:t xml:space="preserve"> (A</w:t>
      </w:r>
      <w:r w:rsidRPr="006D15D0">
        <w:rPr>
          <w:sz w:val="24"/>
          <w:szCs w:val="24"/>
        </w:rPr>
        <w:t>ccessed 20 November 2019).</w:t>
      </w:r>
    </w:p>
    <w:p w:rsidR="00D27E6E" w:rsidRDefault="00D27E6E" w:rsidP="00D27E6E">
      <w:pPr>
        <w:rPr>
          <w:sz w:val="24"/>
          <w:szCs w:val="24"/>
        </w:rPr>
      </w:pPr>
    </w:p>
    <w:p w:rsidR="00D27E6E" w:rsidRDefault="00D27E6E" w:rsidP="00D27E6E">
      <w:pPr>
        <w:rPr>
          <w:sz w:val="24"/>
          <w:szCs w:val="24"/>
        </w:rPr>
      </w:pPr>
      <w:r>
        <w:rPr>
          <w:sz w:val="24"/>
          <w:szCs w:val="24"/>
        </w:rPr>
        <w:t xml:space="preserve">Social Care Wales, 2020 ‘National Occupational </w:t>
      </w:r>
      <w:proofErr w:type="gramStart"/>
      <w:r>
        <w:rPr>
          <w:sz w:val="24"/>
          <w:szCs w:val="24"/>
        </w:rPr>
        <w:t>Standards(</w:t>
      </w:r>
      <w:proofErr w:type="gramEnd"/>
      <w:r>
        <w:rPr>
          <w:sz w:val="24"/>
          <w:szCs w:val="24"/>
        </w:rPr>
        <w:t xml:space="preserve">2011) [online] Available at </w:t>
      </w:r>
      <w:hyperlink r:id="rId22" w:history="1">
        <w:r w:rsidRPr="005224C9">
          <w:rPr>
            <w:rStyle w:val="Hyperlink"/>
            <w:sz w:val="24"/>
            <w:szCs w:val="24"/>
          </w:rPr>
          <w:t>https://socialcare.wales/nos-areas/social-work</w:t>
        </w:r>
      </w:hyperlink>
      <w:r w:rsidRPr="005224C9">
        <w:rPr>
          <w:sz w:val="24"/>
          <w:szCs w:val="24"/>
        </w:rPr>
        <w:t xml:space="preserve"> (Accessed 28 January 2020).</w:t>
      </w:r>
    </w:p>
    <w:p w:rsidR="00D27E6E" w:rsidRDefault="00D27E6E" w:rsidP="00D27E6E"/>
    <w:p w:rsidR="00D27E6E" w:rsidRDefault="00D27E6E" w:rsidP="00D27E6E">
      <w:pPr>
        <w:shd w:val="clear" w:color="auto" w:fill="FAFAFB"/>
        <w:spacing w:before="100" w:beforeAutospacing="1" w:after="100" w:afterAutospacing="1"/>
        <w:outlineLvl w:val="0"/>
        <w:rPr>
          <w:sz w:val="24"/>
          <w:szCs w:val="24"/>
        </w:rPr>
      </w:pPr>
      <w:r w:rsidRPr="000D12AB">
        <w:rPr>
          <w:color w:val="0E0E0E"/>
          <w:kern w:val="36"/>
          <w:sz w:val="24"/>
          <w:szCs w:val="24"/>
        </w:rPr>
        <w:t xml:space="preserve">NICE, 2018 ‘Decision-making and mental capacity’ [online] Available at </w:t>
      </w:r>
      <w:hyperlink r:id="rId23" w:history="1">
        <w:r w:rsidRPr="000D12AB">
          <w:rPr>
            <w:rStyle w:val="Hyperlink"/>
            <w:sz w:val="24"/>
            <w:szCs w:val="24"/>
          </w:rPr>
          <w:t>https://www.nice.org.uk/guidance/ng108/chapter/Recommendations</w:t>
        </w:r>
      </w:hyperlink>
      <w:r w:rsidRPr="000D12AB">
        <w:rPr>
          <w:sz w:val="24"/>
          <w:szCs w:val="24"/>
        </w:rPr>
        <w:t xml:space="preserve"> (Accessed 02 </w:t>
      </w:r>
      <w:proofErr w:type="spellStart"/>
      <w:r w:rsidRPr="000D12AB">
        <w:rPr>
          <w:sz w:val="24"/>
          <w:szCs w:val="24"/>
        </w:rPr>
        <w:t>Novemeber</w:t>
      </w:r>
      <w:proofErr w:type="spellEnd"/>
      <w:r w:rsidRPr="000D12AB">
        <w:rPr>
          <w:sz w:val="24"/>
          <w:szCs w:val="24"/>
        </w:rPr>
        <w:t xml:space="preserve"> 2020).</w:t>
      </w:r>
    </w:p>
    <w:p w:rsidR="00D27E6E" w:rsidRPr="009613AB" w:rsidRDefault="00D27E6E" w:rsidP="00D27E6E">
      <w:pPr>
        <w:shd w:val="clear" w:color="auto" w:fill="FAFAFB"/>
        <w:spacing w:before="100" w:beforeAutospacing="1" w:after="100" w:afterAutospacing="1"/>
        <w:outlineLvl w:val="0"/>
        <w:rPr>
          <w:color w:val="0E0E0E"/>
          <w:kern w:val="36"/>
          <w:sz w:val="24"/>
          <w:szCs w:val="24"/>
        </w:rPr>
      </w:pPr>
    </w:p>
    <w:p w:rsidR="00D27E6E" w:rsidRDefault="00D27E6E" w:rsidP="00D27E6E">
      <w:pPr>
        <w:rPr>
          <w:sz w:val="24"/>
          <w:szCs w:val="24"/>
        </w:rPr>
      </w:pPr>
      <w:r w:rsidRPr="006D15D0">
        <w:rPr>
          <w:sz w:val="24"/>
          <w:szCs w:val="24"/>
        </w:rPr>
        <w:t xml:space="preserve">NSPPC 2019 [online] Available at </w:t>
      </w:r>
      <w:hyperlink r:id="rId24" w:anchor="heading-top" w:history="1">
        <w:r w:rsidRPr="006D15D0">
          <w:rPr>
            <w:rStyle w:val="Hyperlink"/>
            <w:sz w:val="24"/>
            <w:szCs w:val="24"/>
          </w:rPr>
          <w:t>https://learning.nspcc.org.uk/child-protection-system/wales/#heading-top</w:t>
        </w:r>
      </w:hyperlink>
      <w:r w:rsidRPr="006D15D0">
        <w:rPr>
          <w:sz w:val="24"/>
          <w:szCs w:val="24"/>
        </w:rPr>
        <w:t xml:space="preserve"> (Accessed 29 October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NSPCC 2019 </w:t>
      </w:r>
      <w:r w:rsidR="009C3528">
        <w:rPr>
          <w:sz w:val="24"/>
          <w:szCs w:val="24"/>
        </w:rPr>
        <w:t>PODCAST- ‘</w:t>
      </w:r>
      <w:r w:rsidRPr="006D15D0">
        <w:rPr>
          <w:sz w:val="24"/>
          <w:szCs w:val="24"/>
        </w:rPr>
        <w:t xml:space="preserve">Safeguarding adults and children’ [online] Available at </w:t>
      </w:r>
      <w:hyperlink r:id="rId25" w:history="1">
        <w:r w:rsidRPr="006D15D0">
          <w:rPr>
            <w:rStyle w:val="Hyperlink"/>
            <w:sz w:val="24"/>
            <w:szCs w:val="24"/>
          </w:rPr>
          <w:t>https://learning.nspcc.org.uk/news/2019/august/podcast-safeguarding-adults-and-children/</w:t>
        </w:r>
      </w:hyperlink>
      <w:r w:rsidRPr="006D15D0">
        <w:rPr>
          <w:sz w:val="24"/>
          <w:szCs w:val="24"/>
        </w:rPr>
        <w:t xml:space="preserve"> (Accessed 29 October 2019).</w:t>
      </w:r>
    </w:p>
    <w:p w:rsidR="00D27E6E" w:rsidRDefault="00D27E6E" w:rsidP="00D27E6E">
      <w:pPr>
        <w:rPr>
          <w:sz w:val="24"/>
          <w:szCs w:val="24"/>
        </w:rPr>
      </w:pPr>
    </w:p>
    <w:p w:rsidR="00D27E6E" w:rsidRDefault="00D27E6E" w:rsidP="00D27E6E">
      <w:pPr>
        <w:rPr>
          <w:sz w:val="24"/>
          <w:szCs w:val="24"/>
        </w:rPr>
      </w:pPr>
      <w:r>
        <w:rPr>
          <w:sz w:val="24"/>
          <w:szCs w:val="24"/>
        </w:rPr>
        <w:t>Parker. J, 2007 ‘</w:t>
      </w:r>
      <w:proofErr w:type="gramStart"/>
      <w:r>
        <w:rPr>
          <w:sz w:val="24"/>
          <w:szCs w:val="24"/>
        </w:rPr>
        <w:t>The</w:t>
      </w:r>
      <w:proofErr w:type="gramEnd"/>
      <w:r>
        <w:rPr>
          <w:sz w:val="24"/>
          <w:szCs w:val="24"/>
        </w:rPr>
        <w:t xml:space="preserve"> process of social work: assessment, planning, intervention and review’, in </w:t>
      </w:r>
      <w:proofErr w:type="spellStart"/>
      <w:r>
        <w:rPr>
          <w:sz w:val="24"/>
          <w:szCs w:val="24"/>
        </w:rPr>
        <w:t>Lymbery</w:t>
      </w:r>
      <w:proofErr w:type="spellEnd"/>
      <w:r>
        <w:rPr>
          <w:sz w:val="24"/>
          <w:szCs w:val="24"/>
        </w:rPr>
        <w:t xml:space="preserve">, M. and </w:t>
      </w:r>
      <w:proofErr w:type="spellStart"/>
      <w:r>
        <w:rPr>
          <w:sz w:val="24"/>
          <w:szCs w:val="24"/>
        </w:rPr>
        <w:t>Postle</w:t>
      </w:r>
      <w:proofErr w:type="spellEnd"/>
      <w:r>
        <w:rPr>
          <w:sz w:val="24"/>
          <w:szCs w:val="24"/>
        </w:rPr>
        <w:t>, K. (</w:t>
      </w:r>
      <w:proofErr w:type="spellStart"/>
      <w:r>
        <w:rPr>
          <w:sz w:val="24"/>
          <w:szCs w:val="24"/>
        </w:rPr>
        <w:t>eds</w:t>
      </w:r>
      <w:proofErr w:type="spellEnd"/>
      <w:r>
        <w:rPr>
          <w:sz w:val="24"/>
          <w:szCs w:val="24"/>
        </w:rPr>
        <w:t>) Social Work: A Companion to Learning, London, Sage.</w:t>
      </w:r>
    </w:p>
    <w:p w:rsidR="00D27E6E" w:rsidRDefault="00D27E6E" w:rsidP="00D27E6E">
      <w:pPr>
        <w:rPr>
          <w:sz w:val="24"/>
          <w:szCs w:val="24"/>
        </w:rPr>
      </w:pPr>
    </w:p>
    <w:p w:rsidR="00D27E6E" w:rsidRDefault="00D27E6E" w:rsidP="00D27E6E">
      <w:pPr>
        <w:rPr>
          <w:sz w:val="24"/>
          <w:szCs w:val="24"/>
        </w:rPr>
      </w:pPr>
      <w:r>
        <w:rPr>
          <w:sz w:val="24"/>
          <w:szCs w:val="24"/>
        </w:rPr>
        <w:t xml:space="preserve">Phillips. C, 2018 </w:t>
      </w:r>
      <w:r w:rsidRPr="006F52D9">
        <w:rPr>
          <w:sz w:val="24"/>
          <w:szCs w:val="24"/>
        </w:rPr>
        <w:t>Rhydian: Wales Social Welfare Law on-line (2018) Part 2 Views From Practice</w:t>
      </w:r>
      <w:proofErr w:type="gramStart"/>
      <w:r w:rsidRPr="006F52D9">
        <w:rPr>
          <w:sz w:val="24"/>
          <w:szCs w:val="24"/>
        </w:rPr>
        <w:t>:1</w:t>
      </w:r>
      <w:proofErr w:type="gramEnd"/>
      <w:r w:rsidRPr="006F52D9">
        <w:rPr>
          <w:sz w:val="24"/>
          <w:szCs w:val="24"/>
        </w:rPr>
        <w:t xml:space="preserve">-7. Views </w:t>
      </w:r>
      <w:r>
        <w:rPr>
          <w:sz w:val="24"/>
          <w:szCs w:val="24"/>
        </w:rPr>
        <w:t>from P</w:t>
      </w:r>
      <w:r w:rsidRPr="006F52D9">
        <w:rPr>
          <w:sz w:val="24"/>
          <w:szCs w:val="24"/>
        </w:rPr>
        <w:t>ractice.</w:t>
      </w:r>
      <w:r>
        <w:rPr>
          <w:sz w:val="24"/>
          <w:szCs w:val="24"/>
        </w:rPr>
        <w:t xml:space="preserve"> ‘</w:t>
      </w:r>
      <w:r w:rsidRPr="006F52D9">
        <w:rPr>
          <w:sz w:val="24"/>
          <w:szCs w:val="24"/>
        </w:rPr>
        <w:t xml:space="preserve">Neglect is Self-Neglect too? An Examination of Law and Policy in Wales’ [online] Available at </w:t>
      </w:r>
      <w:hyperlink r:id="rId26" w:history="1">
        <w:r w:rsidRPr="006F52D9">
          <w:rPr>
            <w:rStyle w:val="Hyperlink"/>
            <w:sz w:val="24"/>
            <w:szCs w:val="24"/>
          </w:rPr>
          <w:t>http://www.lukeclements.co.uk/wp-content/uploads/2018/09/2018-01-Carys-Phillips-Self-Neglect.pdf</w:t>
        </w:r>
      </w:hyperlink>
      <w:r w:rsidRPr="006F52D9">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Regional Adult Safeguarding Threshold Guidance Document 2018.</w:t>
      </w:r>
    </w:p>
    <w:p w:rsidR="00D27E6E" w:rsidRPr="009C3528" w:rsidRDefault="00D27E6E" w:rsidP="00D27E6E">
      <w:pPr>
        <w:rPr>
          <w:color w:val="auto"/>
          <w:sz w:val="24"/>
          <w:szCs w:val="24"/>
        </w:rPr>
      </w:pPr>
      <w:r w:rsidRPr="00900138">
        <w:rPr>
          <w:sz w:val="24"/>
          <w:szCs w:val="24"/>
        </w:rPr>
        <w:t>Rogers. C, ‘Person-</w:t>
      </w:r>
      <w:proofErr w:type="spellStart"/>
      <w:r w:rsidRPr="00900138">
        <w:rPr>
          <w:sz w:val="24"/>
          <w:szCs w:val="24"/>
        </w:rPr>
        <w:t>centered</w:t>
      </w:r>
      <w:proofErr w:type="spellEnd"/>
      <w:r w:rsidRPr="00900138">
        <w:rPr>
          <w:sz w:val="24"/>
          <w:szCs w:val="24"/>
        </w:rPr>
        <w:t xml:space="preserve"> Therapy’ in Psychology Today [online] Available at </w:t>
      </w:r>
      <w:hyperlink r:id="rId27" w:history="1">
        <w:r w:rsidRPr="00900138">
          <w:rPr>
            <w:rStyle w:val="Hyperlink"/>
            <w:sz w:val="24"/>
            <w:szCs w:val="24"/>
          </w:rPr>
          <w:t>https://www.psychologytoday.com/gb/therapy-types/person-centered-therapy</w:t>
        </w:r>
      </w:hyperlink>
      <w:r w:rsidRPr="00900138">
        <w:rPr>
          <w:sz w:val="24"/>
          <w:szCs w:val="24"/>
        </w:rPr>
        <w:t xml:space="preserve"> </w:t>
      </w:r>
      <w:r w:rsidRPr="009C3528">
        <w:rPr>
          <w:color w:val="auto"/>
          <w:sz w:val="24"/>
          <w:szCs w:val="24"/>
        </w:rPr>
        <w:t>(Accessed 03 February 2020).</w:t>
      </w:r>
      <w:bookmarkStart w:id="0" w:name="_GoBack"/>
      <w:bookmarkEnd w:id="0"/>
    </w:p>
    <w:p w:rsidR="00D27E6E" w:rsidRPr="00900138" w:rsidRDefault="00D27E6E" w:rsidP="00D27E6E">
      <w:pPr>
        <w:rPr>
          <w:sz w:val="24"/>
          <w:szCs w:val="24"/>
        </w:rPr>
      </w:pPr>
    </w:p>
    <w:p w:rsidR="00D27E6E" w:rsidRDefault="00D27E6E" w:rsidP="00D27E6E">
      <w:pPr>
        <w:rPr>
          <w:sz w:val="24"/>
          <w:szCs w:val="24"/>
          <w:lang w:val="en"/>
        </w:rPr>
      </w:pPr>
      <w:proofErr w:type="spellStart"/>
      <w:r w:rsidRPr="006D15D0">
        <w:rPr>
          <w:sz w:val="24"/>
          <w:szCs w:val="24"/>
          <w:lang w:val="en"/>
        </w:rPr>
        <w:t>Schon</w:t>
      </w:r>
      <w:proofErr w:type="spellEnd"/>
      <w:r w:rsidRPr="006D15D0">
        <w:rPr>
          <w:sz w:val="24"/>
          <w:szCs w:val="24"/>
          <w:lang w:val="en"/>
        </w:rPr>
        <w:t xml:space="preserve">, D. (1983) </w:t>
      </w:r>
      <w:r w:rsidRPr="006D15D0">
        <w:rPr>
          <w:iCs/>
          <w:sz w:val="24"/>
          <w:szCs w:val="24"/>
          <w:lang w:val="en"/>
        </w:rPr>
        <w:t>The Reflective Practitioner:</w:t>
      </w:r>
      <w:r w:rsidRPr="006D15D0">
        <w:rPr>
          <w:i/>
          <w:iCs/>
          <w:sz w:val="24"/>
          <w:szCs w:val="24"/>
          <w:lang w:val="en"/>
        </w:rPr>
        <w:t xml:space="preserve"> </w:t>
      </w:r>
      <w:r w:rsidRPr="006D15D0">
        <w:rPr>
          <w:iCs/>
          <w:sz w:val="24"/>
          <w:szCs w:val="24"/>
          <w:lang w:val="en"/>
        </w:rPr>
        <w:t>How Professionals Think in Action</w:t>
      </w:r>
      <w:r w:rsidRPr="006D15D0">
        <w:rPr>
          <w:sz w:val="24"/>
          <w:szCs w:val="24"/>
          <w:lang w:val="en"/>
        </w:rPr>
        <w:t xml:space="preserve">. </w:t>
      </w:r>
      <w:proofErr w:type="spellStart"/>
      <w:r w:rsidRPr="006D15D0">
        <w:rPr>
          <w:sz w:val="24"/>
          <w:szCs w:val="24"/>
          <w:lang w:val="en"/>
        </w:rPr>
        <w:t>Aldershot</w:t>
      </w:r>
      <w:proofErr w:type="spellEnd"/>
      <w:r w:rsidRPr="006D15D0">
        <w:rPr>
          <w:sz w:val="24"/>
          <w:szCs w:val="24"/>
          <w:lang w:val="en"/>
        </w:rPr>
        <w:t xml:space="preserve">: </w:t>
      </w:r>
      <w:proofErr w:type="spellStart"/>
      <w:r w:rsidRPr="006D15D0">
        <w:rPr>
          <w:sz w:val="24"/>
          <w:szCs w:val="24"/>
          <w:lang w:val="en"/>
        </w:rPr>
        <w:t>Ashgate</w:t>
      </w:r>
      <w:proofErr w:type="spellEnd"/>
      <w:r w:rsidRPr="006D15D0">
        <w:rPr>
          <w:sz w:val="24"/>
          <w:szCs w:val="24"/>
          <w:lang w:val="en"/>
        </w:rPr>
        <w:t>.</w:t>
      </w:r>
    </w:p>
    <w:p w:rsidR="00D27E6E" w:rsidRPr="006D15D0" w:rsidRDefault="00D27E6E" w:rsidP="00D27E6E">
      <w:pPr>
        <w:rPr>
          <w:sz w:val="24"/>
          <w:szCs w:val="24"/>
          <w:lang w:val="en"/>
        </w:rPr>
      </w:pPr>
    </w:p>
    <w:p w:rsidR="00D27E6E" w:rsidRDefault="00D27E6E" w:rsidP="00D27E6E">
      <w:pPr>
        <w:rPr>
          <w:sz w:val="24"/>
          <w:szCs w:val="24"/>
        </w:rPr>
      </w:pPr>
      <w:r w:rsidRPr="006D15D0">
        <w:rPr>
          <w:sz w:val="24"/>
          <w:szCs w:val="24"/>
        </w:rPr>
        <w:t xml:space="preserve">Signs of Safety (2019) [online] Available at </w:t>
      </w:r>
      <w:hyperlink r:id="rId28" w:history="1">
        <w:r w:rsidRPr="006D15D0">
          <w:rPr>
            <w:rStyle w:val="Hyperlink"/>
            <w:sz w:val="24"/>
            <w:szCs w:val="24"/>
          </w:rPr>
          <w:t>https://www.signsofsafety.net/signs-of-safety/</w:t>
        </w:r>
      </w:hyperlink>
      <w:r w:rsidRPr="006D15D0">
        <w:rPr>
          <w:sz w:val="24"/>
          <w:szCs w:val="24"/>
        </w:rPr>
        <w:t xml:space="preserve"> (Accessed 12 September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Social care Institute for Excellence, 2017. ‘Overview of communication skills in social work’ [online] Available at </w:t>
      </w:r>
      <w:hyperlink r:id="rId29" w:history="1">
        <w:r w:rsidRPr="006D15D0">
          <w:rPr>
            <w:rStyle w:val="Hyperlink"/>
            <w:sz w:val="24"/>
            <w:szCs w:val="24"/>
          </w:rPr>
          <w:t>http://www.scie.org.uk/assets/elearning/communicationskills/cs01/resource/underpinningKnowledge.pdf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sidRPr="000268B8">
        <w:rPr>
          <w:sz w:val="24"/>
          <w:szCs w:val="24"/>
        </w:rPr>
        <w:t xml:space="preserve">Social care Institute for Excellence, 2018. ‘Self-neglect at a glance’ [online] Available at </w:t>
      </w:r>
      <w:hyperlink r:id="rId30" w:anchor="legislation" w:history="1">
        <w:r w:rsidRPr="000268B8">
          <w:rPr>
            <w:rStyle w:val="Hyperlink"/>
            <w:sz w:val="24"/>
            <w:szCs w:val="24"/>
          </w:rPr>
          <w:t>https://www.scie.org.uk/self-neglect/at-a-glance#legislation</w:t>
        </w:r>
      </w:hyperlink>
      <w:r w:rsidRPr="000268B8">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sidRPr="000268B8">
        <w:rPr>
          <w:sz w:val="24"/>
          <w:szCs w:val="24"/>
        </w:rPr>
        <w:t>Social care I</w:t>
      </w:r>
      <w:r>
        <w:rPr>
          <w:sz w:val="24"/>
          <w:szCs w:val="24"/>
        </w:rPr>
        <w:t>nstitute for Excellence, 2020 ‘Liberty Protection Safeguards (LPS)’ [</w:t>
      </w:r>
      <w:r w:rsidRPr="00563806">
        <w:rPr>
          <w:sz w:val="24"/>
          <w:szCs w:val="24"/>
        </w:rPr>
        <w:t xml:space="preserve">online] Available at </w:t>
      </w:r>
      <w:hyperlink r:id="rId31" w:history="1">
        <w:r w:rsidRPr="00563806">
          <w:rPr>
            <w:rStyle w:val="Hyperlink"/>
            <w:sz w:val="24"/>
            <w:szCs w:val="24"/>
          </w:rPr>
          <w:t>https://www.scie.org.uk/mca/dols/practice/lps</w:t>
        </w:r>
      </w:hyperlink>
      <w:r w:rsidRPr="00563806">
        <w:rPr>
          <w:sz w:val="24"/>
          <w:szCs w:val="24"/>
        </w:rPr>
        <w:t xml:space="preserve"> (Accessed 02 February 2020).</w:t>
      </w:r>
    </w:p>
    <w:p w:rsidR="00D27E6E" w:rsidRPr="000268B8" w:rsidRDefault="00D27E6E" w:rsidP="00D27E6E">
      <w:pPr>
        <w:rPr>
          <w:sz w:val="24"/>
          <w:szCs w:val="24"/>
        </w:rPr>
      </w:pPr>
    </w:p>
    <w:p w:rsidR="00D27E6E" w:rsidRDefault="00D27E6E" w:rsidP="00D27E6E">
      <w:pPr>
        <w:rPr>
          <w:sz w:val="24"/>
          <w:szCs w:val="24"/>
        </w:rPr>
      </w:pPr>
      <w:r w:rsidRPr="006D15D0">
        <w:rPr>
          <w:sz w:val="24"/>
          <w:szCs w:val="24"/>
        </w:rPr>
        <w:t xml:space="preserve">Social Care Wales 2019 [online] Available at </w:t>
      </w:r>
      <w:hyperlink r:id="rId32" w:history="1">
        <w:r w:rsidRPr="006D15D0">
          <w:rPr>
            <w:rStyle w:val="Hyperlink"/>
            <w:sz w:val="24"/>
            <w:szCs w:val="24"/>
          </w:rPr>
          <w:t>https://socialcare.wales/cms_assets/file-uploads/Code-of-Professional-Practice-for-Social-Care-web-version.pdf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Pr>
          <w:sz w:val="24"/>
          <w:szCs w:val="24"/>
        </w:rPr>
        <w:t xml:space="preserve">The Department of Health (2017) Roundtable Report: Strengths-based social work practice with adults [online] Available at </w:t>
      </w:r>
      <w:hyperlink r:id="rId33" w:history="1">
        <w:r w:rsidRPr="006D3499">
          <w:rPr>
            <w:rStyle w:val="Hyperlink"/>
            <w:sz w:val="24"/>
            <w:szCs w:val="24"/>
          </w:rPr>
          <w:t>https://assets.publishing.service.gov.uk/government/uploads/system/uploads/attachment_data/file/652773/Strengths-based_social_work_practice_with_adults.pdf</w:t>
        </w:r>
      </w:hyperlink>
      <w:r w:rsidRPr="006D3499">
        <w:rPr>
          <w:sz w:val="24"/>
          <w:szCs w:val="24"/>
        </w:rPr>
        <w:t xml:space="preserve"> (Accessed 03 February 2020).</w:t>
      </w:r>
    </w:p>
    <w:p w:rsidR="00D27E6E" w:rsidRPr="006D15D0" w:rsidRDefault="00D27E6E" w:rsidP="00D27E6E">
      <w:pPr>
        <w:rPr>
          <w:sz w:val="24"/>
          <w:szCs w:val="24"/>
        </w:rPr>
      </w:pPr>
    </w:p>
    <w:p w:rsidR="00D27E6E" w:rsidRDefault="00D27E6E" w:rsidP="00D27E6E">
      <w:pPr>
        <w:rPr>
          <w:sz w:val="24"/>
          <w:szCs w:val="24"/>
        </w:rPr>
      </w:pPr>
      <w:r w:rsidRPr="006D15D0">
        <w:rPr>
          <w:rFonts w:eastAsia="Calibri"/>
          <w:sz w:val="24"/>
          <w:szCs w:val="24"/>
        </w:rPr>
        <w:lastRenderedPageBreak/>
        <w:t xml:space="preserve">The National Independent Safeguarding Board (2016). Henke. R, O’Callaghan. A &amp; Shepherd. L. ‘A practitioner’s guide’ [online] Available at </w:t>
      </w:r>
      <w:hyperlink r:id="rId34" w:history="1">
        <w:r w:rsidRPr="006D15D0">
          <w:rPr>
            <w:rStyle w:val="Hyperlink"/>
            <w:sz w:val="24"/>
            <w:szCs w:val="24"/>
          </w:rPr>
          <w:t>http://safeguardingboard.wales/2018/12/06/practitioners-guide/</w:t>
        </w:r>
      </w:hyperlink>
      <w:r w:rsidRPr="006D15D0">
        <w:rPr>
          <w:sz w:val="24"/>
          <w:szCs w:val="24"/>
        </w:rPr>
        <w:t xml:space="preserve"> (Accessed 27 October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The Social Services and Well-being (Wales) Act 2014 [online] Available at </w:t>
      </w:r>
      <w:hyperlink r:id="rId35" w:history="1">
        <w:r w:rsidRPr="006D15D0">
          <w:rPr>
            <w:rStyle w:val="Hyperlink"/>
            <w:sz w:val="24"/>
            <w:szCs w:val="24"/>
          </w:rPr>
          <w:t>http://www.legislation.gov.uk/anaw/2014/4/contents</w:t>
        </w:r>
      </w:hyperlink>
      <w:r w:rsidRPr="006D15D0">
        <w:rPr>
          <w:sz w:val="24"/>
          <w:szCs w:val="24"/>
        </w:rPr>
        <w:t xml:space="preserve"> (Accessed 12 September 2019).</w:t>
      </w:r>
    </w:p>
    <w:p w:rsidR="00D27E6E" w:rsidRDefault="00D27E6E" w:rsidP="00D27E6E">
      <w:pPr>
        <w:rPr>
          <w:sz w:val="24"/>
          <w:szCs w:val="24"/>
        </w:rPr>
      </w:pPr>
    </w:p>
    <w:p w:rsidR="00D27E6E" w:rsidRDefault="00D27E6E" w:rsidP="00D27E6E">
      <w:pPr>
        <w:rPr>
          <w:sz w:val="24"/>
          <w:szCs w:val="24"/>
        </w:rPr>
      </w:pPr>
      <w:r>
        <w:rPr>
          <w:sz w:val="24"/>
          <w:szCs w:val="24"/>
        </w:rPr>
        <w:t xml:space="preserve">Thirty Nine Essex Street. </w:t>
      </w:r>
      <w:r w:rsidRPr="009954B2">
        <w:rPr>
          <w:sz w:val="24"/>
          <w:szCs w:val="24"/>
        </w:rPr>
        <w:t xml:space="preserve">Deprivation of Liberty after Cheshire West: key questions for social workers and medical practitioners [online] Available at </w:t>
      </w:r>
      <w:hyperlink r:id="rId36" w:history="1">
        <w:r w:rsidRPr="009954B2">
          <w:rPr>
            <w:rStyle w:val="Hyperlink"/>
            <w:sz w:val="24"/>
            <w:szCs w:val="24"/>
          </w:rPr>
          <w:t>https://www.39essex.com/docs/newsletters/deprivation_of_liberty_after_cheshire_west_-_a_guide_for_front-line_staff.pdf</w:t>
        </w:r>
      </w:hyperlink>
      <w:r w:rsidRPr="009954B2">
        <w:rPr>
          <w:sz w:val="24"/>
          <w:szCs w:val="24"/>
        </w:rPr>
        <w:t xml:space="preserve"> (Accessed 04 February 2020).</w:t>
      </w:r>
    </w:p>
    <w:p w:rsidR="00D27E6E" w:rsidRPr="006D15D0" w:rsidRDefault="00D27E6E" w:rsidP="00D27E6E">
      <w:pPr>
        <w:rPr>
          <w:sz w:val="24"/>
          <w:szCs w:val="24"/>
        </w:rPr>
      </w:pPr>
    </w:p>
    <w:p w:rsidR="00D27E6E" w:rsidRDefault="00D27E6E" w:rsidP="00D27E6E">
      <w:pPr>
        <w:rPr>
          <w:rFonts w:eastAsia="Calibri"/>
          <w:sz w:val="24"/>
          <w:szCs w:val="24"/>
        </w:rPr>
      </w:pPr>
      <w:r w:rsidRPr="006D15D0">
        <w:rPr>
          <w:rFonts w:eastAsia="Calibri"/>
          <w:sz w:val="24"/>
          <w:szCs w:val="24"/>
        </w:rPr>
        <w:t>Social Services and Well-being (Wales) Act 2014. ‘Working Together to Safeguard People. Volume I – Introduction and Overview’. [</w:t>
      </w:r>
      <w:proofErr w:type="gramStart"/>
      <w:r w:rsidRPr="006D15D0">
        <w:rPr>
          <w:rFonts w:eastAsia="Calibri"/>
          <w:sz w:val="24"/>
          <w:szCs w:val="24"/>
        </w:rPr>
        <w:t>online</w:t>
      </w:r>
      <w:proofErr w:type="gramEnd"/>
      <w:r w:rsidRPr="006D15D0">
        <w:rPr>
          <w:rFonts w:eastAsia="Calibri"/>
          <w:sz w:val="24"/>
          <w:szCs w:val="24"/>
        </w:rPr>
        <w:t xml:space="preserve">] Available at </w:t>
      </w:r>
      <w:hyperlink r:id="rId37" w:history="1">
        <w:r w:rsidRPr="006D15D0">
          <w:rPr>
            <w:rStyle w:val="Hyperlink"/>
            <w:rFonts w:eastAsia="Calibri"/>
            <w:sz w:val="24"/>
            <w:szCs w:val="24"/>
          </w:rPr>
          <w:t>https://gweddill.gov.wales/docs/phhs/publications/160404part7guidevol1en.pdf</w:t>
        </w:r>
      </w:hyperlink>
      <w:r w:rsidRPr="006D15D0">
        <w:rPr>
          <w:rFonts w:eastAsia="Calibri"/>
          <w:sz w:val="24"/>
          <w:szCs w:val="24"/>
        </w:rPr>
        <w:t xml:space="preserve"> (Accessed 30 August 2019).</w:t>
      </w:r>
    </w:p>
    <w:p w:rsidR="00D27E6E" w:rsidRPr="006D15D0" w:rsidRDefault="00D27E6E" w:rsidP="00D27E6E">
      <w:pPr>
        <w:rPr>
          <w:rFonts w:eastAsia="Calibri"/>
          <w:sz w:val="24"/>
          <w:szCs w:val="24"/>
        </w:rPr>
      </w:pPr>
    </w:p>
    <w:p w:rsidR="00D27E6E" w:rsidRDefault="00D27E6E" w:rsidP="00D27E6E">
      <w:pPr>
        <w:rPr>
          <w:sz w:val="24"/>
          <w:szCs w:val="24"/>
          <w:lang w:val="en"/>
        </w:rPr>
      </w:pPr>
      <w:r w:rsidRPr="006D15D0">
        <w:rPr>
          <w:sz w:val="24"/>
          <w:szCs w:val="24"/>
          <w:lang w:val="en"/>
        </w:rPr>
        <w:t>The VARK Questionnaire, Version 8.01 (2019). [</w:t>
      </w:r>
      <w:proofErr w:type="gramStart"/>
      <w:r w:rsidRPr="006D15D0">
        <w:rPr>
          <w:sz w:val="24"/>
          <w:szCs w:val="24"/>
          <w:lang w:val="en"/>
        </w:rPr>
        <w:t>online</w:t>
      </w:r>
      <w:proofErr w:type="gramEnd"/>
      <w:r w:rsidRPr="006D15D0">
        <w:rPr>
          <w:sz w:val="24"/>
          <w:szCs w:val="24"/>
          <w:lang w:val="en"/>
        </w:rPr>
        <w:t>] Available at http://vark-learn.com/the-vark-questionnaire/ (Accessed 14 April 2019).</w:t>
      </w:r>
    </w:p>
    <w:p w:rsidR="00D27E6E" w:rsidRPr="006D15D0" w:rsidRDefault="00D27E6E" w:rsidP="00D27E6E">
      <w:pPr>
        <w:rPr>
          <w:sz w:val="24"/>
          <w:szCs w:val="24"/>
          <w:lang w:val="en"/>
        </w:rPr>
      </w:pPr>
    </w:p>
    <w:p w:rsidR="00D27E6E" w:rsidRDefault="00D27E6E" w:rsidP="00D27E6E">
      <w:pPr>
        <w:rPr>
          <w:sz w:val="24"/>
          <w:szCs w:val="24"/>
        </w:rPr>
      </w:pPr>
      <w:r w:rsidRPr="006D15D0">
        <w:rPr>
          <w:sz w:val="24"/>
          <w:szCs w:val="24"/>
        </w:rPr>
        <w:t>Thompson, N. (2011) Effective Communication: A Guide for the People Professions, 2</w:t>
      </w:r>
      <w:r w:rsidRPr="006D15D0">
        <w:rPr>
          <w:sz w:val="24"/>
          <w:szCs w:val="24"/>
          <w:vertAlign w:val="superscript"/>
        </w:rPr>
        <w:t>nd</w:t>
      </w:r>
      <w:r w:rsidRPr="006D15D0">
        <w:rPr>
          <w:sz w:val="24"/>
          <w:szCs w:val="24"/>
        </w:rPr>
        <w:t xml:space="preserve"> </w:t>
      </w:r>
      <w:proofErr w:type="spellStart"/>
      <w:r w:rsidRPr="006D15D0">
        <w:rPr>
          <w:sz w:val="24"/>
          <w:szCs w:val="24"/>
        </w:rPr>
        <w:t>edn</w:t>
      </w:r>
      <w:proofErr w:type="spellEnd"/>
      <w:r w:rsidRPr="006D15D0">
        <w:rPr>
          <w:sz w:val="24"/>
          <w:szCs w:val="24"/>
        </w:rPr>
        <w:t xml:space="preserve">. London, </w:t>
      </w:r>
      <w:proofErr w:type="spellStart"/>
      <w:r w:rsidRPr="006D15D0">
        <w:rPr>
          <w:sz w:val="24"/>
          <w:szCs w:val="24"/>
        </w:rPr>
        <w:t>Pargrave</w:t>
      </w:r>
      <w:proofErr w:type="spellEnd"/>
      <w:r w:rsidRPr="006D15D0">
        <w:rPr>
          <w:sz w:val="24"/>
          <w:szCs w:val="24"/>
        </w:rPr>
        <w:t xml:space="preserve"> Macmillan.</w:t>
      </w:r>
    </w:p>
    <w:p w:rsidR="00D27E6E" w:rsidRDefault="00D27E6E" w:rsidP="00D27E6E">
      <w:pPr>
        <w:rPr>
          <w:sz w:val="24"/>
          <w:szCs w:val="24"/>
        </w:rPr>
      </w:pPr>
    </w:p>
    <w:p w:rsidR="00D27E6E" w:rsidRDefault="00D27E6E" w:rsidP="00D27E6E">
      <w:pPr>
        <w:rPr>
          <w:sz w:val="24"/>
          <w:szCs w:val="24"/>
        </w:rPr>
      </w:pPr>
      <w:r>
        <w:rPr>
          <w:sz w:val="24"/>
          <w:szCs w:val="24"/>
        </w:rPr>
        <w:t xml:space="preserve">United Principles for Older Persons 1991 [online] Available at </w:t>
      </w:r>
      <w:hyperlink r:id="rId38" w:history="1">
        <w:r w:rsidRPr="00302FE9">
          <w:rPr>
            <w:rStyle w:val="Hyperlink"/>
            <w:sz w:val="24"/>
            <w:szCs w:val="24"/>
          </w:rPr>
          <w:t>https://www.olderpeoplewales.com/en/about/un-principles.aspx</w:t>
        </w:r>
      </w:hyperlink>
      <w:r w:rsidRPr="00302FE9">
        <w:rPr>
          <w:sz w:val="24"/>
          <w:szCs w:val="24"/>
        </w:rPr>
        <w:t xml:space="preserve"> (Accessed 05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Virtual Dementia Tour, 2019 [online] Available at </w:t>
      </w:r>
      <w:hyperlink r:id="rId39" w:history="1">
        <w:r w:rsidRPr="00A050E8">
          <w:rPr>
            <w:rStyle w:val="Hyperlink"/>
            <w:sz w:val="24"/>
            <w:szCs w:val="24"/>
          </w:rPr>
          <w:t>https://www.training2care.co.uk/virtual-dementia-tour.htm</w:t>
        </w:r>
      </w:hyperlink>
      <w:r w:rsidRPr="00A050E8">
        <w:rPr>
          <w:sz w:val="24"/>
          <w:szCs w:val="24"/>
        </w:rPr>
        <w:t xml:space="preserve"> (Accessed 07 February 2020).</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Wales Interim Policy &amp; Procedures for the protection of vulnerable adults from abuse (2013) [online] Available at </w:t>
      </w:r>
      <w:hyperlink r:id="rId40" w:history="1">
        <w:r w:rsidRPr="006D15D0">
          <w:rPr>
            <w:rStyle w:val="Hyperlink"/>
            <w:sz w:val="24"/>
            <w:szCs w:val="24"/>
          </w:rPr>
          <w:t>https://socialcare.wales/resources/wales-interim-policy-and-procedures-for-the-protection-of-vulnerable-adults-from-abuse</w:t>
        </w:r>
      </w:hyperlink>
      <w:r w:rsidRPr="006D15D0">
        <w:rPr>
          <w:sz w:val="24"/>
          <w:szCs w:val="24"/>
        </w:rPr>
        <w:t xml:space="preserve"> (Accessed 12 September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Wales Safeguarding Procedures, 2019 [online] Available at </w:t>
      </w:r>
      <w:hyperlink r:id="rId41" w:history="1">
        <w:r w:rsidRPr="006D15D0">
          <w:rPr>
            <w:rStyle w:val="Hyperlink"/>
            <w:sz w:val="24"/>
            <w:szCs w:val="24"/>
          </w:rPr>
          <w:t>https://socialcare.wales/hub/hub-resource-sub-categories/safeguarding-procedures</w:t>
        </w:r>
      </w:hyperlink>
      <w:r w:rsidRPr="006D15D0">
        <w:rPr>
          <w:sz w:val="24"/>
          <w:szCs w:val="24"/>
        </w:rPr>
        <w:t xml:space="preserve"> (Accessed 13 January 2020).</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Welsh Government 2015. ‘More than just words….’ Strategic Framework for Welsh Language Services in Health, Social Services and Social Care   [online] Available at: </w:t>
      </w:r>
      <w:hyperlink r:id="rId42" w:history="1">
        <w:r w:rsidRPr="006D15D0">
          <w:rPr>
            <w:rStyle w:val="Hyperlink"/>
            <w:sz w:val="24"/>
            <w:szCs w:val="24"/>
          </w:rPr>
          <w:t>http://www.wales.nhs.uk/sites3/documents/415/web%20-%2016184_narrative_e_web.pdf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r>
        <w:rPr>
          <w:sz w:val="24"/>
          <w:szCs w:val="24"/>
        </w:rPr>
        <w:t xml:space="preserve">Welsh Government 2018 ‘Working Together to Safeguard People: Volume 6’ [online] Available at </w:t>
      </w:r>
      <w:hyperlink r:id="rId43" w:history="1">
        <w:r w:rsidRPr="009613AB">
          <w:rPr>
            <w:rStyle w:val="Hyperlink"/>
            <w:sz w:val="24"/>
            <w:szCs w:val="24"/>
          </w:rPr>
          <w:t>https://gov.wales/sites/default/files/publications/2019-06/volume-6-handling-individual-cases-to-protect-adults-at-risk.pdf</w:t>
        </w:r>
      </w:hyperlink>
      <w:r w:rsidRPr="009613AB">
        <w:rPr>
          <w:sz w:val="24"/>
          <w:szCs w:val="24"/>
        </w:rPr>
        <w:t xml:space="preserve"> (Accessed 12 January 2020</w:t>
      </w:r>
      <w:r>
        <w:t>).</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lastRenderedPageBreak/>
        <w:t xml:space="preserve">Westlake, D. &amp; Jones, R. (2017) </w:t>
      </w:r>
      <w:r w:rsidRPr="009613AB">
        <w:rPr>
          <w:rStyle w:val="al-author-name-more"/>
          <w:sz w:val="24"/>
          <w:szCs w:val="24"/>
          <w:bdr w:val="none" w:sz="0" w:space="0" w:color="auto" w:frame="1"/>
        </w:rPr>
        <w:t>‘</w:t>
      </w:r>
      <w:r w:rsidRPr="009613AB">
        <w:rPr>
          <w:sz w:val="24"/>
          <w:szCs w:val="24"/>
        </w:rPr>
        <w:t>Breaking Down Language Barriers: A Practice-Near Study of Social Work Using Interpreters’: The</w:t>
      </w:r>
      <w:r w:rsidRPr="006D15D0">
        <w:rPr>
          <w:sz w:val="24"/>
          <w:szCs w:val="24"/>
        </w:rPr>
        <w:t xml:space="preserve"> British Journal of Social Work, Volume 48, Issue 5, July 2018. [</w:t>
      </w:r>
      <w:proofErr w:type="gramStart"/>
      <w:r w:rsidRPr="006D15D0">
        <w:rPr>
          <w:sz w:val="24"/>
          <w:szCs w:val="24"/>
        </w:rPr>
        <w:t>online</w:t>
      </w:r>
      <w:proofErr w:type="gramEnd"/>
      <w:r w:rsidRPr="006D15D0">
        <w:rPr>
          <w:sz w:val="24"/>
          <w:szCs w:val="24"/>
        </w:rPr>
        <w:t xml:space="preserve">] Available at </w:t>
      </w:r>
      <w:hyperlink r:id="rId44" w:history="1">
        <w:r w:rsidRPr="006D15D0">
          <w:rPr>
            <w:rStyle w:val="Hyperlink"/>
            <w:sz w:val="24"/>
            <w:szCs w:val="24"/>
            <w:bdr w:val="none" w:sz="0" w:space="0" w:color="auto" w:frame="1"/>
          </w:rPr>
          <w:t>https://doi.org/10.1093/bjsw/bcx073</w:t>
        </w:r>
      </w:hyperlink>
      <w:r w:rsidRPr="006D15D0">
        <w:rPr>
          <w:sz w:val="24"/>
          <w:szCs w:val="24"/>
        </w:rPr>
        <w:t xml:space="preserve"> (Accessed 20 November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Wilson, K., </w:t>
      </w:r>
      <w:proofErr w:type="spellStart"/>
      <w:r w:rsidRPr="006D15D0">
        <w:rPr>
          <w:sz w:val="24"/>
          <w:szCs w:val="24"/>
        </w:rPr>
        <w:t>Ruch</w:t>
      </w:r>
      <w:proofErr w:type="spellEnd"/>
      <w:r w:rsidRPr="006D15D0">
        <w:rPr>
          <w:sz w:val="24"/>
          <w:szCs w:val="24"/>
        </w:rPr>
        <w:t xml:space="preserve">, G., </w:t>
      </w:r>
      <w:proofErr w:type="spellStart"/>
      <w:r w:rsidRPr="006D15D0">
        <w:rPr>
          <w:sz w:val="24"/>
          <w:szCs w:val="24"/>
        </w:rPr>
        <w:t>Lymbery</w:t>
      </w:r>
      <w:proofErr w:type="spellEnd"/>
      <w:r w:rsidRPr="006D15D0">
        <w:rPr>
          <w:sz w:val="24"/>
          <w:szCs w:val="24"/>
        </w:rPr>
        <w:t>, M. &amp; Cooper, A. (2001) ‘Social work with children and families’ in Social work- An introduction to contemporary practice (2</w:t>
      </w:r>
      <w:r w:rsidRPr="006D15D0">
        <w:rPr>
          <w:sz w:val="24"/>
          <w:szCs w:val="24"/>
          <w:vertAlign w:val="superscript"/>
        </w:rPr>
        <w:t>nd</w:t>
      </w:r>
      <w:r w:rsidRPr="006D15D0">
        <w:rPr>
          <w:sz w:val="24"/>
          <w:szCs w:val="24"/>
        </w:rPr>
        <w:t xml:space="preserve"> edition)</w:t>
      </w:r>
      <w:r>
        <w:rPr>
          <w:sz w:val="24"/>
          <w:szCs w:val="24"/>
        </w:rPr>
        <w:t>. Pearson Education Ltd, Essex.</w:t>
      </w:r>
    </w:p>
    <w:p w:rsidR="00D27E6E" w:rsidRPr="006D15D0" w:rsidRDefault="00D27E6E" w:rsidP="00D27E6E">
      <w:pPr>
        <w:rPr>
          <w:b/>
          <w:sz w:val="24"/>
          <w:szCs w:val="24"/>
        </w:rPr>
      </w:pPr>
    </w:p>
    <w:p w:rsidR="00D27E6E" w:rsidRPr="006D15D0" w:rsidRDefault="00D27E6E" w:rsidP="00D27E6E">
      <w:pPr>
        <w:rPr>
          <w:sz w:val="24"/>
          <w:szCs w:val="24"/>
        </w:rPr>
      </w:pPr>
      <w:r w:rsidRPr="006D15D0">
        <w:rPr>
          <w:b/>
          <w:sz w:val="24"/>
          <w:szCs w:val="24"/>
        </w:rPr>
        <w:br w:type="page"/>
      </w:r>
    </w:p>
    <w:p w:rsidR="00D27E6E" w:rsidRDefault="00D27E6E" w:rsidP="00D27E6E">
      <w:pPr>
        <w:jc w:val="both"/>
        <w:rPr>
          <w:b/>
          <w:sz w:val="24"/>
          <w:szCs w:val="24"/>
        </w:rPr>
      </w:pPr>
    </w:p>
    <w:p w:rsidR="00D27E6E" w:rsidRDefault="00D27E6E" w:rsidP="00D27E6E">
      <w:pPr>
        <w:jc w:val="both"/>
        <w:rPr>
          <w:b/>
          <w:sz w:val="24"/>
          <w:szCs w:val="24"/>
        </w:rPr>
      </w:pPr>
    </w:p>
    <w:p w:rsidR="00D27E6E" w:rsidRDefault="00D27E6E" w:rsidP="00D27E6E">
      <w:pPr>
        <w:keepNext/>
        <w:jc w:val="center"/>
        <w:rPr>
          <w:b/>
          <w:sz w:val="24"/>
          <w:szCs w:val="24"/>
        </w:rPr>
      </w:pPr>
      <w:r>
        <w:rPr>
          <w:b/>
          <w:sz w:val="24"/>
          <w:szCs w:val="24"/>
        </w:rPr>
        <w:br w:type="page"/>
      </w:r>
      <w:r w:rsidRPr="008B28E7">
        <w:rPr>
          <w:b/>
          <w:sz w:val="24"/>
          <w:szCs w:val="24"/>
        </w:rPr>
        <w:lastRenderedPageBreak/>
        <w:t xml:space="preserve">Section </w:t>
      </w:r>
      <w:r>
        <w:rPr>
          <w:b/>
          <w:sz w:val="24"/>
          <w:szCs w:val="24"/>
        </w:rPr>
        <w:t>8</w:t>
      </w:r>
    </w:p>
    <w:p w:rsidR="00D27E6E" w:rsidRDefault="00D27E6E" w:rsidP="00D27E6E">
      <w:pPr>
        <w:keepNext/>
        <w:jc w:val="center"/>
        <w:rPr>
          <w:b/>
          <w:sz w:val="24"/>
          <w:szCs w:val="24"/>
        </w:rPr>
      </w:pPr>
    </w:p>
    <w:p w:rsidR="00D27E6E" w:rsidRPr="000E38C3" w:rsidRDefault="00D27E6E" w:rsidP="00D27E6E">
      <w:pPr>
        <w:keepNext/>
        <w:rPr>
          <w:b/>
          <w:sz w:val="24"/>
          <w:szCs w:val="24"/>
        </w:rPr>
      </w:pPr>
      <w:r w:rsidRPr="000E38C3">
        <w:rPr>
          <w:b/>
          <w:color w:val="auto"/>
          <w:sz w:val="24"/>
          <w:szCs w:val="24"/>
        </w:rPr>
        <w:t>Learner details, Signatures and Line manager verification</w:t>
      </w:r>
    </w:p>
    <w:p w:rsidR="00D27E6E" w:rsidRPr="008B28E7" w:rsidRDefault="00D27E6E" w:rsidP="00D27E6E">
      <w:pPr>
        <w:keepNext/>
        <w:jc w:val="center"/>
        <w:rPr>
          <w:b/>
          <w:sz w:val="24"/>
          <w:szCs w:val="24"/>
        </w:rPr>
      </w:pPr>
    </w:p>
    <w:p w:rsidR="00D27E6E" w:rsidRPr="00390074" w:rsidRDefault="00D27E6E" w:rsidP="00D27E6E">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D27E6E" w:rsidRDefault="00D27E6E" w:rsidP="00D27E6E">
      <w:pPr>
        <w:keepNext/>
        <w:rPr>
          <w:b/>
          <w:sz w:val="24"/>
          <w:szCs w:val="24"/>
        </w:rPr>
      </w:pPr>
    </w:p>
    <w:p w:rsidR="00D27E6E" w:rsidRDefault="00D27E6E" w:rsidP="00D27E6E">
      <w:pPr>
        <w:ind w:right="180"/>
        <w:jc w:val="both"/>
        <w:rPr>
          <w:b/>
          <w:sz w:val="24"/>
          <w:szCs w:val="24"/>
        </w:rPr>
      </w:pPr>
      <w:r w:rsidRPr="008B28E7">
        <w:rPr>
          <w:b/>
          <w:sz w:val="24"/>
          <w:szCs w:val="24"/>
        </w:rPr>
        <w:t xml:space="preserve">Learner Details </w:t>
      </w:r>
    </w:p>
    <w:p w:rsidR="00D27E6E" w:rsidRDefault="00D27E6E" w:rsidP="00D27E6E">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D27E6E" w:rsidRPr="008B28E7" w:rsidRDefault="00D27E6E" w:rsidP="00D27E6E">
      <w:pPr>
        <w:ind w:right="180"/>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Naomi Bramham</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12 </w:t>
      </w:r>
      <w:proofErr w:type="spellStart"/>
      <w:r>
        <w:rPr>
          <w:b/>
          <w:sz w:val="24"/>
          <w:szCs w:val="24"/>
        </w:rPr>
        <w:t>Ger</w:t>
      </w:r>
      <w:proofErr w:type="spellEnd"/>
      <w:r>
        <w:rPr>
          <w:b/>
          <w:sz w:val="24"/>
          <w:szCs w:val="24"/>
        </w:rPr>
        <w:t xml:space="preserve"> Y Cwm, </w:t>
      </w:r>
      <w:proofErr w:type="spellStart"/>
      <w:r>
        <w:rPr>
          <w:b/>
          <w:sz w:val="24"/>
          <w:szCs w:val="24"/>
        </w:rPr>
        <w:t>Penrhyncoch</w:t>
      </w:r>
      <w:proofErr w:type="spellEnd"/>
      <w:r>
        <w:rPr>
          <w:b/>
          <w:sz w:val="24"/>
          <w:szCs w:val="24"/>
        </w:rPr>
        <w:t>, Aberystwyth, Ceredigion.SY23 3FA</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07581391296</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naomi.bramham@ceredigion.gov.uk</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31.12.2017</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12.12.2017</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jc w:val="both"/>
        <w:rPr>
          <w:b/>
          <w:sz w:val="24"/>
          <w:szCs w:val="24"/>
        </w:rPr>
      </w:pPr>
    </w:p>
    <w:p w:rsidR="00D27E6E" w:rsidRPr="008B28E7" w:rsidRDefault="00D27E6E" w:rsidP="00D27E6E">
      <w:pP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Ceredigion County Council</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Training Department</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Debbie Ayriss</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roofErr w:type="spellStart"/>
      <w:r>
        <w:rPr>
          <w:b/>
          <w:sz w:val="24"/>
          <w:szCs w:val="24"/>
        </w:rPr>
        <w:t>Canolfan</w:t>
      </w:r>
      <w:proofErr w:type="spellEnd"/>
      <w:r>
        <w:rPr>
          <w:b/>
          <w:sz w:val="24"/>
          <w:szCs w:val="24"/>
        </w:rPr>
        <w:t xml:space="preserve"> Rheidol, </w:t>
      </w:r>
      <w:proofErr w:type="spellStart"/>
      <w:r>
        <w:rPr>
          <w:b/>
          <w:sz w:val="24"/>
          <w:szCs w:val="24"/>
        </w:rPr>
        <w:t>Rhodfa</w:t>
      </w:r>
      <w:proofErr w:type="spellEnd"/>
      <w:r>
        <w:rPr>
          <w:b/>
          <w:sz w:val="24"/>
          <w:szCs w:val="24"/>
        </w:rPr>
        <w:t xml:space="preserve"> </w:t>
      </w:r>
      <w:proofErr w:type="spellStart"/>
      <w:r>
        <w:rPr>
          <w:b/>
          <w:sz w:val="24"/>
          <w:szCs w:val="24"/>
        </w:rPr>
        <w:t>Padarn</w:t>
      </w:r>
      <w:proofErr w:type="spellEnd"/>
      <w:r>
        <w:rPr>
          <w:b/>
          <w:sz w:val="24"/>
          <w:szCs w:val="24"/>
        </w:rPr>
        <w:t xml:space="preserve">, </w:t>
      </w:r>
      <w:proofErr w:type="spellStart"/>
      <w:r>
        <w:rPr>
          <w:b/>
          <w:sz w:val="24"/>
          <w:szCs w:val="24"/>
        </w:rPr>
        <w:t>Llanbadarn</w:t>
      </w:r>
      <w:proofErr w:type="spellEnd"/>
      <w:r>
        <w:rPr>
          <w:b/>
          <w:sz w:val="24"/>
          <w:szCs w:val="24"/>
        </w:rPr>
        <w:t xml:space="preserve"> </w:t>
      </w:r>
      <w:proofErr w:type="spellStart"/>
      <w:r>
        <w:rPr>
          <w:b/>
          <w:sz w:val="24"/>
          <w:szCs w:val="24"/>
        </w:rPr>
        <w:t>Fawr</w:t>
      </w:r>
      <w:proofErr w:type="spellEnd"/>
      <w:r>
        <w:rPr>
          <w:b/>
          <w:sz w:val="24"/>
          <w:szCs w:val="24"/>
        </w:rPr>
        <w:t>, Aberystwyth, Ceredigion.</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01545 574005</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Debbie.Ayriss@ceredigion.gov.uk</w:t>
      </w:r>
    </w:p>
    <w:p w:rsidR="00D27E6E" w:rsidRDefault="00D27E6E" w:rsidP="00D27E6E">
      <w:pPr>
        <w:jc w:val="both"/>
        <w:rPr>
          <w:b/>
          <w:sz w:val="24"/>
          <w:szCs w:val="24"/>
        </w:rPr>
      </w:pPr>
    </w:p>
    <w:p w:rsidR="00D27E6E" w:rsidRPr="008B28E7" w:rsidRDefault="00D27E6E" w:rsidP="00D27E6E">
      <w:pP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rsidR="00D27E6E" w:rsidRDefault="00D27E6E" w:rsidP="00D27E6E">
      <w:pPr>
        <w:jc w:val="both"/>
        <w:rPr>
          <w:b/>
          <w:sz w:val="24"/>
          <w:szCs w:val="24"/>
        </w:rPr>
      </w:pPr>
    </w:p>
    <w:p w:rsidR="00D27E6E" w:rsidRDefault="00D27E6E" w:rsidP="00D27E6E">
      <w:pPr>
        <w:jc w:val="both"/>
        <w:rPr>
          <w:b/>
          <w:sz w:val="24"/>
          <w:szCs w:val="24"/>
        </w:rPr>
      </w:pPr>
    </w:p>
    <w:p w:rsidR="00D27E6E" w:rsidRDefault="00D27E6E" w:rsidP="00D27E6E">
      <w:pPr>
        <w:jc w:val="both"/>
        <w:rPr>
          <w:b/>
          <w:sz w:val="24"/>
          <w:szCs w:val="24"/>
        </w:rPr>
      </w:pPr>
      <w:r>
        <w:rPr>
          <w:b/>
          <w:sz w:val="24"/>
          <w:szCs w:val="24"/>
        </w:rPr>
        <w:t>Mentor’s details</w:t>
      </w:r>
    </w:p>
    <w:p w:rsidR="00D27E6E" w:rsidRPr="008B28E7" w:rsidRDefault="00D27E6E" w:rsidP="00D27E6E">
      <w:pP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r>
        <w:rPr>
          <w:b/>
          <w:sz w:val="24"/>
          <w:szCs w:val="24"/>
        </w:rPr>
        <w:t xml:space="preserve">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Michelle Raddie-Jackson</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The Adult Team, Ceredigion Social Services, </w:t>
      </w:r>
      <w:proofErr w:type="spellStart"/>
      <w:r>
        <w:rPr>
          <w:b/>
          <w:sz w:val="24"/>
          <w:szCs w:val="24"/>
        </w:rPr>
        <w:t>Canolfan</w:t>
      </w:r>
      <w:proofErr w:type="spellEnd"/>
      <w:r>
        <w:rPr>
          <w:b/>
          <w:sz w:val="24"/>
          <w:szCs w:val="24"/>
        </w:rPr>
        <w:t xml:space="preserve"> Rheidol, </w:t>
      </w:r>
      <w:proofErr w:type="spellStart"/>
      <w:r>
        <w:rPr>
          <w:b/>
          <w:sz w:val="24"/>
          <w:szCs w:val="24"/>
        </w:rPr>
        <w:t>Rhodfa</w:t>
      </w:r>
      <w:proofErr w:type="spellEnd"/>
      <w:r>
        <w:rPr>
          <w:b/>
          <w:sz w:val="24"/>
          <w:szCs w:val="24"/>
        </w:rPr>
        <w:t xml:space="preserve"> </w:t>
      </w:r>
      <w:proofErr w:type="spellStart"/>
      <w:r>
        <w:rPr>
          <w:b/>
          <w:sz w:val="24"/>
          <w:szCs w:val="24"/>
        </w:rPr>
        <w:t>Padarn</w:t>
      </w:r>
      <w:proofErr w:type="spellEnd"/>
      <w:r>
        <w:rPr>
          <w:b/>
          <w:sz w:val="24"/>
          <w:szCs w:val="24"/>
        </w:rPr>
        <w:t xml:space="preserve">, </w:t>
      </w:r>
      <w:proofErr w:type="spellStart"/>
      <w:r>
        <w:rPr>
          <w:b/>
          <w:sz w:val="24"/>
          <w:szCs w:val="24"/>
        </w:rPr>
        <w:t>Llanbadarn</w:t>
      </w:r>
      <w:proofErr w:type="spellEnd"/>
      <w:r>
        <w:rPr>
          <w:b/>
          <w:sz w:val="24"/>
          <w:szCs w:val="24"/>
        </w:rPr>
        <w:t xml:space="preserve"> </w:t>
      </w:r>
      <w:proofErr w:type="spellStart"/>
      <w:r>
        <w:rPr>
          <w:b/>
          <w:sz w:val="24"/>
          <w:szCs w:val="24"/>
        </w:rPr>
        <w:t>Fawr</w:t>
      </w:r>
      <w:proofErr w:type="spellEnd"/>
      <w:r>
        <w:rPr>
          <w:b/>
          <w:sz w:val="24"/>
          <w:szCs w:val="24"/>
        </w:rPr>
        <w:t>, Aberystwyth, Ceredigion. SY23 3UE.</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01970 633310</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Michelle.Raddie-Jackson@ceredigion.gov.uk</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i/>
          <w:sz w:val="24"/>
          <w:szCs w:val="24"/>
        </w:rPr>
      </w:pP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Pr="008B28E7" w:rsidRDefault="00D27E6E" w:rsidP="00D27E6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Name:</w:t>
            </w:r>
            <w:r>
              <w:rPr>
                <w:b/>
                <w:sz w:val="24"/>
                <w:szCs w:val="24"/>
              </w:rPr>
              <w:t xml:space="preserve"> Michelle Raddie-Jackson</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 xml:space="preserve">Work Address: </w:t>
            </w:r>
            <w:r>
              <w:rPr>
                <w:b/>
                <w:sz w:val="24"/>
                <w:szCs w:val="24"/>
              </w:rPr>
              <w:t>as above</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Professional Qualification and date of qualification:</w:t>
            </w:r>
          </w:p>
          <w:p w:rsidR="00D27E6E"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as above</w:t>
            </w:r>
          </w:p>
          <w:p w:rsidR="00D27E6E" w:rsidRPr="008B28E7" w:rsidRDefault="00D27E6E" w:rsidP="00D27E6E">
            <w:pPr>
              <w:jc w:val="both"/>
              <w:rPr>
                <w:b/>
                <w:sz w:val="24"/>
                <w:szCs w:val="24"/>
              </w:rPr>
            </w:pPr>
          </w:p>
        </w:tc>
      </w:tr>
    </w:tbl>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r>
        <w:rPr>
          <w:b/>
          <w:sz w:val="24"/>
          <w:szCs w:val="24"/>
        </w:rPr>
        <w:br w:type="page"/>
      </w:r>
      <w:r>
        <w:rPr>
          <w:b/>
          <w:sz w:val="24"/>
          <w:szCs w:val="24"/>
        </w:rPr>
        <w:lastRenderedPageBreak/>
        <w:t>Signatures and Line Manager Verification</w:t>
      </w:r>
    </w:p>
    <w:p w:rsidR="00D27E6E" w:rsidRDefault="00D27E6E" w:rsidP="00D27E6E">
      <w:pPr>
        <w:keepNext/>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Pr="008B28E7">
        <w:rPr>
          <w:sz w:val="24"/>
          <w:szCs w:val="24"/>
        </w:rPr>
        <w:t>(</w:t>
      </w:r>
      <w:proofErr w:type="gramEnd"/>
      <w:r w:rsidRPr="008B28E7">
        <w:rPr>
          <w:sz w:val="24"/>
          <w:szCs w:val="24"/>
        </w:rPr>
        <w:t>Learner</w:t>
      </w:r>
      <w:r>
        <w:rPr>
          <w:sz w:val="24"/>
          <w:szCs w:val="24"/>
        </w:rPr>
        <w:t>)</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ind w:right="180"/>
        <w:jc w:val="both"/>
        <w:rPr>
          <w:b/>
          <w:sz w:val="24"/>
          <w:szCs w:val="24"/>
        </w:rPr>
      </w:pPr>
    </w:p>
    <w:p w:rsidR="00D27E6E" w:rsidRPr="008B28E7" w:rsidRDefault="00D27E6E" w:rsidP="00D27E6E">
      <w:pPr>
        <w:ind w:right="180"/>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ind w:right="180"/>
        <w:jc w:val="both"/>
        <w:rPr>
          <w:b/>
          <w:sz w:val="24"/>
          <w:szCs w:val="24"/>
        </w:rPr>
      </w:pPr>
    </w:p>
    <w:p w:rsidR="00D27E6E" w:rsidRPr="008B28E7" w:rsidRDefault="00D27E6E" w:rsidP="00D27E6E">
      <w:pPr>
        <w:ind w:right="180"/>
        <w:jc w:val="both"/>
        <w:rPr>
          <w:b/>
          <w:sz w:val="24"/>
          <w:szCs w:val="24"/>
        </w:rPr>
      </w:pPr>
    </w:p>
    <w:p w:rsidR="00D27E6E" w:rsidRPr="008B28E7" w:rsidRDefault="00D27E6E" w:rsidP="00D27E6E">
      <w:pPr>
        <w:ind w:right="180"/>
        <w:jc w:val="both"/>
        <w:rPr>
          <w:b/>
          <w:sz w:val="24"/>
          <w:szCs w:val="24"/>
        </w:rPr>
      </w:pPr>
      <w:r w:rsidRPr="008B28E7">
        <w:rPr>
          <w:b/>
          <w:sz w:val="24"/>
          <w:szCs w:val="24"/>
        </w:rPr>
        <w:t xml:space="preserve"> Line manager verification</w:t>
      </w:r>
    </w:p>
    <w:p w:rsidR="00D27E6E" w:rsidRPr="00C57D24" w:rsidRDefault="00D27E6E" w:rsidP="00D27E6E">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D27E6E"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D27E6E" w:rsidRPr="008B28E7" w:rsidRDefault="00D27E6E" w:rsidP="00D27E6E">
      <w:pPr>
        <w:overflowPunct/>
        <w:autoSpaceDE/>
        <w:autoSpaceDN/>
        <w:adjustRightInd/>
        <w:jc w:val="both"/>
        <w:textAlignment w:val="auto"/>
        <w:rPr>
          <w:color w:val="auto"/>
          <w:sz w:val="24"/>
          <w:szCs w:val="24"/>
          <w:lang w:val="en"/>
        </w:rPr>
      </w:pPr>
    </w:p>
    <w:p w:rsidR="00D27E6E" w:rsidRPr="008B28E7" w:rsidRDefault="00D27E6E" w:rsidP="00D27E6E">
      <w:pPr>
        <w:overflowPunct/>
        <w:autoSpaceDE/>
        <w:autoSpaceDN/>
        <w:adjustRightInd/>
        <w:jc w:val="both"/>
        <w:textAlignment w:val="auto"/>
        <w:rPr>
          <w:color w:val="auto"/>
          <w:sz w:val="24"/>
          <w:szCs w:val="24"/>
          <w:lang w:val="en"/>
        </w:rPr>
      </w:pPr>
    </w:p>
    <w:p w:rsidR="00D27E6E" w:rsidRDefault="00D27E6E" w:rsidP="00D27E6E">
      <w:pPr>
        <w:tabs>
          <w:tab w:val="left" w:pos="1590"/>
        </w:tabs>
        <w:jc w:val="center"/>
        <w:rPr>
          <w:b/>
          <w:sz w:val="24"/>
          <w:szCs w:val="24"/>
        </w:rPr>
      </w:pPr>
      <w:r>
        <w:rPr>
          <w:b/>
          <w:color w:val="auto"/>
          <w:sz w:val="24"/>
          <w:szCs w:val="24"/>
        </w:rPr>
        <w:br w:type="page"/>
      </w:r>
      <w:r>
        <w:rPr>
          <w:b/>
          <w:sz w:val="24"/>
          <w:szCs w:val="24"/>
        </w:rPr>
        <w:lastRenderedPageBreak/>
        <w:t>Section 9</w:t>
      </w:r>
    </w:p>
    <w:p w:rsidR="00D27E6E" w:rsidRDefault="00D27E6E" w:rsidP="00D27E6E">
      <w:pPr>
        <w:tabs>
          <w:tab w:val="left" w:pos="1590"/>
        </w:tabs>
        <w:jc w:val="both"/>
        <w:rPr>
          <w:b/>
          <w:sz w:val="24"/>
          <w:szCs w:val="24"/>
        </w:rPr>
      </w:pPr>
    </w:p>
    <w:p w:rsidR="00D27E6E" w:rsidRPr="00BE10C2" w:rsidRDefault="00D27E6E" w:rsidP="00D27E6E">
      <w:pPr>
        <w:overflowPunct/>
        <w:autoSpaceDE/>
        <w:autoSpaceDN/>
        <w:adjustRightInd/>
        <w:textAlignment w:val="auto"/>
        <w:rPr>
          <w:color w:val="auto"/>
          <w:sz w:val="24"/>
          <w:szCs w:val="24"/>
        </w:rPr>
      </w:pPr>
    </w:p>
    <w:p w:rsidR="00D27E6E" w:rsidRDefault="00D27E6E" w:rsidP="00D27E6E">
      <w:pPr>
        <w:ind w:right="72"/>
        <w:jc w:val="center"/>
        <w:rPr>
          <w:b/>
          <w:bCs/>
        </w:rPr>
      </w:pPr>
      <w:r>
        <w:rPr>
          <w:b/>
          <w:bCs/>
        </w:rPr>
        <w:t>PORTH AGORED and UNIVERSITY OF WALES, TRINITY SAINT DAVID</w:t>
      </w:r>
    </w:p>
    <w:p w:rsidR="00D27E6E" w:rsidRDefault="00D27E6E" w:rsidP="00D27E6E">
      <w:pPr>
        <w:ind w:right="72"/>
        <w:rPr>
          <w:b/>
          <w:bCs/>
        </w:rPr>
      </w:pPr>
    </w:p>
    <w:p w:rsidR="00D27E6E" w:rsidRDefault="00D27E6E" w:rsidP="00D27E6E">
      <w:pPr>
        <w:ind w:right="72"/>
        <w:jc w:val="center"/>
        <w:rPr>
          <w:b/>
          <w:bCs/>
        </w:rPr>
      </w:pPr>
      <w:r>
        <w:rPr>
          <w:b/>
          <w:bCs/>
        </w:rPr>
        <w:t>GRADUATE CERTIFICATE IN CONSOLIDATION OF SOCIAL WORK PRACTICE</w:t>
      </w:r>
    </w:p>
    <w:p w:rsidR="00D27E6E" w:rsidRDefault="00D27E6E" w:rsidP="00D27E6E">
      <w:pPr>
        <w:ind w:right="72"/>
        <w:jc w:val="center"/>
        <w:rPr>
          <w:b/>
          <w:bCs/>
        </w:rPr>
      </w:pPr>
    </w:p>
    <w:p w:rsidR="00D27E6E" w:rsidRDefault="00D27E6E" w:rsidP="00D27E6E">
      <w:pPr>
        <w:ind w:right="72"/>
        <w:jc w:val="center"/>
        <w:rPr>
          <w:b/>
          <w:bCs/>
        </w:rPr>
      </w:pPr>
      <w:r>
        <w:rPr>
          <w:b/>
          <w:bCs/>
        </w:rPr>
        <w:t xml:space="preserve">LEARNER AND EMPLOYER’S LEARNING AGREEMENT </w:t>
      </w:r>
    </w:p>
    <w:p w:rsidR="00D27E6E" w:rsidRDefault="00D27E6E" w:rsidP="00D27E6E">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Naomi Bramham</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Adult Team, Ceredigion Social Services</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Michelle Raddie-Jackson</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Ruth Jones</w:t>
            </w:r>
          </w:p>
        </w:tc>
      </w:tr>
    </w:tbl>
    <w:p w:rsidR="00D27E6E" w:rsidRDefault="00D27E6E" w:rsidP="00D27E6E"/>
    <w:p w:rsidR="00D27E6E" w:rsidRDefault="00D27E6E" w:rsidP="00D27E6E">
      <w:r>
        <w:rPr>
          <w:b/>
        </w:rPr>
        <w:t>Study Duty</w:t>
      </w:r>
    </w:p>
    <w:p w:rsidR="00D27E6E" w:rsidRDefault="00D27E6E" w:rsidP="00D27E6E"/>
    <w:p w:rsidR="00D27E6E" w:rsidRDefault="00D27E6E" w:rsidP="00D27E6E">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D27E6E" w:rsidRDefault="00D27E6E" w:rsidP="00D27E6E">
      <w:pPr>
        <w:pStyle w:val="Title"/>
        <w:ind w:right="-1"/>
        <w:jc w:val="left"/>
        <w:rPr>
          <w:rFonts w:cs="Arial"/>
          <w:b w:val="0"/>
          <w:szCs w:val="24"/>
        </w:rPr>
      </w:pPr>
    </w:p>
    <w:p w:rsidR="00D27E6E" w:rsidRDefault="00D27E6E" w:rsidP="00D27E6E">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D27E6E" w:rsidRDefault="00D27E6E" w:rsidP="00D27E6E"/>
    <w:p w:rsidR="00D27E6E" w:rsidRDefault="00D27E6E" w:rsidP="00D27E6E">
      <w:pPr>
        <w:rPr>
          <w:b/>
        </w:rPr>
      </w:pPr>
      <w:r>
        <w:rPr>
          <w:b/>
        </w:rPr>
        <w:t xml:space="preserve">Study Leave </w:t>
      </w:r>
    </w:p>
    <w:p w:rsidR="00D27E6E" w:rsidRDefault="00D27E6E" w:rsidP="00D27E6E"/>
    <w:p w:rsidR="00D27E6E" w:rsidRDefault="00D27E6E" w:rsidP="00D27E6E">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D27E6E" w:rsidRDefault="00D27E6E" w:rsidP="00D27E6E"/>
    <w:p w:rsidR="00D27E6E" w:rsidRDefault="00D27E6E" w:rsidP="00D27E6E">
      <w:pPr>
        <w:rPr>
          <w:b/>
        </w:rPr>
      </w:pPr>
      <w:r>
        <w:rPr>
          <w:b/>
        </w:rPr>
        <w:t xml:space="preserve">Resources </w:t>
      </w:r>
    </w:p>
    <w:p w:rsidR="00D27E6E" w:rsidRDefault="00D27E6E" w:rsidP="00D27E6E"/>
    <w:p w:rsidR="00D27E6E" w:rsidRDefault="00D27E6E" w:rsidP="00D27E6E">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D27E6E" w:rsidRDefault="00D27E6E" w:rsidP="00D27E6E"/>
    <w:p w:rsidR="00D27E6E" w:rsidRDefault="00D27E6E" w:rsidP="00D27E6E"/>
    <w:p w:rsidR="00D27E6E" w:rsidRDefault="00D27E6E" w:rsidP="00D27E6E">
      <w:pPr>
        <w:rPr>
          <w:b/>
        </w:rPr>
      </w:pPr>
      <w:r>
        <w:rPr>
          <w:b/>
        </w:rPr>
        <w:br w:type="page"/>
      </w:r>
      <w:r>
        <w:rPr>
          <w:b/>
        </w:rPr>
        <w:lastRenderedPageBreak/>
        <w:t xml:space="preserve">The employer’s training department agrees to: </w:t>
      </w:r>
    </w:p>
    <w:p w:rsidR="00D27E6E" w:rsidRDefault="00D27E6E" w:rsidP="00D27E6E">
      <w:r>
        <w:t xml:space="preserve"> </w:t>
      </w:r>
    </w:p>
    <w:p w:rsidR="00D27E6E" w:rsidRDefault="00D27E6E" w:rsidP="00D27E6E">
      <w:pPr>
        <w:numPr>
          <w:ilvl w:val="0"/>
          <w:numId w:val="21"/>
        </w:numPr>
        <w:overflowPunct/>
        <w:autoSpaceDE/>
        <w:autoSpaceDN/>
        <w:adjustRightInd/>
        <w:textAlignment w:val="auto"/>
      </w:pPr>
      <w:r>
        <w:t xml:space="preserve">Arrange for eligible staff to join the programme </w:t>
      </w:r>
    </w:p>
    <w:p w:rsidR="00D27E6E" w:rsidRDefault="00D27E6E" w:rsidP="00D27E6E">
      <w:pPr>
        <w:numPr>
          <w:ilvl w:val="0"/>
          <w:numId w:val="21"/>
        </w:numPr>
        <w:overflowPunct/>
        <w:autoSpaceDE/>
        <w:autoSpaceDN/>
        <w:adjustRightInd/>
        <w:textAlignment w:val="auto"/>
      </w:pPr>
      <w:r>
        <w:t xml:space="preserve">pay course fees directly to the University  </w:t>
      </w:r>
    </w:p>
    <w:p w:rsidR="00D27E6E" w:rsidRDefault="00D27E6E" w:rsidP="00D27E6E">
      <w:pPr>
        <w:numPr>
          <w:ilvl w:val="0"/>
          <w:numId w:val="46"/>
        </w:numPr>
        <w:overflowPunct/>
        <w:autoSpaceDE/>
        <w:autoSpaceDN/>
        <w:adjustRightInd/>
        <w:textAlignment w:val="auto"/>
      </w:pPr>
      <w:r>
        <w:t>provide additional guidance and support by:</w:t>
      </w:r>
    </w:p>
    <w:p w:rsidR="00D27E6E" w:rsidRDefault="00D27E6E" w:rsidP="00D27E6E"/>
    <w:p w:rsidR="00D27E6E" w:rsidRDefault="00D27E6E" w:rsidP="00D27E6E">
      <w:pPr>
        <w:numPr>
          <w:ilvl w:val="1"/>
          <w:numId w:val="47"/>
        </w:numPr>
        <w:tabs>
          <w:tab w:val="left" w:pos="360"/>
        </w:tabs>
        <w:overflowPunct/>
        <w:autoSpaceDE/>
        <w:autoSpaceDN/>
        <w:adjustRightInd/>
        <w:textAlignment w:val="auto"/>
      </w:pPr>
      <w:r>
        <w:t>facilitating access to existing learning materials or library resources</w:t>
      </w:r>
    </w:p>
    <w:p w:rsidR="00D27E6E" w:rsidRDefault="00D27E6E" w:rsidP="00D27E6E">
      <w:pPr>
        <w:numPr>
          <w:ilvl w:val="1"/>
          <w:numId w:val="47"/>
        </w:numPr>
        <w:tabs>
          <w:tab w:val="left" w:pos="360"/>
        </w:tabs>
        <w:overflowPunct/>
        <w:autoSpaceDE/>
        <w:autoSpaceDN/>
        <w:adjustRightInd/>
        <w:textAlignment w:val="auto"/>
      </w:pPr>
      <w:r>
        <w:t>providing appropriate training opportunities from existing internal training programmes as agreed with the learner and mentor</w:t>
      </w:r>
    </w:p>
    <w:p w:rsidR="00D27E6E" w:rsidRDefault="00D27E6E" w:rsidP="00D27E6E">
      <w:pPr>
        <w:numPr>
          <w:ilvl w:val="1"/>
          <w:numId w:val="47"/>
        </w:numPr>
        <w:tabs>
          <w:tab w:val="left" w:pos="360"/>
        </w:tabs>
        <w:overflowPunct/>
        <w:autoSpaceDE/>
        <w:autoSpaceDN/>
        <w:adjustRightInd/>
        <w:textAlignment w:val="auto"/>
      </w:pPr>
      <w:r>
        <w:t xml:space="preserve">providing programme induction and Consolidation Workshops </w:t>
      </w:r>
    </w:p>
    <w:p w:rsidR="00D27E6E" w:rsidRDefault="00D27E6E" w:rsidP="00D27E6E">
      <w:pPr>
        <w:numPr>
          <w:ilvl w:val="1"/>
          <w:numId w:val="47"/>
        </w:numPr>
        <w:tabs>
          <w:tab w:val="left" w:pos="360"/>
        </w:tabs>
        <w:overflowPunct/>
        <w:autoSpaceDE/>
        <w:autoSpaceDN/>
        <w:adjustRightInd/>
        <w:textAlignment w:val="auto"/>
      </w:pPr>
      <w:r>
        <w:t>providing learners’ with guidance and support about programme requirements and portfolio completion</w:t>
      </w:r>
    </w:p>
    <w:p w:rsidR="00D27E6E" w:rsidRDefault="00D27E6E" w:rsidP="00D27E6E">
      <w:pPr>
        <w:numPr>
          <w:ilvl w:val="1"/>
          <w:numId w:val="47"/>
        </w:numPr>
        <w:tabs>
          <w:tab w:val="left" w:pos="360"/>
        </w:tabs>
        <w:overflowPunct/>
        <w:autoSpaceDE/>
        <w:autoSpaceDN/>
        <w:adjustRightInd/>
        <w:textAlignment w:val="auto"/>
      </w:pPr>
      <w:r>
        <w:t xml:space="preserve">helping to resolve any programme difficulties encountered by the learner, mentor or service managers </w:t>
      </w:r>
    </w:p>
    <w:p w:rsidR="00D27E6E" w:rsidRDefault="00D27E6E" w:rsidP="00D27E6E">
      <w:pPr>
        <w:tabs>
          <w:tab w:val="left" w:pos="360"/>
        </w:tabs>
      </w:pPr>
    </w:p>
    <w:p w:rsidR="00D27E6E" w:rsidRDefault="00D27E6E" w:rsidP="00D27E6E">
      <w:pPr>
        <w:rPr>
          <w:b/>
        </w:rPr>
      </w:pPr>
      <w:r>
        <w:rPr>
          <w:b/>
        </w:rPr>
        <w:t xml:space="preserve">The learner agrees to: </w:t>
      </w:r>
    </w:p>
    <w:p w:rsidR="00D27E6E" w:rsidRDefault="00D27E6E" w:rsidP="00D27E6E"/>
    <w:p w:rsidR="00D27E6E" w:rsidRDefault="00D27E6E" w:rsidP="00D27E6E">
      <w:pPr>
        <w:numPr>
          <w:ilvl w:val="0"/>
          <w:numId w:val="22"/>
        </w:numPr>
        <w:overflowPunct/>
        <w:autoSpaceDE/>
        <w:autoSpaceDN/>
        <w:adjustRightInd/>
        <w:jc w:val="both"/>
        <w:textAlignment w:val="auto"/>
      </w:pPr>
      <w:r>
        <w:t>work actively towards completing the qualification within the agreed timescale of 12 months from the date of registration on the programme</w:t>
      </w:r>
    </w:p>
    <w:p w:rsidR="00D27E6E" w:rsidRDefault="00D27E6E" w:rsidP="00D27E6E">
      <w:pPr>
        <w:pStyle w:val="Title"/>
        <w:numPr>
          <w:ilvl w:val="0"/>
          <w:numId w:val="22"/>
        </w:numPr>
        <w:ind w:right="-1"/>
        <w:jc w:val="left"/>
        <w:rPr>
          <w:rFonts w:cs="Arial"/>
          <w:b w:val="0"/>
          <w:szCs w:val="24"/>
        </w:rPr>
      </w:pPr>
      <w:r>
        <w:rPr>
          <w:rFonts w:cs="Arial"/>
          <w:b w:val="0"/>
          <w:szCs w:val="24"/>
        </w:rPr>
        <w:t>Identify with manager/mentor appropriate internal training and arrange to attend these courses</w:t>
      </w:r>
    </w:p>
    <w:p w:rsidR="00D27E6E" w:rsidRDefault="00D27E6E" w:rsidP="00D27E6E">
      <w:pPr>
        <w:pStyle w:val="Title"/>
        <w:numPr>
          <w:ilvl w:val="0"/>
          <w:numId w:val="22"/>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D27E6E" w:rsidRDefault="00D27E6E" w:rsidP="00D27E6E">
      <w:pPr>
        <w:numPr>
          <w:ilvl w:val="0"/>
          <w:numId w:val="22"/>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D27E6E" w:rsidRDefault="00D27E6E" w:rsidP="00D27E6E">
      <w:pPr>
        <w:numPr>
          <w:ilvl w:val="0"/>
          <w:numId w:val="22"/>
        </w:numPr>
        <w:overflowPunct/>
        <w:autoSpaceDE/>
        <w:autoSpaceDN/>
        <w:adjustRightInd/>
        <w:textAlignment w:val="auto"/>
      </w:pPr>
      <w:r>
        <w:t xml:space="preserve">produce work and evidence appropriate to the portfolio and learning outcomes within agreed timescales </w:t>
      </w:r>
    </w:p>
    <w:p w:rsidR="00D27E6E" w:rsidRDefault="00D27E6E" w:rsidP="00D27E6E">
      <w:pPr>
        <w:numPr>
          <w:ilvl w:val="0"/>
          <w:numId w:val="22"/>
        </w:numPr>
        <w:overflowPunct/>
        <w:autoSpaceDE/>
        <w:autoSpaceDN/>
        <w:adjustRightInd/>
        <w:jc w:val="both"/>
        <w:textAlignment w:val="auto"/>
      </w:pPr>
      <w:r>
        <w:t>make and keep agreed appointments with mentor/line manager</w:t>
      </w:r>
    </w:p>
    <w:p w:rsidR="00D27E6E" w:rsidRDefault="00D27E6E" w:rsidP="00D27E6E">
      <w:pPr>
        <w:numPr>
          <w:ilvl w:val="0"/>
          <w:numId w:val="22"/>
        </w:numPr>
        <w:overflowPunct/>
        <w:autoSpaceDE/>
        <w:autoSpaceDN/>
        <w:adjustRightInd/>
        <w:textAlignment w:val="auto"/>
      </w:pPr>
      <w:r>
        <w:t>ensure they are prepared adequately and obtain all necessary consent for observed practice</w:t>
      </w:r>
    </w:p>
    <w:p w:rsidR="00D27E6E" w:rsidRDefault="00D27E6E" w:rsidP="00D27E6E">
      <w:pPr>
        <w:numPr>
          <w:ilvl w:val="0"/>
          <w:numId w:val="22"/>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D27E6E" w:rsidRDefault="00D27E6E" w:rsidP="00D27E6E">
      <w:pPr>
        <w:numPr>
          <w:ilvl w:val="0"/>
          <w:numId w:val="22"/>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D27E6E" w:rsidRDefault="00D27E6E" w:rsidP="00D27E6E">
      <w:pPr>
        <w:numPr>
          <w:ilvl w:val="0"/>
          <w:numId w:val="22"/>
        </w:numPr>
        <w:overflowPunct/>
        <w:autoSpaceDE/>
        <w:autoSpaceDN/>
        <w:adjustRightInd/>
        <w:textAlignment w:val="auto"/>
      </w:pPr>
      <w:r>
        <w:t xml:space="preserve">take personal responsibility for preparing and completing all work necessary to submit their portfolio </w:t>
      </w:r>
    </w:p>
    <w:p w:rsidR="00D27E6E" w:rsidRDefault="00D27E6E" w:rsidP="00D27E6E">
      <w:pPr>
        <w:numPr>
          <w:ilvl w:val="0"/>
          <w:numId w:val="22"/>
        </w:numPr>
        <w:overflowPunct/>
        <w:autoSpaceDE/>
        <w:autoSpaceDN/>
        <w:adjustRightInd/>
        <w:textAlignment w:val="auto"/>
      </w:pPr>
      <w:r>
        <w:t>act at all times in accordance with the Code of Practice, the employer’s and University’s policies, procedures and processes</w:t>
      </w:r>
    </w:p>
    <w:p w:rsidR="00D27E6E" w:rsidRDefault="00D27E6E" w:rsidP="00D27E6E">
      <w:pPr>
        <w:numPr>
          <w:ilvl w:val="0"/>
          <w:numId w:val="22"/>
        </w:numPr>
        <w:overflowPunct/>
        <w:autoSpaceDE/>
        <w:autoSpaceDN/>
        <w:adjustRightInd/>
        <w:textAlignment w:val="auto"/>
      </w:pPr>
      <w:r>
        <w:t>ensure they understand the need to complete the programme within the first (three year) period of registration with Social Care Wales.(Qualifying after April 2016)</w:t>
      </w:r>
    </w:p>
    <w:p w:rsidR="00D27E6E" w:rsidRDefault="00D27E6E" w:rsidP="00D27E6E"/>
    <w:p w:rsidR="00D27E6E" w:rsidRDefault="00D27E6E" w:rsidP="00D27E6E">
      <w:pPr>
        <w:rPr>
          <w:b/>
        </w:rPr>
      </w:pPr>
    </w:p>
    <w:p w:rsidR="00D27E6E" w:rsidRDefault="00D27E6E" w:rsidP="00D27E6E">
      <w:pPr>
        <w:rPr>
          <w:b/>
        </w:rPr>
      </w:pPr>
    </w:p>
    <w:p w:rsidR="00D27E6E" w:rsidRDefault="00D27E6E" w:rsidP="00D27E6E">
      <w:pPr>
        <w:rPr>
          <w:b/>
        </w:rPr>
      </w:pPr>
      <w:r>
        <w:rPr>
          <w:b/>
        </w:rPr>
        <w:t>Line Manager/Mentor agrees to:</w:t>
      </w:r>
    </w:p>
    <w:p w:rsidR="00D27E6E" w:rsidRDefault="00D27E6E" w:rsidP="00D27E6E"/>
    <w:p w:rsidR="00D27E6E" w:rsidRDefault="00D27E6E" w:rsidP="00D27E6E">
      <w:pPr>
        <w:numPr>
          <w:ilvl w:val="0"/>
          <w:numId w:val="23"/>
        </w:numPr>
        <w:overflowPunct/>
        <w:autoSpaceDE/>
        <w:autoSpaceDN/>
        <w:adjustRightInd/>
        <w:textAlignment w:val="auto"/>
      </w:pPr>
      <w:r>
        <w:t>attend an induction meeting to become familiar with the requirements of the programme</w:t>
      </w:r>
    </w:p>
    <w:p w:rsidR="00D27E6E" w:rsidRDefault="00D27E6E" w:rsidP="00D27E6E">
      <w:pPr>
        <w:numPr>
          <w:ilvl w:val="0"/>
          <w:numId w:val="23"/>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D27E6E" w:rsidRDefault="00D27E6E" w:rsidP="00D27E6E">
      <w:pPr>
        <w:numPr>
          <w:ilvl w:val="0"/>
          <w:numId w:val="23"/>
        </w:numPr>
        <w:overflowPunct/>
        <w:autoSpaceDE/>
        <w:autoSpaceDN/>
        <w:adjustRightInd/>
        <w:textAlignment w:val="auto"/>
      </w:pPr>
      <w:r>
        <w:t>guide and support the learner for the duration of the programme</w:t>
      </w:r>
    </w:p>
    <w:p w:rsidR="00D27E6E" w:rsidRDefault="00D27E6E" w:rsidP="00D27E6E">
      <w:pPr>
        <w:numPr>
          <w:ilvl w:val="0"/>
          <w:numId w:val="23"/>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D27E6E" w:rsidRDefault="00D27E6E" w:rsidP="00D27E6E">
      <w:pPr>
        <w:numPr>
          <w:ilvl w:val="0"/>
          <w:numId w:val="23"/>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D27E6E" w:rsidRDefault="00D27E6E" w:rsidP="00D27E6E">
      <w:pPr>
        <w:numPr>
          <w:ilvl w:val="0"/>
          <w:numId w:val="23"/>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D27E6E" w:rsidRDefault="00D27E6E" w:rsidP="00D27E6E">
      <w:pPr>
        <w:rPr>
          <w:b/>
        </w:rPr>
      </w:pPr>
      <w:r>
        <w:rPr>
          <w:b/>
        </w:rPr>
        <w:lastRenderedPageBreak/>
        <w:t>Completion and submission of portfolio</w:t>
      </w:r>
    </w:p>
    <w:p w:rsidR="00D27E6E" w:rsidRDefault="00D27E6E" w:rsidP="00D27E6E">
      <w:pPr>
        <w:rPr>
          <w:b/>
        </w:rPr>
      </w:pPr>
    </w:p>
    <w:p w:rsidR="00D27E6E" w:rsidRDefault="00D27E6E" w:rsidP="00D27E6E">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D27E6E" w:rsidRDefault="00D27E6E" w:rsidP="00D27E6E"/>
    <w:p w:rsidR="00D27E6E" w:rsidRDefault="00D27E6E" w:rsidP="00D27E6E">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D27E6E" w:rsidRDefault="00D27E6E" w:rsidP="00D27E6E">
      <w:pPr>
        <w:ind w:right="72"/>
      </w:pPr>
    </w:p>
    <w:p w:rsidR="00D27E6E" w:rsidRDefault="00D27E6E" w:rsidP="00D27E6E">
      <w:r>
        <w:rPr>
          <w:b/>
        </w:rPr>
        <w:t>Pressure of work is not regarded as a reason for non-attendance at any Consolidation Workshop</w:t>
      </w:r>
      <w:r>
        <w:t>.</w:t>
      </w:r>
    </w:p>
    <w:p w:rsidR="00D27E6E" w:rsidRDefault="00D27E6E" w:rsidP="00D27E6E"/>
    <w:p w:rsidR="00D27E6E" w:rsidRDefault="00D27E6E" w:rsidP="00D27E6E">
      <w:r>
        <w:t>I understand and accept the terms and conditions of this learning agreement as stated above.</w:t>
      </w:r>
    </w:p>
    <w:p w:rsidR="00D27E6E" w:rsidRDefault="00D27E6E" w:rsidP="00D27E6E"/>
    <w:p w:rsidR="00D27E6E" w:rsidRDefault="00D27E6E" w:rsidP="00D27E6E">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D27E6E" w:rsidRDefault="00D27E6E" w:rsidP="00D27E6E">
      <w:r>
        <w:t>(Learner)</w:t>
      </w:r>
    </w:p>
    <w:p w:rsidR="00D27E6E" w:rsidRDefault="00D27E6E" w:rsidP="00D27E6E"/>
    <w:p w:rsidR="00D27E6E" w:rsidRDefault="00D27E6E" w:rsidP="00D27E6E">
      <w:r>
        <w:t>Signed</w:t>
      </w:r>
      <w:proofErr w:type="gramStart"/>
      <w:r>
        <w:t>:………………………..</w:t>
      </w:r>
      <w:proofErr w:type="gramEnd"/>
      <w:r>
        <w:t xml:space="preserve"> Print Name</w:t>
      </w:r>
      <w:proofErr w:type="gramStart"/>
      <w:r>
        <w:t>:…………………………</w:t>
      </w:r>
      <w:proofErr w:type="gramEnd"/>
      <w:r>
        <w:t xml:space="preserve">.Date:………. </w:t>
      </w:r>
    </w:p>
    <w:p w:rsidR="00D27E6E" w:rsidRDefault="00D27E6E" w:rsidP="00D27E6E">
      <w:r>
        <w:t>(Line Manager/Mentor)</w:t>
      </w:r>
    </w:p>
    <w:p w:rsidR="00D27E6E" w:rsidRDefault="00D27E6E" w:rsidP="00D27E6E"/>
    <w:p w:rsidR="00D27E6E" w:rsidRDefault="00D27E6E" w:rsidP="00D27E6E">
      <w:r>
        <w:t>Signed</w:t>
      </w:r>
      <w:proofErr w:type="gramStart"/>
      <w:r>
        <w:t>:………………………..</w:t>
      </w:r>
      <w:proofErr w:type="gramEnd"/>
      <w:r>
        <w:t xml:space="preserve"> Print Name</w:t>
      </w:r>
      <w:proofErr w:type="gramStart"/>
      <w:r>
        <w:t>:…………………………</w:t>
      </w:r>
      <w:proofErr w:type="gramEnd"/>
      <w:r>
        <w:t>.Date:……….</w:t>
      </w:r>
    </w:p>
    <w:p w:rsidR="00D27E6E" w:rsidRDefault="00D27E6E" w:rsidP="00D27E6E">
      <w:r>
        <w:t>(Mentor, if different to above)</w:t>
      </w:r>
    </w:p>
    <w:p w:rsidR="00D27E6E" w:rsidRDefault="00D27E6E" w:rsidP="00D27E6E"/>
    <w:p w:rsidR="00D27E6E" w:rsidRDefault="00D27E6E" w:rsidP="00D27E6E"/>
    <w:p w:rsidR="00D27E6E" w:rsidRDefault="00D27E6E" w:rsidP="00D27E6E">
      <w:pPr>
        <w:rPr>
          <w:b/>
        </w:rPr>
      </w:pPr>
      <w:r>
        <w:rPr>
          <w:b/>
        </w:rPr>
        <w:t>PLEASE PLACE THE SIGNED COPY OF THIS LEARNING AGREEMENT IN SECTION 9 OF THE PORTFOLIO</w:t>
      </w:r>
    </w:p>
    <w:p w:rsidR="00D27E6E" w:rsidRPr="00BE10C2" w:rsidRDefault="00D27E6E" w:rsidP="00D27E6E">
      <w:pPr>
        <w:overflowPunct/>
        <w:autoSpaceDE/>
        <w:autoSpaceDN/>
        <w:adjustRightInd/>
        <w:textAlignment w:val="auto"/>
        <w:rPr>
          <w:color w:val="auto"/>
          <w:sz w:val="24"/>
          <w:szCs w:val="24"/>
        </w:rPr>
      </w:pPr>
    </w:p>
    <w:p w:rsidR="00D27E6E" w:rsidRPr="00090160" w:rsidRDefault="00D27E6E" w:rsidP="00D27E6E">
      <w:pPr>
        <w:tabs>
          <w:tab w:val="left" w:pos="1590"/>
        </w:tabs>
        <w:rPr>
          <w:b/>
          <w:color w:val="auto"/>
          <w:sz w:val="24"/>
          <w:szCs w:val="24"/>
        </w:rPr>
      </w:pPr>
    </w:p>
    <w:p w:rsidR="00A212C9" w:rsidRDefault="00A212C9"/>
    <w:sectPr w:rsidR="00A212C9" w:rsidSect="00D27E6E">
      <w:footerReference w:type="default" r:id="rId45"/>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Black">
    <w:altName w:val="Avenir Blac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7E6E" w:rsidRPr="00E60F42" w:rsidRDefault="00D27E6E" w:rsidP="00D27E6E">
    <w:pPr>
      <w:pStyle w:val="Footer"/>
      <w:rPr>
        <w:lang w:val="en-GB"/>
      </w:rPr>
    </w:pPr>
    <w:r>
      <w:rPr>
        <w:color w:val="auto"/>
        <w:lang w:val="en-GB"/>
      </w:rPr>
      <w:t>V7 27/9/19</w:t>
    </w: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45"/>
  </w:num>
  <w:num w:numId="4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E6E"/>
    <w:rsid w:val="00722674"/>
    <w:rsid w:val="009C3528"/>
    <w:rsid w:val="00A212C9"/>
    <w:rsid w:val="00C83594"/>
    <w:rsid w:val="00D27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CFB75"/>
  <w15:chartTrackingRefBased/>
  <w15:docId w15:val="{B9D59AF8-1C16-434D-92FD-1D5B6B73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7E6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D27E6E"/>
    <w:pPr>
      <w:keepNext/>
      <w:spacing w:before="240" w:after="60"/>
      <w:outlineLvl w:val="0"/>
    </w:pPr>
    <w:rPr>
      <w:b/>
      <w:kern w:val="28"/>
      <w:sz w:val="28"/>
    </w:rPr>
  </w:style>
  <w:style w:type="paragraph" w:styleId="Heading2">
    <w:name w:val="heading 2"/>
    <w:basedOn w:val="Normal"/>
    <w:next w:val="Normal"/>
    <w:link w:val="Heading2Char"/>
    <w:uiPriority w:val="9"/>
    <w:qFormat/>
    <w:rsid w:val="00D27E6E"/>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D27E6E"/>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7E6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D27E6E"/>
    <w:rPr>
      <w:rFonts w:ascii="Cambria" w:eastAsia="Times New Roman" w:hAnsi="Cambria" w:cs="Times New Roman"/>
      <w:b/>
      <w:bCs/>
      <w:i/>
      <w:iCs/>
      <w:color w:val="000000"/>
      <w:sz w:val="28"/>
      <w:szCs w:val="28"/>
      <w:lang w:val="x-none" w:eastAsia="x-none"/>
    </w:rPr>
  </w:style>
  <w:style w:type="character" w:customStyle="1" w:styleId="Heading3Char">
    <w:name w:val="Heading 3 Char"/>
    <w:basedOn w:val="DefaultParagraphFont"/>
    <w:link w:val="Heading3"/>
    <w:uiPriority w:val="9"/>
    <w:semiHidden/>
    <w:rsid w:val="00D27E6E"/>
    <w:rPr>
      <w:rFonts w:asciiTheme="majorHAnsi" w:eastAsiaTheme="majorEastAsia" w:hAnsiTheme="majorHAnsi" w:cstheme="majorBidi"/>
      <w:color w:val="1F4D78" w:themeColor="accent1" w:themeShade="7F"/>
      <w:sz w:val="24"/>
      <w:szCs w:val="24"/>
      <w:lang w:eastAsia="en-GB"/>
    </w:rPr>
  </w:style>
  <w:style w:type="character" w:customStyle="1" w:styleId="HeaderChar">
    <w:name w:val="Header Char"/>
    <w:basedOn w:val="DefaultParagraphFont"/>
    <w:link w:val="Header"/>
    <w:semiHidden/>
    <w:rsid w:val="00D27E6E"/>
    <w:rPr>
      <w:rFonts w:ascii="Arial" w:eastAsia="Times New Roman" w:hAnsi="Arial" w:cs="Arial"/>
      <w:color w:val="000000"/>
      <w:sz w:val="20"/>
      <w:szCs w:val="20"/>
      <w:lang w:eastAsia="en-GB"/>
    </w:rPr>
  </w:style>
  <w:style w:type="paragraph" w:styleId="Header">
    <w:name w:val="header"/>
    <w:basedOn w:val="Normal"/>
    <w:link w:val="HeaderChar"/>
    <w:semiHidden/>
    <w:rsid w:val="00D27E6E"/>
    <w:pPr>
      <w:tabs>
        <w:tab w:val="center" w:pos="4320"/>
        <w:tab w:val="right" w:pos="8640"/>
      </w:tabs>
    </w:pPr>
  </w:style>
  <w:style w:type="paragraph" w:styleId="Footer">
    <w:name w:val="footer"/>
    <w:basedOn w:val="Normal"/>
    <w:link w:val="FooterChar"/>
    <w:uiPriority w:val="99"/>
    <w:rsid w:val="00D27E6E"/>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D27E6E"/>
    <w:rPr>
      <w:rFonts w:ascii="Arial" w:eastAsia="Times New Roman" w:hAnsi="Arial" w:cs="Times New Roman"/>
      <w:color w:val="000000"/>
      <w:sz w:val="20"/>
      <w:szCs w:val="20"/>
      <w:lang w:val="x-none" w:eastAsia="x-none"/>
    </w:rPr>
  </w:style>
  <w:style w:type="character" w:customStyle="1" w:styleId="BodyTextChar">
    <w:name w:val="Body Text Char"/>
    <w:basedOn w:val="DefaultParagraphFont"/>
    <w:link w:val="BodyText"/>
    <w:semiHidden/>
    <w:rsid w:val="00D27E6E"/>
    <w:rPr>
      <w:rFonts w:ascii="Arial" w:eastAsia="Times New Roman" w:hAnsi="Arial" w:cs="Arial"/>
      <w:b/>
      <w:color w:val="000000"/>
      <w:sz w:val="24"/>
      <w:szCs w:val="20"/>
      <w:lang w:eastAsia="en-GB"/>
    </w:rPr>
  </w:style>
  <w:style w:type="paragraph" w:styleId="BodyText">
    <w:name w:val="Body Text"/>
    <w:basedOn w:val="Normal"/>
    <w:link w:val="BodyTextChar"/>
    <w:semiHidden/>
    <w:rsid w:val="00D27E6E"/>
    <w:rPr>
      <w:b/>
      <w:sz w:val="24"/>
    </w:rPr>
  </w:style>
  <w:style w:type="character" w:customStyle="1" w:styleId="BalloonTextChar">
    <w:name w:val="Balloon Text Char"/>
    <w:basedOn w:val="DefaultParagraphFont"/>
    <w:link w:val="BalloonText"/>
    <w:semiHidden/>
    <w:rsid w:val="00D27E6E"/>
    <w:rPr>
      <w:rFonts w:ascii="Tahoma" w:eastAsia="Times New Roman" w:hAnsi="Tahoma" w:cs="Tahoma"/>
      <w:color w:val="000000"/>
      <w:sz w:val="16"/>
      <w:szCs w:val="16"/>
      <w:lang w:eastAsia="en-GB"/>
    </w:rPr>
  </w:style>
  <w:style w:type="paragraph" w:styleId="BalloonText">
    <w:name w:val="Balloon Text"/>
    <w:basedOn w:val="Normal"/>
    <w:link w:val="BalloonTextChar"/>
    <w:semiHidden/>
    <w:rsid w:val="00D27E6E"/>
    <w:rPr>
      <w:rFonts w:ascii="Tahoma" w:hAnsi="Tahoma" w:cs="Tahoma"/>
      <w:sz w:val="16"/>
      <w:szCs w:val="16"/>
    </w:rPr>
  </w:style>
  <w:style w:type="character" w:styleId="Hyperlink">
    <w:name w:val="Hyperlink"/>
    <w:uiPriority w:val="99"/>
    <w:rsid w:val="00D27E6E"/>
    <w:rPr>
      <w:color w:val="0000FF"/>
      <w:u w:val="single"/>
    </w:rPr>
  </w:style>
  <w:style w:type="character" w:customStyle="1" w:styleId="CommentTextChar">
    <w:name w:val="Comment Text Char"/>
    <w:basedOn w:val="DefaultParagraphFont"/>
    <w:link w:val="CommentText"/>
    <w:uiPriority w:val="99"/>
    <w:semiHidden/>
    <w:rsid w:val="00D27E6E"/>
    <w:rPr>
      <w:rFonts w:ascii="Arial" w:eastAsia="Times New Roman" w:hAnsi="Arial" w:cs="Times New Roman"/>
      <w:color w:val="000000"/>
      <w:sz w:val="20"/>
      <w:szCs w:val="20"/>
      <w:lang w:val="x-none" w:eastAsia="x-none"/>
    </w:rPr>
  </w:style>
  <w:style w:type="paragraph" w:styleId="CommentText">
    <w:name w:val="annotation text"/>
    <w:basedOn w:val="Normal"/>
    <w:link w:val="CommentTextChar"/>
    <w:uiPriority w:val="99"/>
    <w:semiHidden/>
    <w:unhideWhenUsed/>
    <w:rsid w:val="00D27E6E"/>
    <w:rPr>
      <w:rFonts w:cs="Times New Roman"/>
      <w:lang w:val="x-none" w:eastAsia="x-none"/>
    </w:rPr>
  </w:style>
  <w:style w:type="character" w:customStyle="1" w:styleId="CommentSubjectChar">
    <w:name w:val="Comment Subject Char"/>
    <w:basedOn w:val="CommentTextChar"/>
    <w:link w:val="CommentSubject"/>
    <w:uiPriority w:val="99"/>
    <w:semiHidden/>
    <w:rsid w:val="00D27E6E"/>
    <w:rPr>
      <w:rFonts w:ascii="Arial" w:eastAsia="Times New Roman" w:hAnsi="Arial" w:cs="Times New Roman"/>
      <w:b/>
      <w:bCs/>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D27E6E"/>
    <w:rPr>
      <w:b/>
      <w:bCs/>
    </w:rPr>
  </w:style>
  <w:style w:type="character" w:customStyle="1" w:styleId="BodyText3Char">
    <w:name w:val="Body Text 3 Char"/>
    <w:basedOn w:val="DefaultParagraphFont"/>
    <w:link w:val="BodyText3"/>
    <w:uiPriority w:val="99"/>
    <w:semiHidden/>
    <w:rsid w:val="00D27E6E"/>
    <w:rPr>
      <w:rFonts w:ascii="Arial" w:eastAsia="Times New Roman" w:hAnsi="Arial" w:cs="Times New Roman"/>
      <w:color w:val="000000"/>
      <w:sz w:val="16"/>
      <w:szCs w:val="16"/>
      <w:lang w:val="x-none" w:eastAsia="x-none"/>
    </w:rPr>
  </w:style>
  <w:style w:type="paragraph" w:styleId="BodyText3">
    <w:name w:val="Body Text 3"/>
    <w:basedOn w:val="Normal"/>
    <w:link w:val="BodyText3Char"/>
    <w:uiPriority w:val="99"/>
    <w:semiHidden/>
    <w:unhideWhenUsed/>
    <w:rsid w:val="00D27E6E"/>
    <w:pPr>
      <w:spacing w:after="120"/>
    </w:pPr>
    <w:rPr>
      <w:rFonts w:cs="Times New Roman"/>
      <w:sz w:val="16"/>
      <w:szCs w:val="16"/>
      <w:lang w:val="x-none" w:eastAsia="x-none"/>
    </w:rPr>
  </w:style>
  <w:style w:type="paragraph" w:styleId="EndnoteText">
    <w:name w:val="endnote text"/>
    <w:basedOn w:val="Normal"/>
    <w:link w:val="EndnoteTextChar"/>
    <w:uiPriority w:val="99"/>
    <w:semiHidden/>
    <w:unhideWhenUsed/>
    <w:rsid w:val="00D27E6E"/>
  </w:style>
  <w:style w:type="character" w:customStyle="1" w:styleId="EndnoteTextChar">
    <w:name w:val="Endnote Text Char"/>
    <w:basedOn w:val="DefaultParagraphFont"/>
    <w:link w:val="EndnoteText"/>
    <w:uiPriority w:val="99"/>
    <w:semiHidden/>
    <w:rsid w:val="00D27E6E"/>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D27E6E"/>
    <w:rPr>
      <w:vertAlign w:val="superscript"/>
    </w:rPr>
  </w:style>
  <w:style w:type="paragraph" w:styleId="Title">
    <w:name w:val="Title"/>
    <w:basedOn w:val="Normal"/>
    <w:link w:val="TitleChar"/>
    <w:qFormat/>
    <w:rsid w:val="00D27E6E"/>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D27E6E"/>
    <w:rPr>
      <w:rFonts w:ascii="Arial" w:eastAsia="Times New Roman" w:hAnsi="Arial" w:cs="Times New Roman"/>
      <w:b/>
      <w:sz w:val="24"/>
      <w:szCs w:val="20"/>
      <w:lang w:eastAsia="en-GB"/>
    </w:rPr>
  </w:style>
  <w:style w:type="paragraph" w:customStyle="1" w:styleId="Pa5">
    <w:name w:val="Pa5"/>
    <w:basedOn w:val="Normal"/>
    <w:next w:val="Normal"/>
    <w:uiPriority w:val="99"/>
    <w:rsid w:val="00D27E6E"/>
    <w:pPr>
      <w:overflowPunct/>
      <w:spacing w:line="261" w:lineRule="atLeast"/>
      <w:textAlignment w:val="auto"/>
    </w:pPr>
    <w:rPr>
      <w:rFonts w:ascii="Avenir Black" w:hAnsi="Avenir Black" w:cs="Times New Roman"/>
      <w:color w:val="auto"/>
      <w:sz w:val="24"/>
      <w:szCs w:val="24"/>
    </w:rPr>
  </w:style>
  <w:style w:type="paragraph" w:styleId="NormalWeb">
    <w:name w:val="Normal (Web)"/>
    <w:basedOn w:val="Normal"/>
    <w:uiPriority w:val="99"/>
    <w:unhideWhenUsed/>
    <w:rsid w:val="00D27E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rsid w:val="00D27E6E"/>
  </w:style>
  <w:style w:type="character" w:styleId="Emphasis">
    <w:name w:val="Emphasis"/>
    <w:basedOn w:val="DefaultParagraphFont"/>
    <w:uiPriority w:val="20"/>
    <w:qFormat/>
    <w:rsid w:val="00D27E6E"/>
    <w:rPr>
      <w:i/>
      <w:iCs/>
    </w:rPr>
  </w:style>
  <w:style w:type="character" w:styleId="Strong">
    <w:name w:val="Strong"/>
    <w:basedOn w:val="DefaultParagraphFont"/>
    <w:uiPriority w:val="22"/>
    <w:qFormat/>
    <w:rsid w:val="00D27E6E"/>
    <w:rPr>
      <w:b/>
      <w:bCs/>
    </w:rPr>
  </w:style>
  <w:style w:type="character" w:customStyle="1" w:styleId="al-author-name-more">
    <w:name w:val="al-author-name-more"/>
    <w:basedOn w:val="DefaultParagraphFont"/>
    <w:rsid w:val="00D27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resources/professional-boundaries-guidance-social-workers" TargetMode="External"/><Relationship Id="rId13" Type="http://schemas.openxmlformats.org/officeDocument/2006/relationships/hyperlink" Target="https://socialcare.wales/cms_assets/file-uploads/Code-of-Professional-Practice-for-Social-Care-web-version.pdf" TargetMode="External"/><Relationship Id="rId18" Type="http://schemas.openxmlformats.org/officeDocument/2006/relationships/hyperlink" Target="https://www.mindtools.com/pages/article/reflective-cycle.htm" TargetMode="External"/><Relationship Id="rId26" Type="http://schemas.openxmlformats.org/officeDocument/2006/relationships/hyperlink" Target="http://www.lukeclements.co.uk/wp-content/uploads/2018/09/2018-01-Carys-Phillips-Self-Neglect.pdf" TargetMode="External"/><Relationship Id="rId39" Type="http://schemas.openxmlformats.org/officeDocument/2006/relationships/hyperlink" Target="https://www.training2care.co.uk/virtual-dementia-tour.htm" TargetMode="External"/><Relationship Id="rId3" Type="http://schemas.openxmlformats.org/officeDocument/2006/relationships/settings" Target="settings.xml"/><Relationship Id="rId21" Type="http://schemas.openxmlformats.org/officeDocument/2006/relationships/hyperlink" Target="https://gov.wales/sites/default/files/publications/2019-04/delivering-the-active-offer-information-pack-social-services-and-social-care.pdf" TargetMode="External"/><Relationship Id="rId34" Type="http://schemas.openxmlformats.org/officeDocument/2006/relationships/hyperlink" Target="http://safeguardingboard.wales/2018/12/06/practitioners-guide/" TargetMode="External"/><Relationship Id="rId42" Type="http://schemas.openxmlformats.org/officeDocument/2006/relationships/hyperlink" Target="http://www.wales.nhs.uk/sites3/documents/415/web%20-%2016184_narrative_e_web.pdf" TargetMode="External"/><Relationship Id="rId47" Type="http://schemas.openxmlformats.org/officeDocument/2006/relationships/theme" Target="theme/theme1.xml"/><Relationship Id="rId7" Type="http://schemas.openxmlformats.org/officeDocument/2006/relationships/hyperlink" Target="https://www.anncrafttrust.org/resources/why-have-different-policies-and-procedures-for-safeguarding-children-and-adults/" TargetMode="External"/><Relationship Id="rId12" Type="http://schemas.openxmlformats.org/officeDocument/2006/relationships/hyperlink" Target="https://www.researchgate.net/publication/29464897_Social_Work_stress_and_burnout_A_review/link/0912f50a0ac4144275000000/download" TargetMode="External"/><Relationship Id="rId17" Type="http://schemas.openxmlformats.org/officeDocument/2006/relationships/hyperlink" Target="https://www.basw.co.uk/system/files/resources/basw_12856-8_0.pdf" TargetMode="External"/><Relationship Id="rId25" Type="http://schemas.openxmlformats.org/officeDocument/2006/relationships/hyperlink" Target="https://learning.nspcc.org.uk/news/2019/august/podcast-safeguarding-adults-and-children/" TargetMode="External"/><Relationship Id="rId33" Type="http://schemas.openxmlformats.org/officeDocument/2006/relationships/hyperlink" Target="https://assets.publishing.service.gov.uk/government/uploads/system/uploads/attachment_data/file/652773/Strengths-based_social_work_practice_with_adults.pdf" TargetMode="External"/><Relationship Id="rId38" Type="http://schemas.openxmlformats.org/officeDocument/2006/relationships/hyperlink" Target="https://www.olderpeoplewales.com/en/about/un-principles.aspx"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ementiafriends.org.uk/" TargetMode="External"/><Relationship Id="rId20" Type="http://schemas.openxmlformats.org/officeDocument/2006/relationships/hyperlink" Target="https://www.mind.org.uk/media/1823083/human-rights-act.pdf" TargetMode="External"/><Relationship Id="rId29" Type="http://schemas.openxmlformats.org/officeDocument/2006/relationships/hyperlink" Target="http://www.scie.org.uk/assets/elearning/communicationskills/cs01/resource/underpinningKnowledge.pdf" TargetMode="External"/><Relationship Id="rId41" Type="http://schemas.openxmlformats.org/officeDocument/2006/relationships/hyperlink" Target="https://socialcare.wales/hub/hub-resource-sub-categories/safeguarding-procedures" TargetMode="External"/><Relationship Id="rId1" Type="http://schemas.openxmlformats.org/officeDocument/2006/relationships/numbering" Target="numbering.xml"/><Relationship Id="rId6" Type="http://schemas.openxmlformats.org/officeDocument/2006/relationships/hyperlink" Target="https://www.psychologytoday.com/gb/basics/leadership" TargetMode="External"/><Relationship Id="rId11" Type="http://schemas.openxmlformats.org/officeDocument/2006/relationships/hyperlink" Target="https://statswales.gov.wales/Catalogue/Welsh-Language/Census-Welsh-Language" TargetMode="External"/><Relationship Id="rId24" Type="http://schemas.openxmlformats.org/officeDocument/2006/relationships/hyperlink" Target="https://learning.nspcc.org.uk/child-protection-system/wales/" TargetMode="External"/><Relationship Id="rId32" Type="http://schemas.openxmlformats.org/officeDocument/2006/relationships/hyperlink" Target="https://socialcare.wales/cms_assets/file-uploads/Code-of-Professional-Practice-for-Social-Care-web-version.pdf" TargetMode="External"/><Relationship Id="rId37" Type="http://schemas.openxmlformats.org/officeDocument/2006/relationships/hyperlink" Target="https://gweddill.gov.wales/docs/phhs/publications/160404part7guidevol1en.pdf" TargetMode="External"/><Relationship Id="rId40" Type="http://schemas.openxmlformats.org/officeDocument/2006/relationships/hyperlink" Target="https://socialcare.wales/resources/wales-interim-policy-and-procedures-for-the-protection-of-vulnerable-adults-from-abuse" TargetMode="External"/><Relationship Id="rId45" Type="http://schemas.openxmlformats.org/officeDocument/2006/relationships/footer" Target="footer1.xml"/><Relationship Id="rId5" Type="http://schemas.openxmlformats.org/officeDocument/2006/relationships/image" Target="media/image1.png"/><Relationship Id="rId15" Type="http://schemas.openxmlformats.org/officeDocument/2006/relationships/hyperlink" Target="https://www.dementiaaction.org.uk/resources/podcasts" TargetMode="External"/><Relationship Id="rId23" Type="http://schemas.openxmlformats.org/officeDocument/2006/relationships/hyperlink" Target="https://www.nice.org.uk/guidance/ng108/chapter/Recommendations" TargetMode="External"/><Relationship Id="rId28" Type="http://schemas.openxmlformats.org/officeDocument/2006/relationships/hyperlink" Target="https://www.signsofsafety.net/signs-of-safety/" TargetMode="External"/><Relationship Id="rId36" Type="http://schemas.openxmlformats.org/officeDocument/2006/relationships/hyperlink" Target="https://www.39essex.com/docs/newsletters/deprivation_of_liberty_after_cheshire_west_-_a_guide_for_front-line_staff.pdf" TargetMode="External"/><Relationship Id="rId10" Type="http://schemas.openxmlformats.org/officeDocument/2006/relationships/hyperlink" Target="https://www.basw.co.uk/resources/person-centred-care-made-simple" TargetMode="External"/><Relationship Id="rId19" Type="http://schemas.openxmlformats.org/officeDocument/2006/relationships/hyperlink" Target="https://law.gov.wales/publicservices/social-care/Local-authorityresponsibilities/Safeguarding/adult-protection-and-support-orders/?lang=en#/publicservices/social-care/Local-authority-responsibilities/Safeguarding/adult-protection-and-support-orders/?tab=overview&amp;lang=en" TargetMode="External"/><Relationship Id="rId31" Type="http://schemas.openxmlformats.org/officeDocument/2006/relationships/hyperlink" Target="https://www.scie.org.uk/mca/dols/practice/lps" TargetMode="External"/><Relationship Id="rId44" Type="http://schemas.openxmlformats.org/officeDocument/2006/relationships/hyperlink" Target="https://doi.org/10.1093/bjsw/bcx073" TargetMode="External"/><Relationship Id="rId4" Type="http://schemas.openxmlformats.org/officeDocument/2006/relationships/webSettings" Target="webSettings.xml"/><Relationship Id="rId9" Type="http://schemas.openxmlformats.org/officeDocument/2006/relationships/hyperlink" Target="https://www.basw.co.uk/about-basw/code-ethics" TargetMode="External"/><Relationship Id="rId14" Type="http://schemas.openxmlformats.org/officeDocument/2006/relationships/hyperlink" Target="https://www.communitycare.co.uk/2018/06/01/stress-and-experiencing-a-clients-trauma-why-self-care-for-social-workers-is-so-important/" TargetMode="External"/><Relationship Id="rId22" Type="http://schemas.openxmlformats.org/officeDocument/2006/relationships/hyperlink" Target="https://socialcare.wales/nos-areas/social-work" TargetMode="External"/><Relationship Id="rId27" Type="http://schemas.openxmlformats.org/officeDocument/2006/relationships/hyperlink" Target="https://www.psychologytoday.com/gb/therapy-types/person-centered-therapy" TargetMode="External"/><Relationship Id="rId30" Type="http://schemas.openxmlformats.org/officeDocument/2006/relationships/hyperlink" Target="https://www.scie.org.uk/self-neglect/at-a-glance" TargetMode="External"/><Relationship Id="rId35" Type="http://schemas.openxmlformats.org/officeDocument/2006/relationships/hyperlink" Target="http://www.legislation.gov.uk/anaw/2014/4/contents" TargetMode="External"/><Relationship Id="rId43" Type="http://schemas.openxmlformats.org/officeDocument/2006/relationships/hyperlink" Target="https://gov.wales/sites/default/files/publications/2019-06/volume-6-handling-individual-cases-to-protect-adults-at-ris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43</Pages>
  <Words>13381</Words>
  <Characters>76272</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89475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Bramham</dc:creator>
  <cp:keywords/>
  <dc:description/>
  <cp:lastModifiedBy>Naomi Bramham</cp:lastModifiedBy>
  <cp:revision>1</cp:revision>
  <dcterms:created xsi:type="dcterms:W3CDTF">2020-02-17T07:40:00Z</dcterms:created>
  <dcterms:modified xsi:type="dcterms:W3CDTF">2020-02-17T08:17:00Z</dcterms:modified>
</cp:coreProperties>
</file>