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367366E4">
      <w:bookmarkStart w:name="_GoBack" w:id="0"/>
      <w:bookmarkEnd w:id="0"/>
      <w:r w:rsidR="47015380">
        <w:rPr/>
        <w:t xml:space="preserve">The separation of powers is a doctrine that explains the way a </w:t>
      </w:r>
      <w:r w:rsidR="327293E7">
        <w:rPr/>
        <w:t xml:space="preserve">state organises the distribution of power and functions between </w:t>
      </w:r>
      <w:r w:rsidR="637B4AD4">
        <w:rPr/>
        <w:t xml:space="preserve">the </w:t>
      </w:r>
      <w:r w:rsidR="327293E7">
        <w:rPr/>
        <w:t>three different branches. These three branches include the leg</w:t>
      </w:r>
      <w:r w:rsidR="17397572">
        <w:rPr/>
        <w:t>islative, the judiciary and the executive powers.</w:t>
      </w:r>
      <w:r w:rsidR="1573489B">
        <w:rPr/>
        <w:t xml:space="preserve"> The legislative power is the power to bring into force new law.</w:t>
      </w:r>
      <w:r w:rsidR="7984138D">
        <w:rPr/>
        <w:t xml:space="preserve"> Under this branch it has the power to repeal, enact and amend </w:t>
      </w:r>
      <w:r w:rsidR="2A44D2C5">
        <w:rPr/>
        <w:t>legislation</w:t>
      </w:r>
      <w:r w:rsidR="7984138D">
        <w:rPr/>
        <w:t>.</w:t>
      </w:r>
      <w:r w:rsidR="1573489B">
        <w:rPr/>
        <w:t xml:space="preserve"> </w:t>
      </w:r>
      <w:r w:rsidR="1573489B">
        <w:rPr/>
        <w:t>In the UK the legis</w:t>
      </w:r>
      <w:r w:rsidR="74FC9FC1">
        <w:rPr/>
        <w:t xml:space="preserve">lature has the power to enact primary legislation and can authorise secondary legislation. </w:t>
      </w:r>
      <w:r w:rsidR="2BD529CB">
        <w:rPr/>
        <w:t>In the UK this branch will consist of the House of Commons, House of Lords and the monarch- the Queen.</w:t>
      </w:r>
      <w:r w:rsidR="5CCD5199">
        <w:rPr/>
        <w:t xml:space="preserve"> The judiciary, the third branch, </w:t>
      </w:r>
      <w:r w:rsidR="6D169844">
        <w:rPr/>
        <w:t>has the function to judge and apply the law in certain case</w:t>
      </w:r>
      <w:r w:rsidR="2C59B3FD">
        <w:rPr/>
        <w:t>s brought before the tribunals and courts. The judiciary is made up of lay magistrates, judges and tribunal chairman</w:t>
      </w:r>
      <w:r w:rsidR="7391EC5A">
        <w:rPr/>
        <w:t>.</w:t>
      </w:r>
      <w:r w:rsidR="66C99D4A">
        <w:rPr/>
        <w:t xml:space="preserve"> The other branch is the executive. Their role is to </w:t>
      </w:r>
      <w:r w:rsidR="4FA2A3D8">
        <w:rPr/>
        <w:t>govern</w:t>
      </w:r>
      <w:r w:rsidR="66C99D4A">
        <w:rPr/>
        <w:t xml:space="preserve"> the </w:t>
      </w:r>
      <w:r w:rsidR="16BC5D7B">
        <w:rPr/>
        <w:t>country</w:t>
      </w:r>
      <w:r w:rsidR="66C99D4A">
        <w:rPr/>
        <w:t>. The executive has the power to carry law into effect.</w:t>
      </w:r>
      <w:r w:rsidR="61A32866">
        <w:rPr/>
        <w:t xml:space="preserve"> The executive's other role is to respond to events in the UK</w:t>
      </w:r>
      <w:r w:rsidR="1CD596F2">
        <w:rPr/>
        <w:t xml:space="preserve">. This is exercised by the Prime </w:t>
      </w:r>
      <w:r w:rsidR="03C631A3">
        <w:rPr/>
        <w:t xml:space="preserve">Minister, other ministers and Government officials </w:t>
      </w:r>
      <w:r w:rsidR="5CFCEF20">
        <w:rPr/>
        <w:t>(these</w:t>
      </w:r>
      <w:r w:rsidR="03C631A3">
        <w:rPr/>
        <w:t xml:space="preserve"> can include the police, the civil service or armed forces).</w:t>
      </w:r>
      <w:r w:rsidR="69A734DB">
        <w:rPr/>
        <w:t xml:space="preserve"> Overall, the separation of powers is based “on the princip</w:t>
      </w:r>
      <w:r w:rsidR="515D68C3">
        <w:rPr/>
        <w:t>le that the power to legislate, the power to implement the law and to run the country, and the power to interpret the law and to call people to account for their actions should not be held by the same peop</w:t>
      </w:r>
      <w:r w:rsidR="67E91596">
        <w:rPr/>
        <w:t>le, nor by the same bodies”.</w:t>
      </w:r>
      <w:r w:rsidR="70CE7395">
        <w:rPr/>
        <w:t xml:space="preserve"> </w:t>
      </w:r>
      <w:proofErr w:type="spellStart"/>
      <w:r w:rsidRPr="68C9399A" w:rsidR="70CE7395">
        <w:rPr>
          <w:b w:val="1"/>
          <w:bCs w:val="1"/>
        </w:rPr>
        <w:t>Webley,L</w:t>
      </w:r>
      <w:proofErr w:type="spellEnd"/>
      <w:r w:rsidRPr="68C9399A" w:rsidR="70CE7395">
        <w:rPr>
          <w:b w:val="1"/>
          <w:bCs w:val="1"/>
        </w:rPr>
        <w:t xml:space="preserve">. And </w:t>
      </w:r>
      <w:proofErr w:type="spellStart"/>
      <w:r w:rsidRPr="68C9399A" w:rsidR="70CE7395">
        <w:rPr>
          <w:b w:val="1"/>
          <w:bCs w:val="1"/>
        </w:rPr>
        <w:t>Samuels,H</w:t>
      </w:r>
      <w:proofErr w:type="spellEnd"/>
      <w:r w:rsidRPr="68C9399A" w:rsidR="70CE7395">
        <w:rPr>
          <w:b w:val="1"/>
          <w:bCs w:val="1"/>
        </w:rPr>
        <w:t xml:space="preserve">. (2015). </w:t>
      </w:r>
      <w:r w:rsidRPr="68C9399A" w:rsidR="70CE7395">
        <w:rPr>
          <w:b w:val="1"/>
          <w:bCs w:val="1"/>
          <w:i w:val="1"/>
          <w:iCs w:val="1"/>
        </w:rPr>
        <w:t xml:space="preserve">Complete public </w:t>
      </w:r>
      <w:proofErr w:type="spellStart"/>
      <w:r w:rsidRPr="68C9399A" w:rsidR="70CE7395">
        <w:rPr>
          <w:b w:val="1"/>
          <w:bCs w:val="1"/>
          <w:i w:val="1"/>
          <w:iCs w:val="1"/>
        </w:rPr>
        <w:t>law:text</w:t>
      </w:r>
      <w:r w:rsidRPr="68C9399A" w:rsidR="020192B4">
        <w:rPr>
          <w:b w:val="1"/>
          <w:bCs w:val="1"/>
          <w:i w:val="1"/>
          <w:iCs w:val="1"/>
        </w:rPr>
        <w:t>,cases</w:t>
      </w:r>
      <w:proofErr w:type="spellEnd"/>
      <w:r w:rsidRPr="68C9399A" w:rsidR="020192B4">
        <w:rPr>
          <w:b w:val="1"/>
          <w:bCs w:val="1"/>
          <w:i w:val="1"/>
          <w:iCs w:val="1"/>
        </w:rPr>
        <w:t>, and materials</w:t>
      </w:r>
      <w:r w:rsidRPr="68C9399A" w:rsidR="020192B4">
        <w:rPr>
          <w:b w:val="1"/>
          <w:bCs w:val="1"/>
        </w:rPr>
        <w:t>. Oxford: Oxford University Press, p.117.</w:t>
      </w:r>
    </w:p>
    <w:p w:rsidR="070ABC53" w:rsidP="68C9399A" w:rsidRDefault="070ABC53" w14:paraId="2DFD4816" w14:textId="68AA5B58">
      <w:pPr>
        <w:pStyle w:val="Normal"/>
      </w:pPr>
      <w:r w:rsidRPr="68C9399A" w:rsidR="070ABC53">
        <w:rPr>
          <w:b w:val="1"/>
          <w:bCs w:val="1"/>
        </w:rPr>
        <w:t>Montesquieu (1748)</w:t>
      </w:r>
      <w:r w:rsidR="070ABC53">
        <w:rPr/>
        <w:t xml:space="preserve"> believed that: “there would be an end to everything, if the same man, or the same body …</w:t>
      </w:r>
      <w:r w:rsidR="0812D1D1">
        <w:rPr/>
        <w:t xml:space="preserve"> were to exercise those three powers”.</w:t>
      </w:r>
    </w:p>
    <w:p w:rsidR="3E4A289B" w:rsidP="68C9399A" w:rsidRDefault="3E4A289B" w14:paraId="44DD6A3A" w14:textId="7642EAAA">
      <w:pPr>
        <w:pStyle w:val="Normal"/>
      </w:pPr>
      <w:r w:rsidR="3E4A289B">
        <w:rPr/>
        <w:t xml:space="preserve">The history of the separation of powers goes back to 1215, the establishment of Magna Carta. The Magna Carta brought </w:t>
      </w:r>
      <w:r w:rsidR="2456FFBF">
        <w:rPr/>
        <w:t xml:space="preserve">forward that the monarch must obey the law. This then limited the </w:t>
      </w:r>
      <w:r w:rsidR="42D0B080">
        <w:rPr/>
        <w:t>monarch's</w:t>
      </w:r>
      <w:r w:rsidR="2456FFBF">
        <w:rPr/>
        <w:t xml:space="preserve"> </w:t>
      </w:r>
      <w:r w:rsidR="1C874614">
        <w:rPr/>
        <w:t>previous absolute power</w:t>
      </w:r>
      <w:r w:rsidR="65B8EE1B">
        <w:rPr/>
        <w:t xml:space="preserve"> and instead his newly power was overseen by the council of barons. </w:t>
      </w:r>
      <w:r w:rsidR="4F383A6F">
        <w:rPr/>
        <w:t>The history of the separation of powers in the UK is dominated by power between the Parliament an</w:t>
      </w:r>
      <w:r w:rsidR="29A95B0B">
        <w:rPr/>
        <w:t>d the Crown.</w:t>
      </w:r>
    </w:p>
    <w:p w:rsidR="37FF0565" w:rsidP="68C9399A" w:rsidRDefault="37FF0565" w14:paraId="233B0932" w14:textId="3B76A019">
      <w:pPr>
        <w:pStyle w:val="Normal"/>
      </w:pPr>
      <w:r w:rsidR="37FF0565">
        <w:rPr/>
        <w:t xml:space="preserve">The legislature, the </w:t>
      </w:r>
      <w:r w:rsidR="59C71838">
        <w:rPr/>
        <w:t>law-making</w:t>
      </w:r>
      <w:r w:rsidR="37FF0565">
        <w:rPr/>
        <w:t xml:space="preserve"> body and the judiciary, </w:t>
      </w:r>
      <w:r w:rsidR="6D5B76E5">
        <w:rPr/>
        <w:t xml:space="preserve">which is mostly made up of judges, </w:t>
      </w:r>
      <w:r w:rsidR="6D8FAFE8">
        <w:rPr/>
        <w:t>provide an overlap in their powers. When developing common law, the judic</w:t>
      </w:r>
      <w:r w:rsidR="2095D934">
        <w:rPr/>
        <w:t xml:space="preserve">iary interpret statutes and delegated legislation. Ewing describes this as “a </w:t>
      </w:r>
      <w:r w:rsidR="1731FE29">
        <w:rPr/>
        <w:t>quasi-legislative</w:t>
      </w:r>
      <w:r w:rsidR="2095D934">
        <w:rPr/>
        <w:t xml:space="preserve"> function”</w:t>
      </w:r>
      <w:r w:rsidR="57BCAD15">
        <w:rPr/>
        <w:t xml:space="preserve">. It is very important where the decisions </w:t>
      </w:r>
      <w:r w:rsidR="34A523D1">
        <w:rPr/>
        <w:t xml:space="preserve">are a source of law on matters where the </w:t>
      </w:r>
      <w:r w:rsidR="200E8C4E">
        <w:rPr/>
        <w:t>Government</w:t>
      </w:r>
      <w:r w:rsidR="34A523D1">
        <w:rPr/>
        <w:t xml:space="preserve"> are not willing to en</w:t>
      </w:r>
      <w:r w:rsidR="5F98102F">
        <w:rPr/>
        <w:t>quire Parliament to legislate</w:t>
      </w:r>
      <w:r w:rsidR="395A5515">
        <w:rPr/>
        <w:t>, as they are not willing to affect the relationship between Parliament and the judiciary.</w:t>
      </w:r>
      <w:r w:rsidR="3323AC39">
        <w:rPr/>
        <w:t xml:space="preserve"> </w:t>
      </w:r>
    </w:p>
    <w:p w:rsidR="2CB8DCA8" w:rsidP="68C9399A" w:rsidRDefault="2CB8DCA8" w14:paraId="02BBD4A0" w14:textId="0348530A">
      <w:pPr>
        <w:pStyle w:val="Normal"/>
      </w:pPr>
      <w:r w:rsidR="2CB8DCA8">
        <w:rPr/>
        <w:t xml:space="preserve">Between the years of 1967 and 1977 the legislature asserted </w:t>
      </w:r>
      <w:r w:rsidR="0180C6A8">
        <w:rPr/>
        <w:t>its</w:t>
      </w:r>
      <w:r w:rsidR="2CB8DCA8">
        <w:rPr/>
        <w:t xml:space="preserve"> supremacy and the judiciary asserted it judicial review powers</w:t>
      </w:r>
      <w:r w:rsidR="6FAA51FD">
        <w:rPr/>
        <w:t>.</w:t>
      </w:r>
      <w:r w:rsidR="0C8A0BCA">
        <w:rPr/>
        <w:t xml:space="preserve"> This resulted in constitutional amendments in which the legislature began to limit the power of the </w:t>
      </w:r>
      <w:r w:rsidR="0CC53EDE">
        <w:rPr/>
        <w:t>judicial</w:t>
      </w:r>
      <w:r w:rsidR="0C8A0BCA">
        <w:rPr/>
        <w:t xml:space="preserve"> review.</w:t>
      </w:r>
      <w:r w:rsidR="21311DD8">
        <w:rPr/>
        <w:t xml:space="preserve"> In the case of Golan Nath, it was stated that “the court declared that the parliament has no right to take away the fund</w:t>
      </w:r>
      <w:r w:rsidR="28835B86">
        <w:rPr/>
        <w:t xml:space="preserve">amental rights”. The Golan Nath case was not the only case where a confrontation between the judiciary and legislature </w:t>
      </w:r>
      <w:r w:rsidR="5A4DE5AA">
        <w:rPr/>
        <w:t xml:space="preserve">started, but also in the Minerva Mill’s case and Maneka Gandhi case. However, now the </w:t>
      </w:r>
      <w:r w:rsidR="145C3C0C">
        <w:rPr/>
        <w:t>judiciary</w:t>
      </w:r>
      <w:r w:rsidR="5A4DE5AA">
        <w:rPr/>
        <w:t xml:space="preserve"> is becoming more assert</w:t>
      </w:r>
      <w:r w:rsidR="3E7E9CC8">
        <w:rPr/>
        <w:t>ive.</w:t>
      </w:r>
    </w:p>
    <w:p w:rsidR="3323AC39" w:rsidP="68C9399A" w:rsidRDefault="3323AC39" w14:paraId="36DCC889" w14:textId="14293954">
      <w:pPr>
        <w:pStyle w:val="Normal"/>
      </w:pPr>
      <w:r w:rsidR="3323AC39">
        <w:rPr/>
        <w:t xml:space="preserve">In 2004, the committee on the Constitutional Reform bill stated that </w:t>
      </w:r>
      <w:r w:rsidRPr="68C9399A" w:rsidR="3323AC39">
        <w:rPr>
          <w:rFonts w:ascii="Calibri" w:hAnsi="Calibri" w:eastAsia="Calibri" w:cs="Calibri"/>
          <w:noProof w:val="0"/>
          <w:sz w:val="22"/>
          <w:szCs w:val="22"/>
          <w:lang w:val="en-GB"/>
        </w:rPr>
        <w:t>“the Committee agrees that it is desirable for a committee of Parliament to act as a bridge between Parliament and the judiciary, particularly in the event of the senior judges being excluded from the House. Such a committee should not seek to hold individual judges to account. The advantages of a statutory committee were not obvious to the Committee and a clear majority preferred the joint committee option. We recognise that Parliament itself will wish to consider this issue further.”</w:t>
      </w:r>
      <w:r w:rsidRPr="68C9399A" w:rsidR="1B441098">
        <w:rPr>
          <w:rFonts w:ascii="Calibri" w:hAnsi="Calibri" w:eastAsia="Calibri" w:cs="Calibri"/>
          <w:noProof w:val="0"/>
          <w:sz w:val="22"/>
          <w:szCs w:val="22"/>
          <w:lang w:val="en-GB"/>
        </w:rPr>
        <w:t xml:space="preserve"> This questions whether there should be a committee tasked with scrutinising the judiciary.</w:t>
      </w:r>
    </w:p>
    <w:p w:rsidR="5CAB3F3E" w:rsidP="68C9399A" w:rsidRDefault="5CAB3F3E" w14:paraId="07ECF87D" w14:textId="6B35DD3D">
      <w:pPr>
        <w:pStyle w:val="Normal"/>
        <w:rPr>
          <w:rFonts w:ascii="Calibri" w:hAnsi="Calibri" w:eastAsia="Calibri" w:cs="Calibri"/>
          <w:noProof w:val="0"/>
          <w:sz w:val="22"/>
          <w:szCs w:val="22"/>
          <w:lang w:val="en-GB"/>
        </w:rPr>
      </w:pPr>
      <w:r w:rsidRPr="68C9399A" w:rsidR="5CAB3F3E">
        <w:rPr>
          <w:rFonts w:ascii="Calibri" w:hAnsi="Calibri" w:eastAsia="Calibri" w:cs="Calibri"/>
          <w:noProof w:val="0"/>
          <w:sz w:val="22"/>
          <w:szCs w:val="22"/>
          <w:lang w:val="en-GB"/>
        </w:rPr>
        <w:t xml:space="preserve">The Constitutional Reform Act 2005 which introduced the Supreme Court, made a </w:t>
      </w:r>
      <w:r w:rsidRPr="68C9399A" w:rsidR="4D595BAE">
        <w:rPr>
          <w:rFonts w:ascii="Calibri" w:hAnsi="Calibri" w:eastAsia="Calibri" w:cs="Calibri"/>
          <w:noProof w:val="0"/>
          <w:sz w:val="22"/>
          <w:szCs w:val="22"/>
          <w:lang w:val="en-GB"/>
        </w:rPr>
        <w:t>separation</w:t>
      </w:r>
      <w:r w:rsidRPr="68C9399A" w:rsidR="5CAB3F3E">
        <w:rPr>
          <w:rFonts w:ascii="Calibri" w:hAnsi="Calibri" w:eastAsia="Calibri" w:cs="Calibri"/>
          <w:noProof w:val="0"/>
          <w:sz w:val="22"/>
          <w:szCs w:val="22"/>
          <w:lang w:val="en-GB"/>
        </w:rPr>
        <w:t xml:space="preserve"> of powers betwee</w:t>
      </w:r>
      <w:r w:rsidRPr="68C9399A" w:rsidR="69EB6A12">
        <w:rPr>
          <w:rFonts w:ascii="Calibri" w:hAnsi="Calibri" w:eastAsia="Calibri" w:cs="Calibri"/>
          <w:noProof w:val="0"/>
          <w:sz w:val="22"/>
          <w:szCs w:val="22"/>
          <w:lang w:val="en-GB"/>
        </w:rPr>
        <w:t>n the Parliament and Judiciary.</w:t>
      </w:r>
      <w:r w:rsidRPr="68C9399A" w:rsidR="1619E628">
        <w:rPr>
          <w:rFonts w:ascii="Calibri" w:hAnsi="Calibri" w:eastAsia="Calibri" w:cs="Calibri"/>
          <w:noProof w:val="0"/>
          <w:sz w:val="22"/>
          <w:szCs w:val="22"/>
          <w:lang w:val="en-GB"/>
        </w:rPr>
        <w:t xml:space="preserve"> This Act made them no longer execute legislative functions because </w:t>
      </w:r>
      <w:r w:rsidRPr="68C9399A" w:rsidR="3821B6A0">
        <w:rPr>
          <w:rFonts w:ascii="Calibri" w:hAnsi="Calibri" w:eastAsia="Calibri" w:cs="Calibri"/>
          <w:noProof w:val="0"/>
          <w:sz w:val="22"/>
          <w:szCs w:val="22"/>
          <w:lang w:val="en-GB"/>
        </w:rPr>
        <w:t>of the Supreme Court, this is separate from the House of Lords.</w:t>
      </w:r>
      <w:r w:rsidRPr="68C9399A" w:rsidR="3149F472">
        <w:rPr>
          <w:rFonts w:ascii="Calibri" w:hAnsi="Calibri" w:eastAsia="Calibri" w:cs="Calibri"/>
          <w:noProof w:val="0"/>
          <w:sz w:val="22"/>
          <w:szCs w:val="22"/>
          <w:lang w:val="en-GB"/>
        </w:rPr>
        <w:t xml:space="preserve"> </w:t>
      </w:r>
      <w:r w:rsidRPr="68C9399A" w:rsidR="075BCD21">
        <w:rPr>
          <w:rFonts w:ascii="Calibri" w:hAnsi="Calibri" w:eastAsia="Calibri" w:cs="Calibri"/>
          <w:noProof w:val="0"/>
          <w:sz w:val="22"/>
          <w:szCs w:val="22"/>
          <w:lang w:val="en-GB"/>
        </w:rPr>
        <w:t>Under the Human Rights Act 1998, if there is a breach of the European Convention on Human Rights, the judges in the higher courts can dec</w:t>
      </w:r>
      <w:r w:rsidRPr="68C9399A" w:rsidR="2D6115A0">
        <w:rPr>
          <w:rFonts w:ascii="Calibri" w:hAnsi="Calibri" w:eastAsia="Calibri" w:cs="Calibri"/>
          <w:noProof w:val="0"/>
          <w:sz w:val="22"/>
          <w:szCs w:val="22"/>
          <w:lang w:val="en-GB"/>
        </w:rPr>
        <w:t>lare this as incompatibility. The judges cannot review the va</w:t>
      </w:r>
      <w:r w:rsidRPr="68C9399A" w:rsidR="6974CBF1">
        <w:rPr>
          <w:rFonts w:ascii="Calibri" w:hAnsi="Calibri" w:eastAsia="Calibri" w:cs="Calibri"/>
          <w:noProof w:val="0"/>
          <w:sz w:val="22"/>
          <w:szCs w:val="22"/>
          <w:lang w:val="en-GB"/>
        </w:rPr>
        <w:t>lidity of legislation passed by Parliament because of the doctrine of</w:t>
      </w:r>
      <w:r w:rsidRPr="68C9399A" w:rsidR="6974CBF1">
        <w:rPr>
          <w:rFonts w:ascii="Calibri" w:hAnsi="Calibri" w:eastAsia="Calibri" w:cs="Calibri"/>
          <w:noProof w:val="0"/>
          <w:sz w:val="22"/>
          <w:szCs w:val="22"/>
          <w:lang w:val="en-GB"/>
        </w:rPr>
        <w:t xml:space="preserve"> legislative supremacy.</w:t>
      </w:r>
    </w:p>
    <w:p w:rsidR="53398C1F" w:rsidP="68C9399A" w:rsidRDefault="53398C1F" w14:paraId="3F9D1D5D" w14:textId="73C219F6">
      <w:pPr>
        <w:pStyle w:val="Normal"/>
        <w:rPr>
          <w:rFonts w:ascii="Calibri" w:hAnsi="Calibri" w:eastAsia="Calibri" w:cs="Calibri"/>
          <w:b w:val="1"/>
          <w:bCs w:val="1"/>
          <w:i w:val="0"/>
          <w:iCs w:val="0"/>
          <w:noProof w:val="0"/>
          <w:color w:val="000000" w:themeColor="text1" w:themeTint="FF" w:themeShade="FF"/>
          <w:sz w:val="22"/>
          <w:szCs w:val="22"/>
          <w:lang w:val="en-GB"/>
        </w:rPr>
      </w:pPr>
      <w:r w:rsidR="53398C1F">
        <w:rPr/>
        <w:t xml:space="preserve">In the case of Tony Nicklinson v Ministry of Justice; AM v DPP and Others (2012) concluded that </w:t>
      </w:r>
      <w:r w:rsidR="49FE8D4A">
        <w:rPr/>
        <w:t>it is not up to the courts to change the law on assisted dying, it is not in their power to change that law. Lo</w:t>
      </w:r>
      <w:r w:rsidR="3E50E306">
        <w:rPr/>
        <w:t xml:space="preserve">rd Justice Toulson stated </w:t>
      </w:r>
      <w:r w:rsidRPr="68C9399A" w:rsidR="3E50E306">
        <w:rPr>
          <w:rFonts w:ascii="Calibri" w:hAnsi="Calibri" w:eastAsia="Calibri" w:cs="Calibri"/>
          <w:noProof w:val="0"/>
          <w:sz w:val="22"/>
          <w:szCs w:val="22"/>
          <w:lang w:val="en-GB"/>
        </w:rPr>
        <w:t>“Tony’s and Martin’s circumstances are deeply moving.  Their desire to have control over the ending of their lives demands the most careful and sympathetic consideration, but there are also other important issues to consider.  A decision to allow their claims would have consequences far beyond the present cases.  To do as Tony wants, the court would be making a major change in the law.  To do as Martin wants, the court would be compelling the DPP to go beyond his established legal role.   These are not things which the court should do.  It is not for the court to decide whether the law about assisted dying should be changed and, if so, what safeguards should be put in place.  Under our system of government these are matters for Parliament to decide, representing society, after Parliamentary scrutiny, and not for the court on the facts of an individual case or cases.   For those reasons I would refuse these applications for judicial review.”</w:t>
      </w:r>
      <w:r w:rsidRPr="68C9399A" w:rsidR="563EBD31">
        <w:rPr>
          <w:rFonts w:ascii="Calibri" w:hAnsi="Calibri" w:eastAsia="Calibri" w:cs="Calibri"/>
          <w:noProof w:val="0"/>
          <w:sz w:val="22"/>
          <w:szCs w:val="22"/>
          <w:lang w:val="en-GB"/>
        </w:rPr>
        <w:t xml:space="preserve"> </w:t>
      </w:r>
    </w:p>
    <w:p w:rsidR="3EA404FF" w:rsidP="68C9399A" w:rsidRDefault="3EA404FF" w14:paraId="705D615D" w14:textId="67B9E5C9">
      <w:pPr>
        <w:pStyle w:val="Normal"/>
      </w:pPr>
      <w:r w:rsidRPr="68C9399A" w:rsidR="3EA404FF">
        <w:rPr>
          <w:rFonts w:ascii="Calibri" w:hAnsi="Calibri" w:eastAsia="Calibri" w:cs="Calibri"/>
          <w:noProof w:val="0"/>
          <w:sz w:val="22"/>
          <w:szCs w:val="22"/>
          <w:lang w:val="en-GB"/>
        </w:rPr>
        <w:t xml:space="preserve">“The proper relationship between Parliament and the courts requires that the courts should be left to get on with their work [...]. Restrictions on media comment are limited to not prejudicing the trial, but Parliament needs to be especially careful: it is important constitutionally, and essential for public confidence, that the judiciary should be seen to be independent of political pressures. Thus, restrictions on parliamentary debate should sometimes exceed those on media comment”. </w:t>
      </w:r>
      <w:r w:rsidRPr="68C9399A" w:rsidR="3EA404FF">
        <w:rPr>
          <w:rFonts w:ascii="Calibri" w:hAnsi="Calibri" w:eastAsia="Calibri" w:cs="Calibri"/>
          <w:b w:val="1"/>
          <w:bCs w:val="1"/>
          <w:noProof w:val="0"/>
          <w:sz w:val="22"/>
          <w:szCs w:val="22"/>
          <w:lang w:val="en-GB"/>
        </w:rPr>
        <w:t>Joint Committee on Parliamentary Privilege, Session 1998–1999, Parliamentary privilege, HL 43-I / HC 214-I, section 192</w:t>
      </w:r>
    </w:p>
    <w:p w:rsidR="15D8D8BE" w:rsidP="68C9399A" w:rsidRDefault="15D8D8BE" w14:paraId="337D1848" w14:textId="37187B12">
      <w:pPr>
        <w:pStyle w:val="Normal"/>
        <w:rPr>
          <w:rFonts w:ascii="Calibri" w:hAnsi="Calibri" w:eastAsia="Calibri" w:cs="Calibri"/>
          <w:noProof w:val="0"/>
          <w:sz w:val="22"/>
          <w:szCs w:val="22"/>
          <w:lang w:val="en-GB"/>
        </w:rPr>
      </w:pPr>
      <w:r w:rsidRPr="68C9399A" w:rsidR="15D8D8BE">
        <w:rPr>
          <w:rFonts w:ascii="Calibri" w:hAnsi="Calibri" w:eastAsia="Calibri" w:cs="Calibri"/>
          <w:noProof w:val="0"/>
          <w:sz w:val="22"/>
          <w:szCs w:val="22"/>
          <w:lang w:val="en-GB"/>
        </w:rPr>
        <w:t>The judiciary who imposes punishments and enforce law should be independent of the executive, which is the political process.</w:t>
      </w:r>
      <w:r w:rsidRPr="68C9399A" w:rsidR="1092F8C9">
        <w:rPr>
          <w:rFonts w:ascii="Calibri" w:hAnsi="Calibri" w:eastAsia="Calibri" w:cs="Calibri"/>
          <w:noProof w:val="0"/>
          <w:sz w:val="22"/>
          <w:szCs w:val="22"/>
          <w:lang w:val="en-GB"/>
        </w:rPr>
        <w:t xml:space="preserve"> The separation between these two powers include the process to reduce the </w:t>
      </w:r>
      <w:r w:rsidRPr="68C9399A" w:rsidR="1725DAD3">
        <w:rPr>
          <w:rFonts w:ascii="Calibri" w:hAnsi="Calibri" w:eastAsia="Calibri" w:cs="Calibri"/>
          <w:noProof w:val="0"/>
          <w:sz w:val="22"/>
          <w:szCs w:val="22"/>
          <w:lang w:val="en-GB"/>
        </w:rPr>
        <w:t>arbitrary</w:t>
      </w:r>
      <w:r w:rsidRPr="68C9399A" w:rsidR="1092F8C9">
        <w:rPr>
          <w:rFonts w:ascii="Calibri" w:hAnsi="Calibri" w:eastAsia="Calibri" w:cs="Calibri"/>
          <w:noProof w:val="0"/>
          <w:sz w:val="22"/>
          <w:szCs w:val="22"/>
          <w:lang w:val="en-GB"/>
        </w:rPr>
        <w:t xml:space="preserve"> operation of the law within the UK.</w:t>
      </w:r>
      <w:r w:rsidRPr="68C9399A" w:rsidR="4F066088">
        <w:rPr>
          <w:rFonts w:ascii="Calibri" w:hAnsi="Calibri" w:eastAsia="Calibri" w:cs="Calibri"/>
          <w:noProof w:val="0"/>
          <w:sz w:val="22"/>
          <w:szCs w:val="22"/>
          <w:lang w:val="en-GB"/>
        </w:rPr>
        <w:t xml:space="preserve"> J Locke believed that a separation between the executive and judiciary was desired and needed.</w:t>
      </w:r>
      <w:r w:rsidRPr="68C9399A" w:rsidR="76120F2D">
        <w:rPr>
          <w:rFonts w:ascii="Calibri" w:hAnsi="Calibri" w:eastAsia="Calibri" w:cs="Calibri"/>
          <w:noProof w:val="0"/>
          <w:sz w:val="22"/>
          <w:szCs w:val="22"/>
          <w:lang w:val="en-GB"/>
        </w:rPr>
        <w:t xml:space="preserve"> Locke was very clear on the fact that there needed to be a separation. </w:t>
      </w:r>
      <w:r w:rsidRPr="68C9399A" w:rsidR="32564229">
        <w:rPr>
          <w:rFonts w:ascii="Calibri" w:hAnsi="Calibri" w:eastAsia="Calibri" w:cs="Calibri"/>
          <w:noProof w:val="0"/>
          <w:sz w:val="22"/>
          <w:szCs w:val="22"/>
          <w:lang w:val="en-GB"/>
        </w:rPr>
        <w:t>Montesquieu's view is that the judiciary should be an independent judiciary separate from the executive.</w:t>
      </w:r>
      <w:r w:rsidRPr="68C9399A" w:rsidR="75BC751F">
        <w:rPr>
          <w:rFonts w:ascii="Calibri" w:hAnsi="Calibri" w:eastAsia="Calibri" w:cs="Calibri"/>
          <w:noProof w:val="0"/>
          <w:sz w:val="22"/>
          <w:szCs w:val="22"/>
          <w:lang w:val="en-GB"/>
        </w:rPr>
        <w:t xml:space="preserve"> He believed that by having this separation it provided protection to the public in the UK from excessive use of power</w:t>
      </w:r>
      <w:r w:rsidRPr="68C9399A" w:rsidR="65160E13">
        <w:rPr>
          <w:rFonts w:ascii="Calibri" w:hAnsi="Calibri" w:eastAsia="Calibri" w:cs="Calibri"/>
          <w:noProof w:val="0"/>
          <w:sz w:val="22"/>
          <w:szCs w:val="22"/>
          <w:lang w:val="en-GB"/>
        </w:rPr>
        <w:t xml:space="preserve"> and that some basic human rights could be infringed if too much power was used by the members of the executive</w:t>
      </w:r>
      <w:r w:rsidRPr="68C9399A" w:rsidR="0FD3E488">
        <w:rPr>
          <w:rFonts w:ascii="Calibri" w:hAnsi="Calibri" w:eastAsia="Calibri" w:cs="Calibri"/>
          <w:noProof w:val="0"/>
          <w:sz w:val="22"/>
          <w:szCs w:val="22"/>
          <w:lang w:val="en-GB"/>
        </w:rPr>
        <w:t xml:space="preserve">. </w:t>
      </w:r>
      <w:proofErr w:type="spellStart"/>
      <w:r w:rsidRPr="68C9399A" w:rsidR="0FD3E488">
        <w:rPr>
          <w:b w:val="1"/>
          <w:bCs w:val="1"/>
        </w:rPr>
        <w:t>Webley,L</w:t>
      </w:r>
      <w:proofErr w:type="spellEnd"/>
      <w:r w:rsidRPr="68C9399A" w:rsidR="0FD3E488">
        <w:rPr>
          <w:b w:val="1"/>
          <w:bCs w:val="1"/>
        </w:rPr>
        <w:t xml:space="preserve">. And </w:t>
      </w:r>
      <w:proofErr w:type="spellStart"/>
      <w:r w:rsidRPr="68C9399A" w:rsidR="0FD3E488">
        <w:rPr>
          <w:b w:val="1"/>
          <w:bCs w:val="1"/>
        </w:rPr>
        <w:t>Samuels,H</w:t>
      </w:r>
      <w:proofErr w:type="spellEnd"/>
      <w:r w:rsidRPr="68C9399A" w:rsidR="0FD3E488">
        <w:rPr>
          <w:b w:val="1"/>
          <w:bCs w:val="1"/>
        </w:rPr>
        <w:t xml:space="preserve">. (2015). </w:t>
      </w:r>
      <w:r w:rsidRPr="68C9399A" w:rsidR="0FD3E488">
        <w:rPr>
          <w:b w:val="1"/>
          <w:bCs w:val="1"/>
          <w:i w:val="1"/>
          <w:iCs w:val="1"/>
        </w:rPr>
        <w:t xml:space="preserve">Complete public </w:t>
      </w:r>
      <w:proofErr w:type="spellStart"/>
      <w:r w:rsidRPr="68C9399A" w:rsidR="0FD3E488">
        <w:rPr>
          <w:b w:val="1"/>
          <w:bCs w:val="1"/>
          <w:i w:val="1"/>
          <w:iCs w:val="1"/>
        </w:rPr>
        <w:t>law:text,cases</w:t>
      </w:r>
      <w:proofErr w:type="spellEnd"/>
      <w:r w:rsidRPr="68C9399A" w:rsidR="0FD3E488">
        <w:rPr>
          <w:b w:val="1"/>
          <w:bCs w:val="1"/>
          <w:i w:val="1"/>
          <w:iCs w:val="1"/>
        </w:rPr>
        <w:t>, and materials</w:t>
      </w:r>
      <w:r w:rsidRPr="68C9399A" w:rsidR="0FD3E488">
        <w:rPr>
          <w:b w:val="1"/>
          <w:bCs w:val="1"/>
        </w:rPr>
        <w:t>. Oxford: Oxford University Press, p.126.</w:t>
      </w:r>
      <w:r w:rsidRPr="68C9399A" w:rsidR="0FD3E488">
        <w:rPr>
          <w:rFonts w:ascii="Calibri" w:hAnsi="Calibri" w:eastAsia="Calibri" w:cs="Calibri"/>
          <w:noProof w:val="0"/>
          <w:sz w:val="22"/>
          <w:szCs w:val="22"/>
          <w:lang w:val="en-GB"/>
        </w:rPr>
        <w:t xml:space="preserve"> </w:t>
      </w:r>
    </w:p>
    <w:p w:rsidR="1D8A4DCD" w:rsidP="68C9399A" w:rsidRDefault="1D8A4DCD" w14:paraId="2E90996C" w14:textId="2DA78AE1">
      <w:pPr>
        <w:pStyle w:val="Normal"/>
      </w:pPr>
      <w:r w:rsidR="1D8A4DCD">
        <w:rPr/>
        <w:t xml:space="preserve">The executive did have the power to appoint judges when the Lord Chancellor sat in the House of Lords, but because of </w:t>
      </w:r>
      <w:r w:rsidR="5AE7B35B">
        <w:rPr/>
        <w:t>the Constitutional Reform Act 2005, the judges are no</w:t>
      </w:r>
      <w:r w:rsidR="5C8F39D5">
        <w:rPr/>
        <w:t xml:space="preserve">w </w:t>
      </w:r>
      <w:r w:rsidR="5AE7B35B">
        <w:rPr/>
        <w:t>appointed by the Judicial Appointments Committee, leaving the executive with less control</w:t>
      </w:r>
      <w:r w:rsidR="6617F3FB">
        <w:rPr/>
        <w:t>.</w:t>
      </w:r>
      <w:r w:rsidR="7541848F">
        <w:rPr/>
        <w:t xml:space="preserve"> Under s.3 Constitutional Reform Act, the Lord Chancellor and ministers prese</w:t>
      </w:r>
      <w:r w:rsidR="273D8DFD">
        <w:rPr/>
        <w:t>rve the independence of the judiciary.</w:t>
      </w:r>
    </w:p>
    <w:p w:rsidR="6617F3FB" w:rsidP="68C9399A" w:rsidRDefault="6617F3FB" w14:paraId="39999666" w14:textId="5D1D775A">
      <w:pPr>
        <w:pStyle w:val="Normal"/>
      </w:pPr>
      <w:r w:rsidR="6617F3FB">
        <w:rPr/>
        <w:t>The judiciary does exercise some higher control over the executive, as of judicial review.</w:t>
      </w:r>
      <w:r w:rsidR="758CC575">
        <w:rPr/>
        <w:t xml:space="preserve"> This involves the courts determining the lawfulness of executive power. Ewing stated that “</w:t>
      </w:r>
      <w:r w:rsidR="49A37D72">
        <w:rPr/>
        <w:t xml:space="preserve">this is an essential function to protect the citizen against unlawful acts of government </w:t>
      </w:r>
      <w:r w:rsidR="49A37D72">
        <w:rPr/>
        <w:t>agencies</w:t>
      </w:r>
      <w:r w:rsidR="49A37D72">
        <w:rPr/>
        <w:t xml:space="preserve"> and officials”.</w:t>
      </w:r>
    </w:p>
    <w:p w:rsidR="12CE087B" w:rsidP="68C9399A" w:rsidRDefault="12CE087B" w14:paraId="31DA2A91" w14:textId="71E06358">
      <w:pPr>
        <w:pStyle w:val="Normal"/>
      </w:pPr>
      <w:r w:rsidR="12CE087B">
        <w:rPr/>
        <w:t xml:space="preserve">There is an overlap between the executive and judiciary as the executive </w:t>
      </w:r>
      <w:r w:rsidR="64762642">
        <w:rPr/>
        <w:t>has a judicial function through the growth of administrative tribuna</w:t>
      </w:r>
      <w:r w:rsidR="5F3D07A3">
        <w:rPr/>
        <w:t>ls.</w:t>
      </w:r>
      <w:r w:rsidR="319B5D7E">
        <w:rPr/>
        <w:t xml:space="preserve"> </w:t>
      </w:r>
    </w:p>
    <w:p w:rsidR="0444F2F1" w:rsidP="68C9399A" w:rsidRDefault="0444F2F1" w14:paraId="062AF86A" w14:textId="4080D87A">
      <w:pPr>
        <w:pStyle w:val="Normal"/>
      </w:pPr>
      <w:r w:rsidR="0444F2F1">
        <w:rPr/>
        <w:t>Commentators insist on a judiciary that is independent</w:t>
      </w:r>
      <w:r w:rsidR="5CFDF6A7">
        <w:rPr/>
        <w:t xml:space="preserve">, however what is seen as a strength is that the powers of the executive and legislature overlap as </w:t>
      </w:r>
      <w:r w:rsidR="20C2A19F">
        <w:rPr/>
        <w:t xml:space="preserve">the personnel are drawn from the legislature. The power of the executive is balanced </w:t>
      </w:r>
      <w:r w:rsidR="083DBB0E">
        <w:rPr/>
        <w:t xml:space="preserve">by the power of the legislature to overlook it. </w:t>
      </w:r>
      <w:r w:rsidR="5F06A804">
        <w:rPr/>
        <w:t>It is believed that the power between the two branches is deemed desirable as it leads to a more cooperative government.</w:t>
      </w:r>
      <w:r w:rsidR="4A88E562">
        <w:rPr/>
        <w:t xml:space="preserve"> The executive is stated to be present at the heart of Parliament.</w:t>
      </w:r>
      <w:r w:rsidR="2B24BA4A">
        <w:rPr/>
        <w:t xml:space="preserve"> </w:t>
      </w:r>
      <w:r w:rsidR="4DCA7D7F">
        <w:rPr/>
        <w:t xml:space="preserve">This integration of the two </w:t>
      </w:r>
      <w:r w:rsidR="0FE6F458">
        <w:rPr/>
        <w:t>branches</w:t>
      </w:r>
      <w:r w:rsidR="4DCA7D7F">
        <w:rPr/>
        <w:t xml:space="preserve"> have been described as </w:t>
      </w:r>
      <w:r w:rsidR="2B7ED67D">
        <w:rPr/>
        <w:t>“</w:t>
      </w:r>
      <w:r w:rsidR="4DCA7D7F">
        <w:rPr/>
        <w:t>a</w:t>
      </w:r>
      <w:r w:rsidR="4DCA7D7F">
        <w:rPr/>
        <w:t xml:space="preserve"> system that intentionally promotes </w:t>
      </w:r>
      <w:r w:rsidR="69343C73">
        <w:rPr/>
        <w:t>efficiency</w:t>
      </w:r>
      <w:r w:rsidR="4DCA7D7F">
        <w:rPr/>
        <w:t xml:space="preserve"> over abstract </w:t>
      </w:r>
      <w:r w:rsidR="314EE2E9">
        <w:rPr/>
        <w:t>concerns</w:t>
      </w:r>
      <w:r w:rsidR="4DCA7D7F">
        <w:rPr/>
        <w:t xml:space="preserve"> about tyranny</w:t>
      </w:r>
      <w:r w:rsidR="3098DBF0">
        <w:rPr/>
        <w:t xml:space="preserve">”. </w:t>
      </w:r>
      <w:r w:rsidRPr="68C9399A" w:rsidR="6A955D75">
        <w:rPr>
          <w:rFonts w:ascii="Calibri" w:hAnsi="Calibri" w:eastAsia="Calibri" w:cs="Calibri"/>
          <w:b w:val="1"/>
          <w:bCs w:val="1"/>
          <w:noProof w:val="0"/>
          <w:sz w:val="22"/>
          <w:szCs w:val="22"/>
          <w:lang w:val="en-GB"/>
        </w:rPr>
        <w:t xml:space="preserve">Ronald J </w:t>
      </w:r>
      <w:proofErr w:type="spellStart"/>
      <w:r w:rsidRPr="68C9399A" w:rsidR="6A955D75">
        <w:rPr>
          <w:rFonts w:ascii="Calibri" w:hAnsi="Calibri" w:eastAsia="Calibri" w:cs="Calibri"/>
          <w:b w:val="1"/>
          <w:bCs w:val="1"/>
          <w:noProof w:val="0"/>
          <w:sz w:val="22"/>
          <w:szCs w:val="22"/>
          <w:lang w:val="en-GB"/>
        </w:rPr>
        <w:t>Krotoszynski</w:t>
      </w:r>
      <w:proofErr w:type="spellEnd"/>
      <w:r w:rsidRPr="68C9399A" w:rsidR="6A955D75">
        <w:rPr>
          <w:rFonts w:ascii="Calibri" w:hAnsi="Calibri" w:eastAsia="Calibri" w:cs="Calibri"/>
          <w:b w:val="1"/>
          <w:bCs w:val="1"/>
          <w:noProof w:val="0"/>
          <w:sz w:val="22"/>
          <w:szCs w:val="22"/>
          <w:lang w:val="en-GB"/>
        </w:rPr>
        <w:t xml:space="preserve">, ‘The separation of legislative and executive powers’ in Tom Ginsburg, Rosalind Dixon (eds) Comparative Constitutional Law, Cheltenham: Edward Elgar, 2011, p 248. </w:t>
      </w:r>
      <w:r w:rsidR="6A955D75">
        <w:rPr/>
        <w:t>I</w:t>
      </w:r>
      <w:r w:rsidR="2B24BA4A">
        <w:rPr/>
        <w:t>n the UK the Prime minister is head of the executive and leader of</w:t>
      </w:r>
      <w:r w:rsidR="4B970C4A">
        <w:rPr/>
        <w:t xml:space="preserve"> </w:t>
      </w:r>
      <w:r w:rsidR="4B970C4A">
        <w:rPr/>
        <w:t>the</w:t>
      </w:r>
      <w:r w:rsidR="2B24BA4A">
        <w:rPr/>
        <w:t xml:space="preserve"> party</w:t>
      </w:r>
      <w:r w:rsidR="2B24BA4A">
        <w:rPr/>
        <w:t xml:space="preserve"> in the legislature.</w:t>
      </w:r>
    </w:p>
    <w:p w:rsidR="4A88E562" w:rsidP="68C9399A" w:rsidRDefault="4A88E562" w14:paraId="65D571E6" w14:textId="1F205A94">
      <w:pPr>
        <w:pStyle w:val="Normal"/>
      </w:pPr>
      <w:r w:rsidR="4A88E562">
        <w:rPr/>
        <w:t xml:space="preserve">However, in the USA the President may not be a member of congress but is still elected </w:t>
      </w:r>
      <w:r w:rsidR="4A88E562">
        <w:rPr/>
        <w:t>separately</w:t>
      </w:r>
      <w:r w:rsidR="4A88E562">
        <w:rPr/>
        <w:t xml:space="preserve"> from elections that are congressional.</w:t>
      </w:r>
    </w:p>
    <w:p w:rsidR="0ECC41B0" w:rsidP="68C9399A" w:rsidRDefault="0ECC41B0" w14:paraId="08A0A095" w14:textId="10DB47EE">
      <w:pPr>
        <w:pStyle w:val="Normal"/>
      </w:pPr>
      <w:r w:rsidR="0ECC41B0">
        <w:rPr/>
        <w:t>In 2010 the Backbench Business Committee was created to grant the legislature more independence from the executive. It was believed that the Backbench Business Commit</w:t>
      </w:r>
      <w:r w:rsidR="743EEB92">
        <w:rPr/>
        <w:t>tee would give MP’s higher ownership of the Parliaments agenda.</w:t>
      </w:r>
    </w:p>
    <w:p w:rsidR="5255142B" w:rsidP="68C9399A" w:rsidRDefault="5255142B" w14:paraId="41D41E07" w14:textId="23DA4C71">
      <w:pPr>
        <w:pStyle w:val="Normal"/>
      </w:pPr>
      <w:r w:rsidR="5255142B">
        <w:rPr/>
        <w:t xml:space="preserve">The Constitutional Reform Act 2005 gave numerous changes to the judiciary in the UK. </w:t>
      </w:r>
      <w:r w:rsidR="3BAF002C">
        <w:rPr/>
        <w:t xml:space="preserve">The aim of this act was to gain a </w:t>
      </w:r>
      <w:r w:rsidR="66F0727E">
        <w:rPr/>
        <w:t>stricter separation of powers</w:t>
      </w:r>
      <w:r w:rsidR="3BAF002C">
        <w:rPr/>
        <w:t xml:space="preserve"> and to divide the judiciary, executive and legislative powers.</w:t>
      </w:r>
      <w:r w:rsidR="5A097AD1">
        <w:rPr/>
        <w:t xml:space="preserve"> The Constitutional Reform Act</w:t>
      </w:r>
      <w:r w:rsidR="0D14D43A">
        <w:rPr/>
        <w:t xml:space="preserve"> also</w:t>
      </w:r>
      <w:r w:rsidR="5A097AD1">
        <w:rPr/>
        <w:t xml:space="preserve"> restricted Lord Chancellors powers</w:t>
      </w:r>
      <w:r w:rsidR="120CB125">
        <w:rPr/>
        <w:t>. Furthermore, the Act abolished Lord Chancellors judicial functions</w:t>
      </w:r>
      <w:r w:rsidR="61B4B7CA">
        <w:rPr/>
        <w:t xml:space="preserve"> to gain more judicial independency. This Act made recognition of the constitut</w:t>
      </w:r>
      <w:r w:rsidR="21075EC2">
        <w:rPr/>
        <w:t>ional separation</w:t>
      </w:r>
      <w:r w:rsidR="47C82C8F">
        <w:rPr/>
        <w:t xml:space="preserve"> of</w:t>
      </w:r>
      <w:r w:rsidR="21075EC2">
        <w:rPr/>
        <w:t xml:space="preserve"> the three powers. The Constitutional Ref</w:t>
      </w:r>
      <w:r w:rsidR="6B13F5EB">
        <w:rPr/>
        <w:t xml:space="preserve">orm Act 2005 </w:t>
      </w:r>
      <w:r w:rsidR="5F6359F1">
        <w:rPr/>
        <w:t>under part four states that “t</w:t>
      </w:r>
      <w:r w:rsidRPr="68C9399A" w:rsidR="5F6359F1">
        <w:rPr>
          <w:rFonts w:ascii="Calibri" w:hAnsi="Calibri" w:eastAsia="Calibri" w:cs="Calibri" w:asciiTheme="minorAscii" w:hAnsiTheme="minorAscii" w:eastAsiaTheme="minorAscii" w:cstheme="minorAscii"/>
          <w:sz w:val="22"/>
          <w:szCs w:val="22"/>
        </w:rPr>
        <w:t>he Act m</w:t>
      </w:r>
      <w:r w:rsidRPr="68C9399A" w:rsidR="5F6359F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akes provision for a Judicial Appointments Commission to be responsible for recruiting and selecting judges for the Courts of England and Wales and members of certain tribunals and makes special arrangements for the appointment of the Lord Chief Justice and other Heads of Division and of the Lords Justices of Appeal. It provides for the Commission to report to the Lord Chancellor on who has been selected, and for the Lord Chancellor to make the appointment or the recommendation for appointment to The Queen. It also makes provision for a Judicial Appointments and Conduct Ombudsman, and for judicial discipline”.</w:t>
      </w:r>
    </w:p>
    <w:p w:rsidR="75661055" w:rsidP="68C9399A" w:rsidRDefault="75661055" w14:paraId="11373738" w14:textId="56AC84D0">
      <w:pPr>
        <w:pStyle w:val="Normal"/>
      </w:pPr>
      <w:r w:rsidR="75661055">
        <w:rPr/>
        <w:t xml:space="preserve">There are many reasons to have judicial independence. </w:t>
      </w:r>
      <w:r w:rsidRPr="68C9399A" w:rsidR="75661055">
        <w:rPr>
          <w:b w:val="1"/>
          <w:bCs w:val="1"/>
        </w:rPr>
        <w:t>Barendt (1998)</w:t>
      </w:r>
      <w:r w:rsidR="75661055">
        <w:rPr/>
        <w:t xml:space="preserve"> states the judiciary “is the least dangerous branch of the </w:t>
      </w:r>
      <w:r w:rsidR="14ED8456">
        <w:rPr/>
        <w:t>government” and his reason for this is because the judiciary cannot damage the rights of the citizens in the UK.</w:t>
      </w:r>
      <w:r w:rsidR="6FA8BE9E">
        <w:rPr/>
        <w:t xml:space="preserve"> Our society is dependent on the decisions made in the courts.</w:t>
      </w:r>
      <w:r w:rsidR="31548AA2">
        <w:rPr/>
        <w:t xml:space="preserve"> One reason that judicial independency is important is becaus</w:t>
      </w:r>
      <w:r w:rsidR="1DF8ABD4">
        <w:rPr/>
        <w:t xml:space="preserve">e it is critical that judges </w:t>
      </w:r>
      <w:r w:rsidR="18A34390">
        <w:rPr/>
        <w:t>can</w:t>
      </w:r>
      <w:r w:rsidR="1DF8ABD4">
        <w:rPr/>
        <w:t xml:space="preserve"> decide their decisions purely on their own and based </w:t>
      </w:r>
      <w:r w:rsidR="74F99FE3">
        <w:rPr/>
        <w:t>off</w:t>
      </w:r>
      <w:r w:rsidR="74F99FE3">
        <w:rPr/>
        <w:t xml:space="preserve"> relevant facts and knowledge of the law </w:t>
      </w:r>
      <w:r w:rsidR="188109A9">
        <w:rPr/>
        <w:t>from the evidence presented in courts.</w:t>
      </w:r>
      <w:r w:rsidR="1D169222">
        <w:rPr/>
        <w:t xml:space="preserve"> </w:t>
      </w:r>
    </w:p>
    <w:p w:rsidR="0E545185" w:rsidP="68C9399A" w:rsidRDefault="0E545185" w14:paraId="4984C0F6" w14:textId="7946FDA2">
      <w:pPr>
        <w:rPr>
          <w:rFonts w:ascii="Calibri" w:hAnsi="Calibri" w:eastAsia="Calibri" w:cs="Calibri"/>
          <w:b w:val="0"/>
          <w:bCs w:val="0"/>
          <w:i w:val="0"/>
          <w:iCs w:val="0"/>
          <w:noProof w:val="0"/>
          <w:color w:val="000000" w:themeColor="text1" w:themeTint="FF" w:themeShade="FF"/>
          <w:sz w:val="22"/>
          <w:szCs w:val="22"/>
          <w:lang w:val="en-GB"/>
        </w:rPr>
      </w:pPr>
      <w:r w:rsidRPr="68C9399A" w:rsidR="0E545185">
        <w:rPr>
          <w:rFonts w:ascii="Calibri" w:hAnsi="Calibri" w:eastAsia="Calibri" w:cs="Calibri"/>
          <w:b w:val="0"/>
          <w:bCs w:val="0"/>
          <w:i w:val="0"/>
          <w:iCs w:val="0"/>
          <w:noProof w:val="0"/>
          <w:color w:val="000000" w:themeColor="text1" w:themeTint="FF" w:themeShade="FF"/>
          <w:sz w:val="22"/>
          <w:szCs w:val="22"/>
          <w:lang w:val="en-GB"/>
        </w:rPr>
        <w:t>"It is vitally important in a democracy that individual judges and the judiciary are impartial and independent of all external pressures and of each other so that those who appear before them and the wider public can have confidence</w:t>
      </w:r>
      <w:r w:rsidRPr="68C9399A" w:rsidR="5FE8769F">
        <w:rPr>
          <w:rFonts w:ascii="Calibri" w:hAnsi="Calibri" w:eastAsia="Calibri" w:cs="Calibri"/>
          <w:b w:val="0"/>
          <w:bCs w:val="0"/>
          <w:i w:val="0"/>
          <w:iCs w:val="0"/>
          <w:noProof w:val="0"/>
          <w:color w:val="000000" w:themeColor="text1" w:themeTint="FF" w:themeShade="FF"/>
          <w:sz w:val="22"/>
          <w:szCs w:val="22"/>
          <w:lang w:val="en-GB"/>
        </w:rPr>
        <w:t xml:space="preserve"> in the fact</w:t>
      </w:r>
      <w:r w:rsidRPr="68C9399A" w:rsidR="0E545185">
        <w:rPr>
          <w:rFonts w:ascii="Calibri" w:hAnsi="Calibri" w:eastAsia="Calibri" w:cs="Calibri"/>
          <w:b w:val="0"/>
          <w:bCs w:val="0"/>
          <w:i w:val="0"/>
          <w:iCs w:val="0"/>
          <w:noProof w:val="0"/>
          <w:color w:val="000000" w:themeColor="text1" w:themeTint="FF" w:themeShade="FF"/>
          <w:sz w:val="22"/>
          <w:szCs w:val="22"/>
          <w:lang w:val="en-GB"/>
        </w:rPr>
        <w:t xml:space="preserve"> that their cases will be decided fairly and in accordance with the law. When carrying out their judicial function they must be free of any improper influence. Such influence could come from any number of sources. It could arise from improper pressure by the executive or the legislature, by individual litigants, particular pressure groups, the media, self-interest or other judges, more senior judges."- </w:t>
      </w:r>
      <w:r w:rsidRPr="68C9399A" w:rsidR="0E545185">
        <w:rPr>
          <w:rFonts w:ascii="Calibri" w:hAnsi="Calibri" w:eastAsia="Calibri" w:cs="Calibri"/>
          <w:b w:val="1"/>
          <w:bCs w:val="1"/>
          <w:i w:val="0"/>
          <w:iCs w:val="0"/>
          <w:noProof w:val="0"/>
          <w:color w:val="000000" w:themeColor="text1" w:themeTint="FF" w:themeShade="FF"/>
          <w:sz w:val="22"/>
          <w:szCs w:val="22"/>
          <w:lang w:val="en-GB"/>
        </w:rPr>
        <w:t>Judiciary of England and Wales – 2012</w:t>
      </w:r>
      <w:r w:rsidRPr="68C9399A" w:rsidR="0E545185">
        <w:rPr>
          <w:rFonts w:ascii="Calibri" w:hAnsi="Calibri" w:eastAsia="Calibri" w:cs="Calibri"/>
          <w:b w:val="0"/>
          <w:bCs w:val="0"/>
          <w:i w:val="0"/>
          <w:iCs w:val="0"/>
          <w:noProof w:val="0"/>
          <w:color w:val="000000" w:themeColor="text1" w:themeTint="FF" w:themeShade="FF"/>
          <w:sz w:val="22"/>
          <w:szCs w:val="22"/>
          <w:lang w:val="en-GB"/>
        </w:rPr>
        <w:t>.</w:t>
      </w:r>
    </w:p>
    <w:p w:rsidR="73796380" w:rsidP="68C9399A" w:rsidRDefault="73796380" w14:paraId="044CF878" w14:textId="5A1ADA49">
      <w:pPr>
        <w:pStyle w:val="Normal"/>
      </w:pPr>
      <w:r w:rsidR="73796380">
        <w:rPr/>
        <w:t xml:space="preserve">One question that is asked is how the separation of powers is relevant today and </w:t>
      </w:r>
      <w:r w:rsidR="67F5EA06">
        <w:rPr/>
        <w:t xml:space="preserve">to answer this question includes talking about the Anti-terrorism legislation and the super injunctions. </w:t>
      </w:r>
      <w:r w:rsidR="6DB9126F">
        <w:rPr/>
        <w:t xml:space="preserve">The Anti- terrorism legislation was collapsing the connection between the executive and the judiciary. </w:t>
      </w:r>
      <w:r w:rsidR="5FD0A0D7">
        <w:rPr/>
        <w:t>This was done by permitting the state to terrorist suspects that had not yet been convicted of crimes</w:t>
      </w:r>
      <w:r w:rsidR="2E7A2701">
        <w:rPr/>
        <w:t xml:space="preserve"> to restrictions to their liberty</w:t>
      </w:r>
      <w:r w:rsidR="6A98C021">
        <w:rPr/>
        <w:t xml:space="preserve"> without any saying of their guilt.</w:t>
      </w:r>
      <w:r w:rsidR="338B3BD1">
        <w:rPr/>
        <w:t xml:space="preserve"> “The bill sought to authorise the Secretary of State to make control orders that would allow suspected terror</w:t>
      </w:r>
      <w:r w:rsidR="03717FAB">
        <w:rPr/>
        <w:t>ists to be placed under house arrest, and thereby derogate from the right to liberty under Article 5 of the ECHR, without prior judicial organis</w:t>
      </w:r>
      <w:r w:rsidR="10ADE8CA">
        <w:rPr/>
        <w:t>ation</w:t>
      </w:r>
      <w:r w:rsidR="51B7F93B">
        <w:rPr/>
        <w:t>”. -</w:t>
      </w:r>
      <w:r w:rsidR="10ADE8CA">
        <w:rPr/>
        <w:t xml:space="preserve"> </w:t>
      </w:r>
      <w:proofErr w:type="spellStart"/>
      <w:r w:rsidRPr="68C9399A" w:rsidR="10ADE8CA">
        <w:rPr>
          <w:b w:val="1"/>
          <w:bCs w:val="1"/>
        </w:rPr>
        <w:t>J.L.Hiebert</w:t>
      </w:r>
      <w:proofErr w:type="spellEnd"/>
      <w:r w:rsidRPr="68C9399A" w:rsidR="10ADE8CA">
        <w:rPr>
          <w:b w:val="1"/>
          <w:bCs w:val="1"/>
        </w:rPr>
        <w:t xml:space="preserve">, ‘Parliamentary review of terrorism measures’ </w:t>
      </w:r>
      <w:r w:rsidRPr="68C9399A" w:rsidR="320B9FBA">
        <w:rPr>
          <w:b w:val="1"/>
          <w:bCs w:val="1"/>
        </w:rPr>
        <w:t>(2005)</w:t>
      </w:r>
      <w:r w:rsidRPr="68C9399A" w:rsidR="4F210757">
        <w:rPr>
          <w:b w:val="1"/>
          <w:bCs w:val="1"/>
        </w:rPr>
        <w:t xml:space="preserve"> Modern Law Review 676,678-9.</w:t>
      </w:r>
    </w:p>
    <w:p w:rsidR="5BF39C10" w:rsidP="68C9399A" w:rsidRDefault="5BF39C10" w14:paraId="54E20C83" w14:textId="39674260">
      <w:pPr>
        <w:pStyle w:val="Normal"/>
        <w:rPr>
          <w:b w:val="0"/>
          <w:bCs w:val="0"/>
        </w:rPr>
      </w:pPr>
      <w:r w:rsidR="5BF39C10">
        <w:rPr>
          <w:b w:val="0"/>
          <w:bCs w:val="0"/>
        </w:rPr>
        <w:t xml:space="preserve">The question pf separation of powers </w:t>
      </w:r>
      <w:r w:rsidR="496AA96A">
        <w:rPr>
          <w:b w:val="0"/>
          <w:bCs w:val="0"/>
        </w:rPr>
        <w:t>aro</w:t>
      </w:r>
      <w:r w:rsidR="4709F635">
        <w:rPr>
          <w:b w:val="0"/>
          <w:bCs w:val="0"/>
        </w:rPr>
        <w:t xml:space="preserve">se </w:t>
      </w:r>
      <w:r w:rsidR="5BF39C10">
        <w:rPr>
          <w:b w:val="0"/>
          <w:bCs w:val="0"/>
        </w:rPr>
        <w:t>with relation to the use of the super injunctions.</w:t>
      </w:r>
      <w:r w:rsidR="5E8B6577">
        <w:rPr>
          <w:b w:val="0"/>
          <w:bCs w:val="0"/>
        </w:rPr>
        <w:t xml:space="preserve"> It was suggested that the judiciary usurped the power of Parliament by the debate of this issue in the House from using </w:t>
      </w:r>
      <w:r w:rsidR="72B8AF4E">
        <w:rPr>
          <w:b w:val="0"/>
          <w:bCs w:val="0"/>
        </w:rPr>
        <w:t>the super injunction. It was stated that Professor Zuckerman</w:t>
      </w:r>
      <w:r w:rsidR="0D12D28D">
        <w:rPr>
          <w:b w:val="0"/>
          <w:bCs w:val="0"/>
        </w:rPr>
        <w:t xml:space="preserve"> argued that “the super injunctions created a newly kind of procedure for an entire legal </w:t>
      </w:r>
      <w:r w:rsidR="5D02B3F5">
        <w:rPr>
          <w:b w:val="0"/>
          <w:bCs w:val="0"/>
        </w:rPr>
        <w:t xml:space="preserve">process... conducted out of the public view of which the very </w:t>
      </w:r>
      <w:r w:rsidR="5A651376">
        <w:rPr>
          <w:b w:val="0"/>
          <w:bCs w:val="0"/>
        </w:rPr>
        <w:t>existence</w:t>
      </w:r>
      <w:r w:rsidR="5D02B3F5">
        <w:rPr>
          <w:b w:val="0"/>
          <w:bCs w:val="0"/>
        </w:rPr>
        <w:t xml:space="preserve"> is kept </w:t>
      </w:r>
      <w:r w:rsidR="10DC2E56">
        <w:rPr>
          <w:b w:val="0"/>
          <w:bCs w:val="0"/>
        </w:rPr>
        <w:t>permanently</w:t>
      </w:r>
      <w:r w:rsidR="5D02B3F5">
        <w:rPr>
          <w:b w:val="0"/>
          <w:bCs w:val="0"/>
        </w:rPr>
        <w:t xml:space="preserve"> </w:t>
      </w:r>
      <w:r w:rsidR="65F6B77E">
        <w:rPr>
          <w:b w:val="0"/>
          <w:bCs w:val="0"/>
        </w:rPr>
        <w:t>secret</w:t>
      </w:r>
      <w:r w:rsidR="5D02B3F5">
        <w:rPr>
          <w:b w:val="0"/>
          <w:bCs w:val="0"/>
        </w:rPr>
        <w:t xml:space="preserve"> under pain of contempt</w:t>
      </w:r>
      <w:r w:rsidR="6AAE0F30">
        <w:rPr>
          <w:b w:val="0"/>
          <w:bCs w:val="0"/>
        </w:rPr>
        <w:t>”. -</w:t>
      </w:r>
      <w:r w:rsidR="7C67D8C1">
        <w:rPr>
          <w:b w:val="0"/>
          <w:bCs w:val="0"/>
        </w:rPr>
        <w:t xml:space="preserve"> </w:t>
      </w:r>
      <w:proofErr w:type="spellStart"/>
      <w:r w:rsidRPr="68C9399A" w:rsidR="7C67D8C1">
        <w:rPr>
          <w:b w:val="1"/>
          <w:bCs w:val="1"/>
        </w:rPr>
        <w:t>A.Zuckerman</w:t>
      </w:r>
      <w:proofErr w:type="spellEnd"/>
      <w:r w:rsidRPr="68C9399A" w:rsidR="7C67D8C1">
        <w:rPr>
          <w:b w:val="1"/>
          <w:bCs w:val="1"/>
        </w:rPr>
        <w:t>, ‘Super injunctions: curiosity-suppressant orders undermine the rule of law</w:t>
      </w:r>
      <w:r w:rsidRPr="68C9399A" w:rsidR="255DF210">
        <w:rPr>
          <w:b w:val="1"/>
          <w:bCs w:val="1"/>
        </w:rPr>
        <w:t>’ (2010) 29 Civil Justice Quarterly 134.</w:t>
      </w:r>
    </w:p>
    <w:p w:rsidR="5754A962" w:rsidP="68C9399A" w:rsidRDefault="5754A962" w14:paraId="6CA8FC7D" w14:textId="3E2477A2">
      <w:pPr>
        <w:pStyle w:val="Normal"/>
      </w:pPr>
      <w:r w:rsidR="5754A962">
        <w:rPr/>
        <w:t>It is important in the UK that the judiciary is independent of external pressures</w:t>
      </w:r>
      <w:r w:rsidR="13B2D014">
        <w:rPr/>
        <w:t xml:space="preserve"> so that the citizens of the UK have confidence that their case will be a fair trial and appear in accordance with the law</w:t>
      </w:r>
      <w:r w:rsidR="5E49E1E8">
        <w:rPr/>
        <w:t>. This way the public will feel safe and fe</w:t>
      </w:r>
      <w:r w:rsidR="3770212D">
        <w:rPr/>
        <w:t>el</w:t>
      </w:r>
      <w:r w:rsidR="5E49E1E8">
        <w:rPr/>
        <w:t xml:space="preserve"> as if they have been treated properly by their own judges and judiciary. </w:t>
      </w:r>
      <w:r w:rsidR="197574E5">
        <w:rPr/>
        <w:t xml:space="preserve">The citizens must be protected by the judiciary against unlawful acts. For this to happen the judiciary </w:t>
      </w:r>
      <w:r w:rsidR="2DB94241">
        <w:rPr/>
        <w:t>must</w:t>
      </w:r>
      <w:r w:rsidR="197574E5">
        <w:rPr/>
        <w:t xml:space="preserve"> be independent </w:t>
      </w:r>
      <w:r w:rsidR="2022C2F9">
        <w:rPr/>
        <w:t xml:space="preserve">from the Government. </w:t>
      </w:r>
      <w:r w:rsidR="0C188C5B">
        <w:rPr/>
        <w:t>Whether the judge is dealing with a criminal case or a civil case, the judicial independence is important</w:t>
      </w:r>
      <w:r w:rsidR="29A94676">
        <w:rPr/>
        <w:t>, as no matter what case is brought before the judges, they cannot under any circumstances be influenced by an outside source or their own opinion.</w:t>
      </w:r>
      <w:r w:rsidR="3C2D37A6">
        <w:rPr/>
        <w:t xml:space="preserve"> To protect the judicial independence there have been certain Act’s and conducts created such as the </w:t>
      </w:r>
      <w:r w:rsidR="4C490DAE">
        <w:rPr/>
        <w:t xml:space="preserve">Bangalore Principles of Judicial Conduct. This conduct stated that “judicial independence is a </w:t>
      </w:r>
      <w:r w:rsidR="23815E04">
        <w:rPr/>
        <w:t>prerequisite to the rule of law and a fundamental guarantee of a fair trial”.</w:t>
      </w:r>
    </w:p>
    <w:p w:rsidR="6ADC4ABA" w:rsidP="68C9399A" w:rsidRDefault="6ADC4ABA" w14:paraId="688476FF" w14:textId="63F1D024">
      <w:pPr>
        <w:pStyle w:val="Normal"/>
        <w:rPr>
          <w:rFonts w:ascii="Calibri" w:hAnsi="Calibri" w:eastAsia="Calibri" w:cs="Calibri"/>
          <w:b w:val="0"/>
          <w:bCs w:val="0"/>
          <w:i w:val="0"/>
          <w:iCs w:val="0"/>
          <w:noProof w:val="0"/>
          <w:color w:val="auto"/>
          <w:sz w:val="22"/>
          <w:szCs w:val="22"/>
          <w:lang w:val="en-GB"/>
        </w:rPr>
      </w:pPr>
      <w:r w:rsidRPr="68C9399A" w:rsidR="6ADC4ABA">
        <w:rPr>
          <w:rFonts w:ascii="Calibri" w:hAnsi="Calibri" w:eastAsia="Calibri" w:cs="Calibri"/>
          <w:b w:val="0"/>
          <w:bCs w:val="0"/>
          <w:i w:val="0"/>
          <w:iCs w:val="0"/>
          <w:noProof w:val="0"/>
          <w:color w:val="auto"/>
          <w:sz w:val="22"/>
          <w:szCs w:val="22"/>
          <w:lang w:val="en-GB"/>
        </w:rPr>
        <w:t>“All the rights secured to the citizens under the Constitution are worth nothing, and a mere bubble, except guaranteed to them by an independent and virtuous Judiciary”. - Andrew Jackson</w:t>
      </w:r>
    </w:p>
    <w:p w:rsidR="68C9399A" w:rsidP="68C9399A" w:rsidRDefault="68C9399A" w14:paraId="379AD8B3" w14:textId="481BC8A7">
      <w:pPr>
        <w:pStyle w:val="Normal"/>
        <w:rPr>
          <w:rFonts w:ascii="Calibri" w:hAnsi="Calibri" w:eastAsia="Calibri" w:cs="Calibri"/>
          <w:b w:val="0"/>
          <w:bCs w:val="0"/>
          <w:i w:val="0"/>
          <w:iCs w:val="0"/>
          <w:noProof w:val="0"/>
          <w:color w:val="auto"/>
          <w:sz w:val="22"/>
          <w:szCs w:val="22"/>
          <w:lang w:val="en-GB"/>
        </w:rPr>
      </w:pPr>
    </w:p>
    <w:p w:rsidR="51077B07" w:rsidP="68C9399A" w:rsidRDefault="51077B07" w14:paraId="0CB58FB6" w14:textId="47F967C9">
      <w:pPr>
        <w:pStyle w:val="Normal"/>
        <w:rPr>
          <w:rFonts w:ascii="Calibri" w:hAnsi="Calibri" w:eastAsia="Calibri" w:cs="Calibri"/>
          <w:b w:val="1"/>
          <w:bCs w:val="1"/>
          <w:i w:val="0"/>
          <w:iCs w:val="0"/>
          <w:noProof w:val="0"/>
          <w:color w:val="000000" w:themeColor="text1" w:themeTint="FF" w:themeShade="FF"/>
          <w:sz w:val="22"/>
          <w:szCs w:val="22"/>
          <w:lang w:val="en-GB"/>
        </w:rPr>
      </w:pPr>
      <w:proofErr w:type="spellStart"/>
      <w:r w:rsidRPr="68C9399A" w:rsidR="51077B07">
        <w:rPr>
          <w:rFonts w:ascii="Calibri" w:hAnsi="Calibri" w:eastAsia="Calibri" w:cs="Calibri"/>
          <w:b w:val="1"/>
          <w:bCs w:val="1"/>
          <w:i w:val="0"/>
          <w:iCs w:val="0"/>
          <w:noProof w:val="0"/>
          <w:color w:val="000000" w:themeColor="text1" w:themeTint="FF" w:themeShade="FF"/>
          <w:sz w:val="22"/>
          <w:szCs w:val="22"/>
          <w:lang w:val="en-GB"/>
        </w:rPr>
        <w:t>Britpolitics</w:t>
      </w:r>
      <w:proofErr w:type="spellEnd"/>
      <w:r w:rsidRPr="68C9399A" w:rsidR="51077B07">
        <w:rPr>
          <w:rFonts w:ascii="Calibri" w:hAnsi="Calibri" w:eastAsia="Calibri" w:cs="Calibri"/>
          <w:b w:val="1"/>
          <w:bCs w:val="1"/>
          <w:i w:val="0"/>
          <w:iCs w:val="0"/>
          <w:noProof w:val="0"/>
          <w:color w:val="000000" w:themeColor="text1" w:themeTint="FF" w:themeShade="FF"/>
          <w:sz w:val="22"/>
          <w:szCs w:val="22"/>
          <w:lang w:val="en-GB"/>
        </w:rPr>
        <w:t xml:space="preserve">. 2020. </w:t>
      </w:r>
      <w:r w:rsidRPr="68C9399A" w:rsidR="51077B07">
        <w:rPr>
          <w:rFonts w:ascii="Calibri" w:hAnsi="Calibri" w:eastAsia="Calibri" w:cs="Calibri"/>
          <w:b w:val="1"/>
          <w:bCs w:val="1"/>
          <w:i w:val="1"/>
          <w:iCs w:val="1"/>
          <w:noProof w:val="0"/>
          <w:color w:val="000000" w:themeColor="text1" w:themeTint="FF" w:themeShade="FF"/>
          <w:sz w:val="22"/>
          <w:szCs w:val="22"/>
          <w:lang w:val="en-GB"/>
        </w:rPr>
        <w:t xml:space="preserve">Does The UK Constitution Contain Separation Of Powers And Rule Of Law? - </w:t>
      </w:r>
      <w:proofErr w:type="spellStart"/>
      <w:r w:rsidRPr="68C9399A" w:rsidR="51077B07">
        <w:rPr>
          <w:rFonts w:ascii="Calibri" w:hAnsi="Calibri" w:eastAsia="Calibri" w:cs="Calibri"/>
          <w:b w:val="1"/>
          <w:bCs w:val="1"/>
          <w:i w:val="1"/>
          <w:iCs w:val="1"/>
          <w:noProof w:val="0"/>
          <w:color w:val="000000" w:themeColor="text1" w:themeTint="FF" w:themeShade="FF"/>
          <w:sz w:val="22"/>
          <w:szCs w:val="22"/>
          <w:lang w:val="en-GB"/>
        </w:rPr>
        <w:t>Britpolitics</w:t>
      </w:r>
      <w:proofErr w:type="spellEnd"/>
      <w:r w:rsidRPr="68C9399A" w:rsidR="51077B07">
        <w:rPr>
          <w:rFonts w:ascii="Calibri" w:hAnsi="Calibri" w:eastAsia="Calibri" w:cs="Calibri"/>
          <w:b w:val="1"/>
          <w:bCs w:val="1"/>
          <w:i w:val="0"/>
          <w:iCs w:val="0"/>
          <w:noProof w:val="0"/>
          <w:color w:val="000000" w:themeColor="text1" w:themeTint="FF" w:themeShade="FF"/>
          <w:sz w:val="22"/>
          <w:szCs w:val="22"/>
          <w:lang w:val="en-GB"/>
        </w:rPr>
        <w:t>. [online] Available at: &lt;https://www.britpolitics.co.</w:t>
      </w:r>
      <w:r w:rsidRPr="68C9399A" w:rsidR="51077B07">
        <w:rPr>
          <w:rFonts w:ascii="Calibri" w:hAnsi="Calibri" w:eastAsia="Calibri" w:cs="Calibri"/>
          <w:b w:val="1"/>
          <w:bCs w:val="1"/>
          <w:i w:val="0"/>
          <w:iCs w:val="0"/>
          <w:noProof w:val="0"/>
          <w:color w:val="000000" w:themeColor="text1" w:themeTint="FF" w:themeShade="FF"/>
          <w:sz w:val="22"/>
          <w:szCs w:val="22"/>
          <w:lang w:val="en-GB"/>
        </w:rPr>
        <w:t>uk</w:t>
      </w:r>
      <w:r w:rsidRPr="68C9399A" w:rsidR="51077B07">
        <w:rPr>
          <w:rFonts w:ascii="Calibri" w:hAnsi="Calibri" w:eastAsia="Calibri" w:cs="Calibri"/>
          <w:b w:val="1"/>
          <w:bCs w:val="1"/>
          <w:i w:val="0"/>
          <w:iCs w:val="0"/>
          <w:noProof w:val="0"/>
          <w:color w:val="000000" w:themeColor="text1" w:themeTint="FF" w:themeShade="FF"/>
          <w:sz w:val="22"/>
          <w:szCs w:val="22"/>
          <w:lang w:val="en-GB"/>
        </w:rPr>
        <w:t>/constitution-separation-of-powers-a-level-</w:t>
      </w:r>
      <w:r w:rsidRPr="68C9399A" w:rsidR="51077B07">
        <w:rPr>
          <w:rFonts w:ascii="Calibri" w:hAnsi="Calibri" w:eastAsia="Calibri" w:cs="Calibri"/>
          <w:b w:val="1"/>
          <w:bCs w:val="1"/>
          <w:i w:val="0"/>
          <w:iCs w:val="0"/>
          <w:noProof w:val="0"/>
          <w:color w:val="000000" w:themeColor="text1" w:themeTint="FF" w:themeShade="FF"/>
          <w:sz w:val="22"/>
          <w:szCs w:val="22"/>
          <w:lang w:val="en-GB"/>
        </w:rPr>
        <w:t>uk</w:t>
      </w:r>
      <w:r w:rsidRPr="68C9399A" w:rsidR="51077B07">
        <w:rPr>
          <w:rFonts w:ascii="Calibri" w:hAnsi="Calibri" w:eastAsia="Calibri" w:cs="Calibri"/>
          <w:b w:val="1"/>
          <w:bCs w:val="1"/>
          <w:i w:val="0"/>
          <w:iCs w:val="0"/>
          <w:noProof w:val="0"/>
          <w:color w:val="000000" w:themeColor="text1" w:themeTint="FF" w:themeShade="FF"/>
          <w:sz w:val="22"/>
          <w:szCs w:val="22"/>
          <w:lang w:val="en-GB"/>
        </w:rPr>
        <w:t xml:space="preserve">-politics/&gt; [Accessed 30 </w:t>
      </w:r>
      <w:r w:rsidRPr="68C9399A" w:rsidR="05A964CE">
        <w:rPr>
          <w:rFonts w:ascii="Calibri" w:hAnsi="Calibri" w:eastAsia="Calibri" w:cs="Calibri"/>
          <w:b w:val="1"/>
          <w:bCs w:val="1"/>
          <w:i w:val="0"/>
          <w:iCs w:val="0"/>
          <w:noProof w:val="0"/>
          <w:color w:val="000000" w:themeColor="text1" w:themeTint="FF" w:themeShade="FF"/>
          <w:sz w:val="22"/>
          <w:szCs w:val="22"/>
          <w:lang w:val="en-GB"/>
        </w:rPr>
        <w:t xml:space="preserve">October </w:t>
      </w:r>
      <w:r w:rsidRPr="68C9399A" w:rsidR="51077B07">
        <w:rPr>
          <w:rFonts w:ascii="Calibri" w:hAnsi="Calibri" w:eastAsia="Calibri" w:cs="Calibri"/>
          <w:b w:val="1"/>
          <w:bCs w:val="1"/>
          <w:i w:val="0"/>
          <w:iCs w:val="0"/>
          <w:noProof w:val="0"/>
          <w:color w:val="000000" w:themeColor="text1" w:themeTint="FF" w:themeShade="FF"/>
          <w:sz w:val="22"/>
          <w:szCs w:val="22"/>
          <w:lang w:val="en-GB"/>
        </w:rPr>
        <w:t>2020].</w:t>
      </w:r>
    </w:p>
    <w:p w:rsidR="724C8161" w:rsidP="68C9399A" w:rsidRDefault="724C8161" w14:paraId="082C3FFA" w14:textId="02ACC34E">
      <w:pPr>
        <w:pStyle w:val="Normal"/>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pPr>
      <w:r w:rsidRPr="68C9399A" w:rsidR="724C816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 xml:space="preserve">The Lawyers &amp; Jurists. 2020. </w:t>
      </w:r>
      <w:r w:rsidRPr="68C9399A" w:rsidR="724C8161">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SEPARATION OF POWER AND UK CONSTITUTION - The Lawyers &amp; Jurists</w:t>
      </w:r>
      <w:r w:rsidRPr="68C9399A" w:rsidR="724C816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 [online] Available at: &lt;https://www.lawyersnjurists.com/article/separation-of-power-and-</w:t>
      </w:r>
      <w:r w:rsidRPr="68C9399A" w:rsidR="724C816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uk</w:t>
      </w:r>
      <w:r w:rsidRPr="68C9399A" w:rsidR="724C816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-constitution/&gt; [Accessed 29 October 2020].</w:t>
      </w:r>
    </w:p>
    <w:p w:rsidR="3B9E73D2" w:rsidP="68C9399A" w:rsidRDefault="3B9E73D2" w14:paraId="23DC9D49" w14:textId="0614EBAD">
      <w:pPr>
        <w:pStyle w:val="Normal"/>
        <w:rPr>
          <w:rFonts w:ascii="Calibri" w:hAnsi="Calibri" w:eastAsia="Calibri" w:cs="Calibri"/>
          <w:b w:val="1"/>
          <w:bCs w:val="1"/>
          <w:i w:val="0"/>
          <w:iCs w:val="0"/>
          <w:noProof w:val="0"/>
          <w:color w:val="000000" w:themeColor="text1" w:themeTint="FF" w:themeShade="FF"/>
          <w:sz w:val="22"/>
          <w:szCs w:val="22"/>
          <w:lang w:val="en-GB"/>
        </w:rPr>
      </w:pPr>
      <w:r w:rsidRPr="68C9399A" w:rsidR="3B9E73D2">
        <w:rPr>
          <w:rFonts w:ascii="Calibri" w:hAnsi="Calibri" w:eastAsia="Calibri" w:cs="Calibri"/>
          <w:b w:val="1"/>
          <w:bCs w:val="1"/>
          <w:i w:val="0"/>
          <w:iCs w:val="0"/>
          <w:noProof w:val="0"/>
          <w:color w:val="000000" w:themeColor="text1" w:themeTint="FF" w:themeShade="FF"/>
          <w:sz w:val="22"/>
          <w:szCs w:val="22"/>
          <w:lang w:val="en-GB"/>
        </w:rPr>
        <w:t xml:space="preserve">2007. </w:t>
      </w:r>
      <w:r w:rsidRPr="68C9399A" w:rsidR="3B9E73D2">
        <w:rPr>
          <w:rFonts w:ascii="Calibri" w:hAnsi="Calibri" w:eastAsia="Calibri" w:cs="Calibri"/>
          <w:b w:val="1"/>
          <w:bCs w:val="1"/>
          <w:i w:val="1"/>
          <w:iCs w:val="1"/>
          <w:noProof w:val="0"/>
          <w:color w:val="000000" w:themeColor="text1" w:themeTint="FF" w:themeShade="FF"/>
          <w:sz w:val="22"/>
          <w:szCs w:val="22"/>
          <w:lang w:val="en-GB"/>
        </w:rPr>
        <w:t xml:space="preserve">Relations Between </w:t>
      </w:r>
      <w:proofErr w:type="gramStart"/>
      <w:r w:rsidRPr="68C9399A" w:rsidR="3B9E73D2">
        <w:rPr>
          <w:rFonts w:ascii="Calibri" w:hAnsi="Calibri" w:eastAsia="Calibri" w:cs="Calibri"/>
          <w:b w:val="1"/>
          <w:bCs w:val="1"/>
          <w:i w:val="1"/>
          <w:iCs w:val="1"/>
          <w:noProof w:val="0"/>
          <w:color w:val="000000" w:themeColor="text1" w:themeTint="FF" w:themeShade="FF"/>
          <w:sz w:val="22"/>
          <w:szCs w:val="22"/>
          <w:lang w:val="en-GB"/>
        </w:rPr>
        <w:t>The</w:t>
      </w:r>
      <w:proofErr w:type="gramEnd"/>
      <w:r w:rsidRPr="68C9399A" w:rsidR="3B9E73D2">
        <w:rPr>
          <w:rFonts w:ascii="Calibri" w:hAnsi="Calibri" w:eastAsia="Calibri" w:cs="Calibri"/>
          <w:b w:val="1"/>
          <w:bCs w:val="1"/>
          <w:i w:val="1"/>
          <w:iCs w:val="1"/>
          <w:noProof w:val="0"/>
          <w:color w:val="000000" w:themeColor="text1" w:themeTint="FF" w:themeShade="FF"/>
          <w:sz w:val="22"/>
          <w:szCs w:val="22"/>
          <w:lang w:val="en-GB"/>
        </w:rPr>
        <w:t xml:space="preserve"> Executive, The Judiciary </w:t>
      </w:r>
      <w:proofErr w:type="gramStart"/>
      <w:r w:rsidRPr="68C9399A" w:rsidR="3B9E73D2">
        <w:rPr>
          <w:rFonts w:ascii="Calibri" w:hAnsi="Calibri" w:eastAsia="Calibri" w:cs="Calibri"/>
          <w:b w:val="1"/>
          <w:bCs w:val="1"/>
          <w:i w:val="1"/>
          <w:iCs w:val="1"/>
          <w:noProof w:val="0"/>
          <w:color w:val="000000" w:themeColor="text1" w:themeTint="FF" w:themeShade="FF"/>
          <w:sz w:val="22"/>
          <w:szCs w:val="22"/>
          <w:lang w:val="en-GB"/>
        </w:rPr>
        <w:t>And</w:t>
      </w:r>
      <w:proofErr w:type="gramEnd"/>
      <w:r w:rsidRPr="68C9399A" w:rsidR="3B9E73D2">
        <w:rPr>
          <w:rFonts w:ascii="Calibri" w:hAnsi="Calibri" w:eastAsia="Calibri" w:cs="Calibri"/>
          <w:b w:val="1"/>
          <w:bCs w:val="1"/>
          <w:i w:val="1"/>
          <w:iCs w:val="1"/>
          <w:noProof w:val="0"/>
          <w:color w:val="000000" w:themeColor="text1" w:themeTint="FF" w:themeShade="FF"/>
          <w:sz w:val="22"/>
          <w:szCs w:val="22"/>
          <w:lang w:val="en-GB"/>
        </w:rPr>
        <w:t xml:space="preserve"> Parliament</w:t>
      </w:r>
      <w:r w:rsidRPr="68C9399A" w:rsidR="3B9E73D2">
        <w:rPr>
          <w:rFonts w:ascii="Calibri" w:hAnsi="Calibri" w:eastAsia="Calibri" w:cs="Calibri"/>
          <w:b w:val="1"/>
          <w:bCs w:val="1"/>
          <w:i w:val="0"/>
          <w:iCs w:val="0"/>
          <w:noProof w:val="0"/>
          <w:color w:val="000000" w:themeColor="text1" w:themeTint="FF" w:themeShade="FF"/>
          <w:sz w:val="22"/>
          <w:szCs w:val="22"/>
          <w:lang w:val="en-GB"/>
        </w:rPr>
        <w:t>. [pdf] London: Authority of the House of Lords, p.127. Available at: &lt;https://publications.parliament.uk/pa/ld200607/ldselect/ldconst/151/151.pdf&gt; [Accessed 31 October 2020].</w:t>
      </w:r>
    </w:p>
    <w:p w:rsidR="787F2E34" w:rsidP="68C9399A" w:rsidRDefault="787F2E34" w14:paraId="3A172EAF" w14:textId="4CD68739">
      <w:pPr>
        <w:pStyle w:val="Normal"/>
        <w:rPr>
          <w:rFonts w:ascii="Calibri" w:hAnsi="Calibri" w:eastAsia="Calibri" w:cs="Calibri"/>
          <w:b w:val="1"/>
          <w:bCs w:val="1"/>
          <w:i w:val="0"/>
          <w:iCs w:val="0"/>
          <w:noProof w:val="0"/>
          <w:color w:val="000000" w:themeColor="text1" w:themeTint="FF" w:themeShade="FF"/>
          <w:sz w:val="22"/>
          <w:szCs w:val="22"/>
          <w:lang w:val="en-GB"/>
        </w:rPr>
      </w:pPr>
      <w:r w:rsidRPr="68C9399A" w:rsidR="787F2E34">
        <w:rPr>
          <w:rFonts w:ascii="Calibri" w:hAnsi="Calibri" w:eastAsia="Calibri" w:cs="Calibri"/>
          <w:b w:val="1"/>
          <w:bCs w:val="1"/>
          <w:i w:val="0"/>
          <w:iCs w:val="0"/>
          <w:noProof w:val="0"/>
          <w:color w:val="000000" w:themeColor="text1" w:themeTint="FF" w:themeShade="FF"/>
          <w:sz w:val="22"/>
          <w:szCs w:val="22"/>
          <w:lang w:val="en-GB"/>
        </w:rPr>
        <w:t xml:space="preserve">PreserveArticles.com: Preserving Your Articles for Eternity. 2020. </w:t>
      </w:r>
      <w:r w:rsidRPr="68C9399A" w:rsidR="787F2E34">
        <w:rPr>
          <w:rFonts w:ascii="Calibri" w:hAnsi="Calibri" w:eastAsia="Calibri" w:cs="Calibri"/>
          <w:b w:val="1"/>
          <w:bCs w:val="1"/>
          <w:i w:val="1"/>
          <w:iCs w:val="1"/>
          <w:noProof w:val="0"/>
          <w:color w:val="000000" w:themeColor="text1" w:themeTint="FF" w:themeShade="FF"/>
          <w:sz w:val="22"/>
          <w:szCs w:val="22"/>
          <w:lang w:val="en-GB"/>
        </w:rPr>
        <w:t xml:space="preserve">What Is </w:t>
      </w:r>
      <w:proofErr w:type="gramStart"/>
      <w:r w:rsidRPr="68C9399A" w:rsidR="787F2E34">
        <w:rPr>
          <w:rFonts w:ascii="Calibri" w:hAnsi="Calibri" w:eastAsia="Calibri" w:cs="Calibri"/>
          <w:b w:val="1"/>
          <w:bCs w:val="1"/>
          <w:i w:val="1"/>
          <w:iCs w:val="1"/>
          <w:noProof w:val="0"/>
          <w:color w:val="000000" w:themeColor="text1" w:themeTint="FF" w:themeShade="FF"/>
          <w:sz w:val="22"/>
          <w:szCs w:val="22"/>
          <w:lang w:val="en-GB"/>
        </w:rPr>
        <w:t>The</w:t>
      </w:r>
      <w:proofErr w:type="gramEnd"/>
      <w:r w:rsidRPr="68C9399A" w:rsidR="787F2E34">
        <w:rPr>
          <w:rFonts w:ascii="Calibri" w:hAnsi="Calibri" w:eastAsia="Calibri" w:cs="Calibri"/>
          <w:b w:val="1"/>
          <w:bCs w:val="1"/>
          <w:i w:val="1"/>
          <w:iCs w:val="1"/>
          <w:noProof w:val="0"/>
          <w:color w:val="000000" w:themeColor="text1" w:themeTint="FF" w:themeShade="FF"/>
          <w:sz w:val="22"/>
          <w:szCs w:val="22"/>
          <w:lang w:val="en-GB"/>
        </w:rPr>
        <w:t xml:space="preserve"> Relationship Between </w:t>
      </w:r>
      <w:proofErr w:type="gramStart"/>
      <w:r w:rsidRPr="68C9399A" w:rsidR="787F2E34">
        <w:rPr>
          <w:rFonts w:ascii="Calibri" w:hAnsi="Calibri" w:eastAsia="Calibri" w:cs="Calibri"/>
          <w:b w:val="1"/>
          <w:bCs w:val="1"/>
          <w:i w:val="1"/>
          <w:iCs w:val="1"/>
          <w:noProof w:val="0"/>
          <w:color w:val="000000" w:themeColor="text1" w:themeTint="FF" w:themeShade="FF"/>
          <w:sz w:val="22"/>
          <w:szCs w:val="22"/>
          <w:lang w:val="en-GB"/>
        </w:rPr>
        <w:t>The</w:t>
      </w:r>
      <w:proofErr w:type="gramEnd"/>
      <w:r w:rsidRPr="68C9399A" w:rsidR="787F2E34">
        <w:rPr>
          <w:rFonts w:ascii="Calibri" w:hAnsi="Calibri" w:eastAsia="Calibri" w:cs="Calibri"/>
          <w:b w:val="1"/>
          <w:bCs w:val="1"/>
          <w:i w:val="1"/>
          <w:iCs w:val="1"/>
          <w:noProof w:val="0"/>
          <w:color w:val="000000" w:themeColor="text1" w:themeTint="FF" w:themeShade="FF"/>
          <w:sz w:val="22"/>
          <w:szCs w:val="22"/>
          <w:lang w:val="en-GB"/>
        </w:rPr>
        <w:t xml:space="preserve"> Legislature </w:t>
      </w:r>
      <w:proofErr w:type="gramStart"/>
      <w:r w:rsidRPr="68C9399A" w:rsidR="787F2E34">
        <w:rPr>
          <w:rFonts w:ascii="Calibri" w:hAnsi="Calibri" w:eastAsia="Calibri" w:cs="Calibri"/>
          <w:b w:val="1"/>
          <w:bCs w:val="1"/>
          <w:i w:val="1"/>
          <w:iCs w:val="1"/>
          <w:noProof w:val="0"/>
          <w:color w:val="000000" w:themeColor="text1" w:themeTint="FF" w:themeShade="FF"/>
          <w:sz w:val="22"/>
          <w:szCs w:val="22"/>
          <w:lang w:val="en-GB"/>
        </w:rPr>
        <w:t>And</w:t>
      </w:r>
      <w:proofErr w:type="gramEnd"/>
      <w:r w:rsidRPr="68C9399A" w:rsidR="787F2E34">
        <w:rPr>
          <w:rFonts w:ascii="Calibri" w:hAnsi="Calibri" w:eastAsia="Calibri" w:cs="Calibri"/>
          <w:b w:val="1"/>
          <w:bCs w:val="1"/>
          <w:i w:val="1"/>
          <w:iCs w:val="1"/>
          <w:noProof w:val="0"/>
          <w:color w:val="000000" w:themeColor="text1" w:themeTint="FF" w:themeShade="FF"/>
          <w:sz w:val="22"/>
          <w:szCs w:val="22"/>
          <w:lang w:val="en-GB"/>
        </w:rPr>
        <w:t xml:space="preserve"> </w:t>
      </w:r>
      <w:proofErr w:type="gramStart"/>
      <w:r w:rsidRPr="68C9399A" w:rsidR="787F2E34">
        <w:rPr>
          <w:rFonts w:ascii="Calibri" w:hAnsi="Calibri" w:eastAsia="Calibri" w:cs="Calibri"/>
          <w:b w:val="1"/>
          <w:bCs w:val="1"/>
          <w:i w:val="1"/>
          <w:iCs w:val="1"/>
          <w:noProof w:val="0"/>
          <w:color w:val="000000" w:themeColor="text1" w:themeTint="FF" w:themeShade="FF"/>
          <w:sz w:val="22"/>
          <w:szCs w:val="22"/>
          <w:lang w:val="en-GB"/>
        </w:rPr>
        <w:t>The</w:t>
      </w:r>
      <w:proofErr w:type="gramEnd"/>
      <w:r w:rsidRPr="68C9399A" w:rsidR="787F2E34">
        <w:rPr>
          <w:rFonts w:ascii="Calibri" w:hAnsi="Calibri" w:eastAsia="Calibri" w:cs="Calibri"/>
          <w:b w:val="1"/>
          <w:bCs w:val="1"/>
          <w:i w:val="1"/>
          <w:iCs w:val="1"/>
          <w:noProof w:val="0"/>
          <w:color w:val="000000" w:themeColor="text1" w:themeTint="FF" w:themeShade="FF"/>
          <w:sz w:val="22"/>
          <w:szCs w:val="22"/>
          <w:lang w:val="en-GB"/>
        </w:rPr>
        <w:t xml:space="preserve"> </w:t>
      </w:r>
      <w:proofErr w:type="gramStart"/>
      <w:r w:rsidRPr="68C9399A" w:rsidR="787F2E34">
        <w:rPr>
          <w:rFonts w:ascii="Calibri" w:hAnsi="Calibri" w:eastAsia="Calibri" w:cs="Calibri"/>
          <w:b w:val="1"/>
          <w:bCs w:val="1"/>
          <w:i w:val="1"/>
          <w:iCs w:val="1"/>
          <w:noProof w:val="0"/>
          <w:color w:val="000000" w:themeColor="text1" w:themeTint="FF" w:themeShade="FF"/>
          <w:sz w:val="22"/>
          <w:szCs w:val="22"/>
          <w:lang w:val="en-GB"/>
        </w:rPr>
        <w:t>Judiciary?</w:t>
      </w:r>
      <w:r w:rsidRPr="68C9399A" w:rsidR="787F2E34">
        <w:rPr>
          <w:rFonts w:ascii="Calibri" w:hAnsi="Calibri" w:eastAsia="Calibri" w:cs="Calibri"/>
          <w:b w:val="1"/>
          <w:bCs w:val="1"/>
          <w:i w:val="0"/>
          <w:iCs w:val="0"/>
          <w:noProof w:val="0"/>
          <w:color w:val="000000" w:themeColor="text1" w:themeTint="FF" w:themeShade="FF"/>
          <w:sz w:val="22"/>
          <w:szCs w:val="22"/>
          <w:lang w:val="en-GB"/>
        </w:rPr>
        <w:t>.</w:t>
      </w:r>
      <w:proofErr w:type="gramEnd"/>
      <w:r w:rsidRPr="68C9399A" w:rsidR="787F2E34">
        <w:rPr>
          <w:rFonts w:ascii="Calibri" w:hAnsi="Calibri" w:eastAsia="Calibri" w:cs="Calibri"/>
          <w:b w:val="1"/>
          <w:bCs w:val="1"/>
          <w:i w:val="0"/>
          <w:iCs w:val="0"/>
          <w:noProof w:val="0"/>
          <w:color w:val="000000" w:themeColor="text1" w:themeTint="FF" w:themeShade="FF"/>
          <w:sz w:val="22"/>
          <w:szCs w:val="22"/>
          <w:lang w:val="en-GB"/>
        </w:rPr>
        <w:t xml:space="preserve"> [online] Available at: &lt;https://www.preservearticles.com/political-science/what-is-the-relationship-between-the-legislature-and-the-judiciary/12431&gt; [Accessed 26 October 2020].</w:t>
      </w:r>
    </w:p>
    <w:p w:rsidR="53A03619" w:rsidP="68C9399A" w:rsidRDefault="53A03619" w14:paraId="2401122D" w14:textId="109027FC">
      <w:pPr>
        <w:pStyle w:val="Normal"/>
        <w:rPr>
          <w:rFonts w:ascii="Calibri" w:hAnsi="Calibri" w:eastAsia="Calibri" w:cs="Calibri"/>
          <w:b w:val="1"/>
          <w:bCs w:val="1"/>
          <w:i w:val="0"/>
          <w:iCs w:val="0"/>
          <w:noProof w:val="0"/>
          <w:color w:val="000000" w:themeColor="text1" w:themeTint="FF" w:themeShade="FF"/>
          <w:sz w:val="22"/>
          <w:szCs w:val="22"/>
          <w:lang w:val="en-GB"/>
        </w:rPr>
      </w:pPr>
      <w:r w:rsidRPr="68C9399A" w:rsidR="53A03619">
        <w:rPr>
          <w:rFonts w:ascii="Calibri" w:hAnsi="Calibri" w:eastAsia="Calibri" w:cs="Calibri"/>
          <w:b w:val="1"/>
          <w:bCs w:val="1"/>
          <w:i w:val="0"/>
          <w:iCs w:val="0"/>
          <w:noProof w:val="0"/>
          <w:color w:val="000000" w:themeColor="text1" w:themeTint="FF" w:themeShade="FF"/>
          <w:sz w:val="22"/>
          <w:szCs w:val="22"/>
          <w:lang w:val="en-GB"/>
        </w:rPr>
        <w:t xml:space="preserve">Publications.parliament.uk. 2020. </w:t>
      </w:r>
      <w:r w:rsidRPr="68C9399A" w:rsidR="53A03619">
        <w:rPr>
          <w:rFonts w:ascii="Calibri" w:hAnsi="Calibri" w:eastAsia="Calibri" w:cs="Calibri"/>
          <w:b w:val="1"/>
          <w:bCs w:val="1"/>
          <w:i w:val="1"/>
          <w:iCs w:val="1"/>
          <w:noProof w:val="0"/>
          <w:color w:val="000000" w:themeColor="text1" w:themeTint="FF" w:themeShade="FF"/>
          <w:sz w:val="22"/>
          <w:szCs w:val="22"/>
          <w:lang w:val="en-GB"/>
        </w:rPr>
        <w:t xml:space="preserve">House </w:t>
      </w:r>
      <w:proofErr w:type="gramStart"/>
      <w:r w:rsidRPr="68C9399A" w:rsidR="53A03619">
        <w:rPr>
          <w:rFonts w:ascii="Calibri" w:hAnsi="Calibri" w:eastAsia="Calibri" w:cs="Calibri"/>
          <w:b w:val="1"/>
          <w:bCs w:val="1"/>
          <w:i w:val="1"/>
          <w:iCs w:val="1"/>
          <w:noProof w:val="0"/>
          <w:color w:val="000000" w:themeColor="text1" w:themeTint="FF" w:themeShade="FF"/>
          <w:sz w:val="22"/>
          <w:szCs w:val="22"/>
          <w:lang w:val="en-GB"/>
        </w:rPr>
        <w:t>Of</w:t>
      </w:r>
      <w:proofErr w:type="gramEnd"/>
      <w:r w:rsidRPr="68C9399A" w:rsidR="53A03619">
        <w:rPr>
          <w:rFonts w:ascii="Calibri" w:hAnsi="Calibri" w:eastAsia="Calibri" w:cs="Calibri"/>
          <w:b w:val="1"/>
          <w:bCs w:val="1"/>
          <w:i w:val="1"/>
          <w:iCs w:val="1"/>
          <w:noProof w:val="0"/>
          <w:color w:val="000000" w:themeColor="text1" w:themeTint="FF" w:themeShade="FF"/>
          <w:sz w:val="22"/>
          <w:szCs w:val="22"/>
          <w:lang w:val="en-GB"/>
        </w:rPr>
        <w:t xml:space="preserve"> Lords - Judicial Appointments - Constitution Committee</w:t>
      </w:r>
      <w:r w:rsidRPr="68C9399A" w:rsidR="53A03619">
        <w:rPr>
          <w:rFonts w:ascii="Calibri" w:hAnsi="Calibri" w:eastAsia="Calibri" w:cs="Calibri"/>
          <w:b w:val="1"/>
          <w:bCs w:val="1"/>
          <w:i w:val="0"/>
          <w:iCs w:val="0"/>
          <w:noProof w:val="0"/>
          <w:color w:val="000000" w:themeColor="text1" w:themeTint="FF" w:themeShade="FF"/>
          <w:sz w:val="22"/>
          <w:szCs w:val="22"/>
          <w:lang w:val="en-GB"/>
        </w:rPr>
        <w:t>. [online] Available at: &lt;https://publications.parliament.uk/pa/ld201012/ldselect/ldconst/272/27204.htm#:~:text=The%20framework%20for%20the%20judicial%20appointments%20process%20for,a%20single%20candidate%20for%20each%20vacancy%20that%20arises.&gt; [Accessed 17 October 2020].</w:t>
      </w:r>
    </w:p>
    <w:p w:rsidR="2A074DEC" w:rsidP="68C9399A" w:rsidRDefault="2A074DEC" w14:paraId="5614F766" w14:textId="035C2CD6">
      <w:pPr>
        <w:pStyle w:val="Normal"/>
        <w:rPr>
          <w:rFonts w:ascii="Calibri" w:hAnsi="Calibri" w:eastAsia="Calibri" w:cs="Calibri"/>
          <w:b w:val="1"/>
          <w:bCs w:val="1"/>
          <w:i w:val="0"/>
          <w:iCs w:val="0"/>
          <w:noProof w:val="0"/>
          <w:color w:val="000000" w:themeColor="text1" w:themeTint="FF" w:themeShade="FF"/>
          <w:sz w:val="22"/>
          <w:szCs w:val="22"/>
          <w:lang w:val="en-GB"/>
        </w:rPr>
      </w:pPr>
      <w:r w:rsidRPr="68C9399A" w:rsidR="2A074DEC">
        <w:rPr>
          <w:rFonts w:ascii="Calibri" w:hAnsi="Calibri" w:eastAsia="Calibri" w:cs="Calibri"/>
          <w:b w:val="1"/>
          <w:bCs w:val="1"/>
          <w:i w:val="0"/>
          <w:iCs w:val="0"/>
          <w:noProof w:val="0"/>
          <w:color w:val="000000" w:themeColor="text1" w:themeTint="FF" w:themeShade="FF"/>
          <w:sz w:val="22"/>
          <w:szCs w:val="22"/>
          <w:lang w:val="en-GB"/>
        </w:rPr>
        <w:t xml:space="preserve">2012. </w:t>
      </w:r>
      <w:r w:rsidRPr="68C9399A" w:rsidR="2A074DEC">
        <w:rPr>
          <w:rFonts w:ascii="Calibri" w:hAnsi="Calibri" w:eastAsia="Calibri" w:cs="Calibri"/>
          <w:b w:val="1"/>
          <w:bCs w:val="1"/>
          <w:i w:val="1"/>
          <w:iCs w:val="1"/>
          <w:noProof w:val="0"/>
          <w:color w:val="000000" w:themeColor="text1" w:themeTint="FF" w:themeShade="FF"/>
          <w:sz w:val="22"/>
          <w:szCs w:val="22"/>
          <w:lang w:val="en-GB"/>
        </w:rPr>
        <w:t>Tony Nicklinson V Ministry Of Justice</w:t>
      </w:r>
      <w:r w:rsidRPr="68C9399A" w:rsidR="2A074DEC">
        <w:rPr>
          <w:rFonts w:ascii="Calibri" w:hAnsi="Calibri" w:eastAsia="Calibri" w:cs="Calibri"/>
          <w:b w:val="1"/>
          <w:bCs w:val="1"/>
          <w:i w:val="0"/>
          <w:iCs w:val="0"/>
          <w:noProof w:val="0"/>
          <w:color w:val="000000" w:themeColor="text1" w:themeTint="FF" w:themeShade="FF"/>
          <w:sz w:val="22"/>
          <w:szCs w:val="22"/>
          <w:lang w:val="en-GB"/>
        </w:rPr>
        <w:t>. [pdf] High Court, p.4. Available at: &lt;https://www.judiciary.uk/wp-content/uploads/JCO/Documents/Judgments/nicklinson-summary-16082012.pdf&gt; [Accessed 1 November 2020].</w:t>
      </w:r>
    </w:p>
    <w:p w:rsidR="37037DD6" w:rsidP="68C9399A" w:rsidRDefault="37037DD6" w14:paraId="3595DECD" w14:textId="140D49F5">
      <w:pPr>
        <w:pStyle w:val="Normal"/>
        <w:rPr>
          <w:rFonts w:ascii="Calibri" w:hAnsi="Calibri" w:eastAsia="Calibri" w:cs="Calibri"/>
          <w:b w:val="1"/>
          <w:bCs w:val="1"/>
          <w:i w:val="0"/>
          <w:iCs w:val="0"/>
          <w:noProof w:val="0"/>
          <w:color w:val="000000" w:themeColor="text1" w:themeTint="FF" w:themeShade="FF"/>
          <w:sz w:val="22"/>
          <w:szCs w:val="22"/>
          <w:lang w:val="en-GB"/>
        </w:rPr>
      </w:pPr>
      <w:r w:rsidRPr="68C9399A" w:rsidR="37037DD6">
        <w:rPr>
          <w:rFonts w:ascii="Calibri" w:hAnsi="Calibri" w:eastAsia="Calibri" w:cs="Calibri"/>
          <w:b w:val="1"/>
          <w:bCs w:val="1"/>
          <w:i w:val="0"/>
          <w:iCs w:val="0"/>
          <w:noProof w:val="0"/>
          <w:color w:val="000000" w:themeColor="text1" w:themeTint="FF" w:themeShade="FF"/>
          <w:sz w:val="22"/>
          <w:szCs w:val="22"/>
          <w:lang w:val="en-GB"/>
        </w:rPr>
        <w:t xml:space="preserve">Benwell, R., 2011. </w:t>
      </w:r>
      <w:r w:rsidRPr="68C9399A" w:rsidR="37037DD6">
        <w:rPr>
          <w:rFonts w:ascii="Calibri" w:hAnsi="Calibri" w:eastAsia="Calibri" w:cs="Calibri"/>
          <w:b w:val="1"/>
          <w:bCs w:val="1"/>
          <w:i w:val="1"/>
          <w:iCs w:val="1"/>
          <w:noProof w:val="0"/>
          <w:color w:val="000000" w:themeColor="text1" w:themeTint="FF" w:themeShade="FF"/>
          <w:sz w:val="22"/>
          <w:szCs w:val="22"/>
          <w:lang w:val="en-GB"/>
        </w:rPr>
        <w:t xml:space="preserve">The Separation </w:t>
      </w:r>
      <w:proofErr w:type="gramStart"/>
      <w:r w:rsidRPr="68C9399A" w:rsidR="37037DD6">
        <w:rPr>
          <w:rFonts w:ascii="Calibri" w:hAnsi="Calibri" w:eastAsia="Calibri" w:cs="Calibri"/>
          <w:b w:val="1"/>
          <w:bCs w:val="1"/>
          <w:i w:val="1"/>
          <w:iCs w:val="1"/>
          <w:noProof w:val="0"/>
          <w:color w:val="000000" w:themeColor="text1" w:themeTint="FF" w:themeShade="FF"/>
          <w:sz w:val="22"/>
          <w:szCs w:val="22"/>
          <w:lang w:val="en-GB"/>
        </w:rPr>
        <w:t>Of</w:t>
      </w:r>
      <w:proofErr w:type="gramEnd"/>
      <w:r w:rsidRPr="68C9399A" w:rsidR="37037DD6">
        <w:rPr>
          <w:rFonts w:ascii="Calibri" w:hAnsi="Calibri" w:eastAsia="Calibri" w:cs="Calibri"/>
          <w:b w:val="1"/>
          <w:bCs w:val="1"/>
          <w:i w:val="1"/>
          <w:iCs w:val="1"/>
          <w:noProof w:val="0"/>
          <w:color w:val="000000" w:themeColor="text1" w:themeTint="FF" w:themeShade="FF"/>
          <w:sz w:val="22"/>
          <w:szCs w:val="22"/>
          <w:lang w:val="en-GB"/>
        </w:rPr>
        <w:t xml:space="preserve"> Powers</w:t>
      </w:r>
      <w:r w:rsidRPr="68C9399A" w:rsidR="37037DD6">
        <w:rPr>
          <w:rFonts w:ascii="Calibri" w:hAnsi="Calibri" w:eastAsia="Calibri" w:cs="Calibri"/>
          <w:b w:val="1"/>
          <w:bCs w:val="1"/>
          <w:i w:val="0"/>
          <w:iCs w:val="0"/>
          <w:noProof w:val="0"/>
          <w:color w:val="000000" w:themeColor="text1" w:themeTint="FF" w:themeShade="FF"/>
          <w:sz w:val="22"/>
          <w:szCs w:val="22"/>
          <w:lang w:val="en-GB"/>
        </w:rPr>
        <w:t>. [pdf] Oonagh Gay, p.7. Available at: &lt;https://commonslibrary.parliament.uk/research-briefings/sn06053/&gt; [Accessed 29 October 2020].</w:t>
      </w:r>
    </w:p>
    <w:p w:rsidR="13D7F0E2" w:rsidP="68C9399A" w:rsidRDefault="13D7F0E2" w14:paraId="5BB36E16" w14:textId="5174A549">
      <w:pPr>
        <w:pStyle w:val="Normal"/>
        <w:rPr>
          <w:rFonts w:ascii="Calibri" w:hAnsi="Calibri" w:eastAsia="Calibri" w:cs="Calibri"/>
          <w:b w:val="1"/>
          <w:bCs w:val="1"/>
          <w:i w:val="0"/>
          <w:iCs w:val="0"/>
          <w:noProof w:val="0"/>
          <w:color w:val="000000" w:themeColor="text1" w:themeTint="FF" w:themeShade="FF"/>
          <w:sz w:val="22"/>
          <w:szCs w:val="22"/>
          <w:lang w:val="en-GB"/>
        </w:rPr>
      </w:pPr>
      <w:r w:rsidRPr="68C9399A" w:rsidR="13D7F0E2">
        <w:rPr>
          <w:rFonts w:ascii="Calibri" w:hAnsi="Calibri" w:eastAsia="Calibri" w:cs="Calibri"/>
          <w:b w:val="1"/>
          <w:bCs w:val="1"/>
          <w:i w:val="0"/>
          <w:iCs w:val="0"/>
          <w:noProof w:val="0"/>
          <w:color w:val="000000" w:themeColor="text1" w:themeTint="FF" w:themeShade="FF"/>
          <w:sz w:val="22"/>
          <w:szCs w:val="22"/>
          <w:lang w:val="en-GB"/>
        </w:rPr>
        <w:t xml:space="preserve">Legislation.gov.uk. n.d. </w:t>
      </w:r>
      <w:r w:rsidRPr="68C9399A" w:rsidR="13D7F0E2">
        <w:rPr>
          <w:rFonts w:ascii="Calibri" w:hAnsi="Calibri" w:eastAsia="Calibri" w:cs="Calibri"/>
          <w:b w:val="1"/>
          <w:bCs w:val="1"/>
          <w:i w:val="1"/>
          <w:iCs w:val="1"/>
          <w:noProof w:val="0"/>
          <w:color w:val="000000" w:themeColor="text1" w:themeTint="FF" w:themeShade="FF"/>
          <w:sz w:val="22"/>
          <w:szCs w:val="22"/>
          <w:lang w:val="en-GB"/>
        </w:rPr>
        <w:t>Constitutional Reform Act 2005 - Explanatory Notes</w:t>
      </w:r>
      <w:r w:rsidRPr="68C9399A" w:rsidR="13D7F0E2">
        <w:rPr>
          <w:rFonts w:ascii="Calibri" w:hAnsi="Calibri" w:eastAsia="Calibri" w:cs="Calibri"/>
          <w:b w:val="1"/>
          <w:bCs w:val="1"/>
          <w:i w:val="0"/>
          <w:iCs w:val="0"/>
          <w:noProof w:val="0"/>
          <w:color w:val="000000" w:themeColor="text1" w:themeTint="FF" w:themeShade="FF"/>
          <w:sz w:val="22"/>
          <w:szCs w:val="22"/>
          <w:lang w:val="en-GB"/>
        </w:rPr>
        <w:t>. [online] Available at: &lt;https://www.legislation.gov.</w:t>
      </w:r>
      <w:r w:rsidRPr="68C9399A" w:rsidR="13D7F0E2">
        <w:rPr>
          <w:rFonts w:ascii="Calibri" w:hAnsi="Calibri" w:eastAsia="Calibri" w:cs="Calibri"/>
          <w:b w:val="1"/>
          <w:bCs w:val="1"/>
          <w:i w:val="0"/>
          <w:iCs w:val="0"/>
          <w:noProof w:val="0"/>
          <w:color w:val="000000" w:themeColor="text1" w:themeTint="FF" w:themeShade="FF"/>
          <w:sz w:val="22"/>
          <w:szCs w:val="22"/>
          <w:lang w:val="en-GB"/>
        </w:rPr>
        <w:t>uk</w:t>
      </w:r>
      <w:r w:rsidRPr="68C9399A" w:rsidR="13D7F0E2">
        <w:rPr>
          <w:rFonts w:ascii="Calibri" w:hAnsi="Calibri" w:eastAsia="Calibri" w:cs="Calibri"/>
          <w:b w:val="1"/>
          <w:bCs w:val="1"/>
          <w:i w:val="0"/>
          <w:iCs w:val="0"/>
          <w:noProof w:val="0"/>
          <w:color w:val="000000" w:themeColor="text1" w:themeTint="FF" w:themeShade="FF"/>
          <w:sz w:val="22"/>
          <w:szCs w:val="22"/>
          <w:lang w:val="en-GB"/>
        </w:rPr>
        <w:t>/</w:t>
      </w:r>
      <w:r w:rsidRPr="68C9399A" w:rsidR="13D7F0E2">
        <w:rPr>
          <w:rFonts w:ascii="Calibri" w:hAnsi="Calibri" w:eastAsia="Calibri" w:cs="Calibri"/>
          <w:b w:val="1"/>
          <w:bCs w:val="1"/>
          <w:i w:val="0"/>
          <w:iCs w:val="0"/>
          <w:noProof w:val="0"/>
          <w:color w:val="000000" w:themeColor="text1" w:themeTint="FF" w:themeShade="FF"/>
          <w:sz w:val="22"/>
          <w:szCs w:val="22"/>
          <w:lang w:val="en-GB"/>
        </w:rPr>
        <w:t>ukpga</w:t>
      </w:r>
      <w:r w:rsidRPr="68C9399A" w:rsidR="13D7F0E2">
        <w:rPr>
          <w:rFonts w:ascii="Calibri" w:hAnsi="Calibri" w:eastAsia="Calibri" w:cs="Calibri"/>
          <w:b w:val="1"/>
          <w:bCs w:val="1"/>
          <w:i w:val="0"/>
          <w:iCs w:val="0"/>
          <w:noProof w:val="0"/>
          <w:color w:val="000000" w:themeColor="text1" w:themeTint="FF" w:themeShade="FF"/>
          <w:sz w:val="22"/>
          <w:szCs w:val="22"/>
          <w:lang w:val="en-GB"/>
        </w:rPr>
        <w:t>/2005/4/notes/division/2&gt; [Accessed 30 October 2020].</w:t>
      </w:r>
    </w:p>
    <w:p w:rsidR="640E7AC2" w:rsidP="68C9399A" w:rsidRDefault="640E7AC2" w14:paraId="56E5EDF4" w14:textId="468BE5FC">
      <w:pPr>
        <w:pStyle w:val="Normal"/>
        <w:rPr>
          <w:rFonts w:ascii="Calibri" w:hAnsi="Calibri" w:eastAsia="Calibri" w:cs="Calibri"/>
          <w:b w:val="1"/>
          <w:bCs w:val="1"/>
          <w:i w:val="0"/>
          <w:iCs w:val="0"/>
          <w:noProof w:val="0"/>
          <w:color w:val="000000" w:themeColor="text1" w:themeTint="FF" w:themeShade="FF"/>
          <w:sz w:val="22"/>
          <w:szCs w:val="22"/>
          <w:lang w:val="en-GB"/>
        </w:rPr>
      </w:pPr>
      <w:r w:rsidRPr="68C9399A" w:rsidR="640E7AC2">
        <w:rPr>
          <w:rFonts w:ascii="Calibri" w:hAnsi="Calibri" w:eastAsia="Calibri" w:cs="Calibri"/>
          <w:b w:val="1"/>
          <w:bCs w:val="1"/>
          <w:i w:val="0"/>
          <w:iCs w:val="0"/>
          <w:noProof w:val="0"/>
          <w:color w:val="000000" w:themeColor="text1" w:themeTint="FF" w:themeShade="FF"/>
          <w:sz w:val="22"/>
          <w:szCs w:val="22"/>
          <w:lang w:val="en-GB"/>
        </w:rPr>
        <w:t xml:space="preserve">Jackson, A., n.d. </w:t>
      </w:r>
      <w:r w:rsidRPr="68C9399A" w:rsidR="640E7AC2">
        <w:rPr>
          <w:rFonts w:ascii="Calibri" w:hAnsi="Calibri" w:eastAsia="Calibri" w:cs="Calibri"/>
          <w:b w:val="1"/>
          <w:bCs w:val="1"/>
          <w:i w:val="1"/>
          <w:iCs w:val="1"/>
          <w:noProof w:val="0"/>
          <w:color w:val="000000" w:themeColor="text1" w:themeTint="FF" w:themeShade="FF"/>
          <w:sz w:val="22"/>
          <w:szCs w:val="22"/>
          <w:lang w:val="en-GB"/>
        </w:rPr>
        <w:t>Andrew Jackson Quote</w:t>
      </w:r>
      <w:r w:rsidRPr="68C9399A" w:rsidR="640E7AC2">
        <w:rPr>
          <w:rFonts w:ascii="Calibri" w:hAnsi="Calibri" w:eastAsia="Calibri" w:cs="Calibri"/>
          <w:b w:val="1"/>
          <w:bCs w:val="1"/>
          <w:i w:val="0"/>
          <w:iCs w:val="0"/>
          <w:noProof w:val="0"/>
          <w:color w:val="000000" w:themeColor="text1" w:themeTint="FF" w:themeShade="FF"/>
          <w:sz w:val="22"/>
          <w:szCs w:val="22"/>
          <w:lang w:val="en-GB"/>
        </w:rPr>
        <w:t>. [online] A-Z Quotes. Available at: &lt;https://www.azquotes.com/quote/698010?ref=independent-judiciary&gt; [Accessed 3 November 2020].</w:t>
      </w:r>
    </w:p>
    <w:p w:rsidR="68368803" w:rsidP="68C9399A" w:rsidRDefault="68368803" w14:paraId="59453093" w14:textId="08CE272B">
      <w:pPr>
        <w:pStyle w:val="Normal"/>
        <w:rPr>
          <w:rFonts w:ascii="Calibri" w:hAnsi="Calibri" w:eastAsia="Calibri" w:cs="Calibri"/>
          <w:b w:val="1"/>
          <w:bCs w:val="1"/>
          <w:i w:val="0"/>
          <w:iCs w:val="0"/>
          <w:noProof w:val="0"/>
          <w:color w:val="000000" w:themeColor="text1" w:themeTint="FF" w:themeShade="FF"/>
          <w:sz w:val="22"/>
          <w:szCs w:val="22"/>
          <w:lang w:val="en-GB"/>
        </w:rPr>
      </w:pPr>
      <w:r w:rsidRPr="68C9399A" w:rsidR="68368803">
        <w:rPr>
          <w:rFonts w:ascii="Calibri" w:hAnsi="Calibri" w:eastAsia="Calibri" w:cs="Calibri"/>
          <w:b w:val="1"/>
          <w:bCs w:val="1"/>
          <w:i w:val="0"/>
          <w:iCs w:val="0"/>
          <w:noProof w:val="0"/>
          <w:color w:val="000000" w:themeColor="text1" w:themeTint="FF" w:themeShade="FF"/>
          <w:sz w:val="22"/>
          <w:szCs w:val="22"/>
          <w:lang w:val="en-GB"/>
        </w:rPr>
        <w:t xml:space="preserve">Judiciary.uk. n.d. </w:t>
      </w:r>
      <w:r w:rsidRPr="68C9399A" w:rsidR="68368803">
        <w:rPr>
          <w:rFonts w:ascii="Calibri" w:hAnsi="Calibri" w:eastAsia="Calibri" w:cs="Calibri"/>
          <w:b w:val="1"/>
          <w:bCs w:val="1"/>
          <w:i w:val="1"/>
          <w:iCs w:val="1"/>
          <w:noProof w:val="0"/>
          <w:color w:val="000000" w:themeColor="text1" w:themeTint="FF" w:themeShade="FF"/>
          <w:sz w:val="22"/>
          <w:szCs w:val="22"/>
          <w:lang w:val="en-GB"/>
        </w:rPr>
        <w:t>Independence</w:t>
      </w:r>
      <w:r w:rsidRPr="68C9399A" w:rsidR="68368803">
        <w:rPr>
          <w:rFonts w:ascii="Calibri" w:hAnsi="Calibri" w:eastAsia="Calibri" w:cs="Calibri"/>
          <w:b w:val="1"/>
          <w:bCs w:val="1"/>
          <w:i w:val="0"/>
          <w:iCs w:val="0"/>
          <w:noProof w:val="0"/>
          <w:color w:val="000000" w:themeColor="text1" w:themeTint="FF" w:themeShade="FF"/>
          <w:sz w:val="22"/>
          <w:szCs w:val="22"/>
          <w:lang w:val="en-GB"/>
        </w:rPr>
        <w:t>. [online] Available at: &lt;https://www.judiciary.</w:t>
      </w:r>
      <w:proofErr w:type="spellStart"/>
      <w:r w:rsidRPr="68C9399A" w:rsidR="68368803">
        <w:rPr>
          <w:rFonts w:ascii="Calibri" w:hAnsi="Calibri" w:eastAsia="Calibri" w:cs="Calibri"/>
          <w:b w:val="1"/>
          <w:bCs w:val="1"/>
          <w:i w:val="0"/>
          <w:iCs w:val="0"/>
          <w:noProof w:val="0"/>
          <w:color w:val="000000" w:themeColor="text1" w:themeTint="FF" w:themeShade="FF"/>
          <w:sz w:val="22"/>
          <w:szCs w:val="22"/>
          <w:lang w:val="en-GB"/>
        </w:rPr>
        <w:t>uk</w:t>
      </w:r>
      <w:proofErr w:type="spellEnd"/>
      <w:r w:rsidRPr="68C9399A" w:rsidR="68368803">
        <w:rPr>
          <w:rFonts w:ascii="Calibri" w:hAnsi="Calibri" w:eastAsia="Calibri" w:cs="Calibri"/>
          <w:b w:val="1"/>
          <w:bCs w:val="1"/>
          <w:i w:val="0"/>
          <w:iCs w:val="0"/>
          <w:noProof w:val="0"/>
          <w:color w:val="000000" w:themeColor="text1" w:themeTint="FF" w:themeShade="FF"/>
          <w:sz w:val="22"/>
          <w:szCs w:val="22"/>
          <w:lang w:val="en-GB"/>
        </w:rPr>
        <w:t>/about-the-judiciary/the-judiciary-the-government-and-the-constitution/</w:t>
      </w:r>
      <w:proofErr w:type="spellStart"/>
      <w:r w:rsidRPr="68C9399A" w:rsidR="68368803">
        <w:rPr>
          <w:rFonts w:ascii="Calibri" w:hAnsi="Calibri" w:eastAsia="Calibri" w:cs="Calibri"/>
          <w:b w:val="1"/>
          <w:bCs w:val="1"/>
          <w:i w:val="0"/>
          <w:iCs w:val="0"/>
          <w:noProof w:val="0"/>
          <w:color w:val="000000" w:themeColor="text1" w:themeTint="FF" w:themeShade="FF"/>
          <w:sz w:val="22"/>
          <w:szCs w:val="22"/>
          <w:lang w:val="en-GB"/>
        </w:rPr>
        <w:t>jud-acc-ind</w:t>
      </w:r>
      <w:proofErr w:type="spellEnd"/>
      <w:r w:rsidRPr="68C9399A" w:rsidR="68368803">
        <w:rPr>
          <w:rFonts w:ascii="Calibri" w:hAnsi="Calibri" w:eastAsia="Calibri" w:cs="Calibri"/>
          <w:b w:val="1"/>
          <w:bCs w:val="1"/>
          <w:i w:val="0"/>
          <w:iCs w:val="0"/>
          <w:noProof w:val="0"/>
          <w:color w:val="000000" w:themeColor="text1" w:themeTint="FF" w:themeShade="FF"/>
          <w:sz w:val="22"/>
          <w:szCs w:val="22"/>
          <w:lang w:val="en-GB"/>
        </w:rPr>
        <w:t>/independence/&gt; [Accessed 6 November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BE9FB89"/>
  <w15:docId w15:val="{d1024d51-e0d1-49d3-9055-4cee88f939f7}"/>
  <w:rsids>
    <w:rsidRoot w:val="4BE9FB89"/>
    <w:rsid w:val="000239DB"/>
    <w:rsid w:val="0062CDB3"/>
    <w:rsid w:val="00F02E4F"/>
    <w:rsid w:val="01272FFC"/>
    <w:rsid w:val="0180C6A8"/>
    <w:rsid w:val="01BE1514"/>
    <w:rsid w:val="020192B4"/>
    <w:rsid w:val="024A45EB"/>
    <w:rsid w:val="02B2F0CC"/>
    <w:rsid w:val="0364038A"/>
    <w:rsid w:val="03717FAB"/>
    <w:rsid w:val="03AE3A94"/>
    <w:rsid w:val="03C631A3"/>
    <w:rsid w:val="03D5A730"/>
    <w:rsid w:val="03D98ED5"/>
    <w:rsid w:val="03F68779"/>
    <w:rsid w:val="0444F2F1"/>
    <w:rsid w:val="051339D1"/>
    <w:rsid w:val="05A964CE"/>
    <w:rsid w:val="05CC856F"/>
    <w:rsid w:val="06D31780"/>
    <w:rsid w:val="06DB5074"/>
    <w:rsid w:val="070ABC53"/>
    <w:rsid w:val="075BCD21"/>
    <w:rsid w:val="077577CC"/>
    <w:rsid w:val="07BEBB87"/>
    <w:rsid w:val="07E42B06"/>
    <w:rsid w:val="0812D1D1"/>
    <w:rsid w:val="083DBB0E"/>
    <w:rsid w:val="09000BBD"/>
    <w:rsid w:val="094B171D"/>
    <w:rsid w:val="0A825E2B"/>
    <w:rsid w:val="0BB1530C"/>
    <w:rsid w:val="0C0C40E6"/>
    <w:rsid w:val="0C188C5B"/>
    <w:rsid w:val="0C8A0BCA"/>
    <w:rsid w:val="0CC53EDE"/>
    <w:rsid w:val="0D12D28D"/>
    <w:rsid w:val="0D14D43A"/>
    <w:rsid w:val="0D9374E4"/>
    <w:rsid w:val="0DBE3822"/>
    <w:rsid w:val="0E545185"/>
    <w:rsid w:val="0E6E2E41"/>
    <w:rsid w:val="0E843A64"/>
    <w:rsid w:val="0EA3956A"/>
    <w:rsid w:val="0EA60891"/>
    <w:rsid w:val="0ECC41B0"/>
    <w:rsid w:val="0F3F837D"/>
    <w:rsid w:val="0FD3E488"/>
    <w:rsid w:val="0FE6F458"/>
    <w:rsid w:val="1027DF43"/>
    <w:rsid w:val="102D2EE9"/>
    <w:rsid w:val="1092F8C9"/>
    <w:rsid w:val="10ADE8CA"/>
    <w:rsid w:val="10DC2E56"/>
    <w:rsid w:val="11410544"/>
    <w:rsid w:val="11AA3C04"/>
    <w:rsid w:val="11AF59A9"/>
    <w:rsid w:val="12047508"/>
    <w:rsid w:val="120CB125"/>
    <w:rsid w:val="123E0CE4"/>
    <w:rsid w:val="12CE087B"/>
    <w:rsid w:val="13B2D014"/>
    <w:rsid w:val="13D7F0E2"/>
    <w:rsid w:val="1405ACE7"/>
    <w:rsid w:val="1411C434"/>
    <w:rsid w:val="1430EF93"/>
    <w:rsid w:val="145C3C0C"/>
    <w:rsid w:val="14ED8456"/>
    <w:rsid w:val="15455DDE"/>
    <w:rsid w:val="155D0E7C"/>
    <w:rsid w:val="1573489B"/>
    <w:rsid w:val="15D8D8BE"/>
    <w:rsid w:val="1619E628"/>
    <w:rsid w:val="166D6115"/>
    <w:rsid w:val="16BC5D7B"/>
    <w:rsid w:val="1725DAD3"/>
    <w:rsid w:val="1731FE29"/>
    <w:rsid w:val="17397572"/>
    <w:rsid w:val="177570DD"/>
    <w:rsid w:val="186982FF"/>
    <w:rsid w:val="1869B531"/>
    <w:rsid w:val="188109A9"/>
    <w:rsid w:val="18A34390"/>
    <w:rsid w:val="19248FEA"/>
    <w:rsid w:val="197574E5"/>
    <w:rsid w:val="197A5E2C"/>
    <w:rsid w:val="1A2AAC58"/>
    <w:rsid w:val="1A42D7F7"/>
    <w:rsid w:val="1B441098"/>
    <w:rsid w:val="1B6FD322"/>
    <w:rsid w:val="1B9751B6"/>
    <w:rsid w:val="1BA2BD48"/>
    <w:rsid w:val="1BA665C8"/>
    <w:rsid w:val="1C42F1D0"/>
    <w:rsid w:val="1C54CA9A"/>
    <w:rsid w:val="1C874614"/>
    <w:rsid w:val="1C9F1B79"/>
    <w:rsid w:val="1CCD5A94"/>
    <w:rsid w:val="1CD596F2"/>
    <w:rsid w:val="1D169222"/>
    <w:rsid w:val="1D84FE8B"/>
    <w:rsid w:val="1D8A4DCD"/>
    <w:rsid w:val="1D9C55CF"/>
    <w:rsid w:val="1DA77CB6"/>
    <w:rsid w:val="1DBBE9AF"/>
    <w:rsid w:val="1DF8ABD4"/>
    <w:rsid w:val="1F1162B7"/>
    <w:rsid w:val="200E8C4E"/>
    <w:rsid w:val="201A8302"/>
    <w:rsid w:val="2022C2F9"/>
    <w:rsid w:val="2095D934"/>
    <w:rsid w:val="2098C992"/>
    <w:rsid w:val="20C2A19F"/>
    <w:rsid w:val="21075EC2"/>
    <w:rsid w:val="21311DD8"/>
    <w:rsid w:val="21E4A99E"/>
    <w:rsid w:val="22D6F4D4"/>
    <w:rsid w:val="230C9A55"/>
    <w:rsid w:val="235EE55C"/>
    <w:rsid w:val="238127A2"/>
    <w:rsid w:val="23815E04"/>
    <w:rsid w:val="23EAFDB2"/>
    <w:rsid w:val="2446DB4C"/>
    <w:rsid w:val="2456FFBF"/>
    <w:rsid w:val="24D1B718"/>
    <w:rsid w:val="24D3CFE9"/>
    <w:rsid w:val="255DF210"/>
    <w:rsid w:val="260B33CD"/>
    <w:rsid w:val="26293C6E"/>
    <w:rsid w:val="269C5F8C"/>
    <w:rsid w:val="273D8DFD"/>
    <w:rsid w:val="274A8F43"/>
    <w:rsid w:val="2772415F"/>
    <w:rsid w:val="27D9CF5E"/>
    <w:rsid w:val="282205A8"/>
    <w:rsid w:val="28457167"/>
    <w:rsid w:val="284DE768"/>
    <w:rsid w:val="2869C6B9"/>
    <w:rsid w:val="28835B86"/>
    <w:rsid w:val="28FF71D6"/>
    <w:rsid w:val="298AC70E"/>
    <w:rsid w:val="29A94676"/>
    <w:rsid w:val="29A95B0B"/>
    <w:rsid w:val="29CF478B"/>
    <w:rsid w:val="2A074DEC"/>
    <w:rsid w:val="2A44D2C5"/>
    <w:rsid w:val="2B24BA4A"/>
    <w:rsid w:val="2B7ED67D"/>
    <w:rsid w:val="2BD529CB"/>
    <w:rsid w:val="2C37560D"/>
    <w:rsid w:val="2C59B3FD"/>
    <w:rsid w:val="2C64EAD7"/>
    <w:rsid w:val="2C95B24F"/>
    <w:rsid w:val="2CB8DCA8"/>
    <w:rsid w:val="2CE572FA"/>
    <w:rsid w:val="2D6115A0"/>
    <w:rsid w:val="2DB94241"/>
    <w:rsid w:val="2E210F68"/>
    <w:rsid w:val="2E7A2701"/>
    <w:rsid w:val="3039A4D5"/>
    <w:rsid w:val="30611703"/>
    <w:rsid w:val="3098DBF0"/>
    <w:rsid w:val="30C8A704"/>
    <w:rsid w:val="3149F472"/>
    <w:rsid w:val="314EE2E9"/>
    <w:rsid w:val="31548AA2"/>
    <w:rsid w:val="3161292C"/>
    <w:rsid w:val="319B5D7E"/>
    <w:rsid w:val="320B9FBA"/>
    <w:rsid w:val="32564229"/>
    <w:rsid w:val="327293E7"/>
    <w:rsid w:val="327530EF"/>
    <w:rsid w:val="32CF8E3C"/>
    <w:rsid w:val="330CB7A4"/>
    <w:rsid w:val="3323AC39"/>
    <w:rsid w:val="335675AF"/>
    <w:rsid w:val="336E50B7"/>
    <w:rsid w:val="338B3BD1"/>
    <w:rsid w:val="33FAA3B4"/>
    <w:rsid w:val="34A523D1"/>
    <w:rsid w:val="353182A6"/>
    <w:rsid w:val="355E70D4"/>
    <w:rsid w:val="357D2D3F"/>
    <w:rsid w:val="3595E3D0"/>
    <w:rsid w:val="3599E8FB"/>
    <w:rsid w:val="36D2936E"/>
    <w:rsid w:val="37037DD6"/>
    <w:rsid w:val="3770212D"/>
    <w:rsid w:val="37FF0565"/>
    <w:rsid w:val="3821B6A0"/>
    <w:rsid w:val="3879B560"/>
    <w:rsid w:val="38BE328C"/>
    <w:rsid w:val="38F3A158"/>
    <w:rsid w:val="393382BB"/>
    <w:rsid w:val="395A5515"/>
    <w:rsid w:val="397B4F5F"/>
    <w:rsid w:val="39CEB02C"/>
    <w:rsid w:val="3AF45810"/>
    <w:rsid w:val="3B6F355A"/>
    <w:rsid w:val="3B9E73D2"/>
    <w:rsid w:val="3BAF002C"/>
    <w:rsid w:val="3BBC213D"/>
    <w:rsid w:val="3C1F63BC"/>
    <w:rsid w:val="3C2D37A6"/>
    <w:rsid w:val="3C8836E0"/>
    <w:rsid w:val="3C8AEEEA"/>
    <w:rsid w:val="3CE5E702"/>
    <w:rsid w:val="3D0068F8"/>
    <w:rsid w:val="3D1AEC3F"/>
    <w:rsid w:val="3D25BC2C"/>
    <w:rsid w:val="3D59A8F3"/>
    <w:rsid w:val="3DCA0F2E"/>
    <w:rsid w:val="3E4A289B"/>
    <w:rsid w:val="3E50E306"/>
    <w:rsid w:val="3E7E9CC8"/>
    <w:rsid w:val="3EA404FF"/>
    <w:rsid w:val="3EDEA092"/>
    <w:rsid w:val="3F1269A0"/>
    <w:rsid w:val="3F3EAEE7"/>
    <w:rsid w:val="3F738A3F"/>
    <w:rsid w:val="3F8F3044"/>
    <w:rsid w:val="3FB0C731"/>
    <w:rsid w:val="411FFDEB"/>
    <w:rsid w:val="413D10D8"/>
    <w:rsid w:val="41800C76"/>
    <w:rsid w:val="424240F8"/>
    <w:rsid w:val="4260DDB8"/>
    <w:rsid w:val="428ACD45"/>
    <w:rsid w:val="42D0B080"/>
    <w:rsid w:val="4331782E"/>
    <w:rsid w:val="4480DCBD"/>
    <w:rsid w:val="44897625"/>
    <w:rsid w:val="44AA25F1"/>
    <w:rsid w:val="44D9199B"/>
    <w:rsid w:val="44FEC8B2"/>
    <w:rsid w:val="45724C9D"/>
    <w:rsid w:val="459EE3B1"/>
    <w:rsid w:val="45B1343F"/>
    <w:rsid w:val="4691A9D5"/>
    <w:rsid w:val="47015380"/>
    <w:rsid w:val="4709F635"/>
    <w:rsid w:val="4757FCAE"/>
    <w:rsid w:val="47C82C8F"/>
    <w:rsid w:val="49002746"/>
    <w:rsid w:val="496AA96A"/>
    <w:rsid w:val="496FCD73"/>
    <w:rsid w:val="49A37D72"/>
    <w:rsid w:val="49FE8D4A"/>
    <w:rsid w:val="4A18F631"/>
    <w:rsid w:val="4A88E562"/>
    <w:rsid w:val="4ACC32DE"/>
    <w:rsid w:val="4B970C4A"/>
    <w:rsid w:val="4BBB61EE"/>
    <w:rsid w:val="4BE9FB89"/>
    <w:rsid w:val="4BF8ED72"/>
    <w:rsid w:val="4C18C3BA"/>
    <w:rsid w:val="4C490DAE"/>
    <w:rsid w:val="4CD0D6AD"/>
    <w:rsid w:val="4D1D104D"/>
    <w:rsid w:val="4D595BAE"/>
    <w:rsid w:val="4D5B5588"/>
    <w:rsid w:val="4DAA809E"/>
    <w:rsid w:val="4DCA7D7F"/>
    <w:rsid w:val="4E163BFC"/>
    <w:rsid w:val="4E935B60"/>
    <w:rsid w:val="4F066088"/>
    <w:rsid w:val="4F16DACF"/>
    <w:rsid w:val="4F210757"/>
    <w:rsid w:val="4F383A6F"/>
    <w:rsid w:val="4FA2A3D8"/>
    <w:rsid w:val="5051E3F0"/>
    <w:rsid w:val="505DCCE6"/>
    <w:rsid w:val="508B3B95"/>
    <w:rsid w:val="50ED4B44"/>
    <w:rsid w:val="51077B07"/>
    <w:rsid w:val="515D68C3"/>
    <w:rsid w:val="51B7F93B"/>
    <w:rsid w:val="52299184"/>
    <w:rsid w:val="5255142B"/>
    <w:rsid w:val="526017ED"/>
    <w:rsid w:val="53398C1F"/>
    <w:rsid w:val="539C4A04"/>
    <w:rsid w:val="53A03619"/>
    <w:rsid w:val="544025B1"/>
    <w:rsid w:val="54A70BEB"/>
    <w:rsid w:val="54D4C904"/>
    <w:rsid w:val="558549D0"/>
    <w:rsid w:val="558DE5C5"/>
    <w:rsid w:val="55B88C25"/>
    <w:rsid w:val="563EBD31"/>
    <w:rsid w:val="566B59A4"/>
    <w:rsid w:val="568BAA0E"/>
    <w:rsid w:val="5754A962"/>
    <w:rsid w:val="57BCAD15"/>
    <w:rsid w:val="584D50F3"/>
    <w:rsid w:val="5860303B"/>
    <w:rsid w:val="5942DAC9"/>
    <w:rsid w:val="5965F111"/>
    <w:rsid w:val="59C71838"/>
    <w:rsid w:val="59DF9DD9"/>
    <w:rsid w:val="59F24838"/>
    <w:rsid w:val="5A097AD1"/>
    <w:rsid w:val="5A0FD25C"/>
    <w:rsid w:val="5A4DE5AA"/>
    <w:rsid w:val="5A651376"/>
    <w:rsid w:val="5AA34FE9"/>
    <w:rsid w:val="5AB9A75E"/>
    <w:rsid w:val="5AD7CC4A"/>
    <w:rsid w:val="5AE7B35B"/>
    <w:rsid w:val="5B302016"/>
    <w:rsid w:val="5B800C59"/>
    <w:rsid w:val="5BC6B8F1"/>
    <w:rsid w:val="5BDF7F81"/>
    <w:rsid w:val="5BF39C10"/>
    <w:rsid w:val="5C131C34"/>
    <w:rsid w:val="5C293FDE"/>
    <w:rsid w:val="5C8F39D5"/>
    <w:rsid w:val="5CAB3F3E"/>
    <w:rsid w:val="5CCD5199"/>
    <w:rsid w:val="5CD6F3FC"/>
    <w:rsid w:val="5CFCEF20"/>
    <w:rsid w:val="5CFDF6A7"/>
    <w:rsid w:val="5D02B3F5"/>
    <w:rsid w:val="5D270904"/>
    <w:rsid w:val="5D6DDC3B"/>
    <w:rsid w:val="5D79782B"/>
    <w:rsid w:val="5D7CF5CF"/>
    <w:rsid w:val="5E49E1E8"/>
    <w:rsid w:val="5E88C5A0"/>
    <w:rsid w:val="5E8B6577"/>
    <w:rsid w:val="5EDC3BF6"/>
    <w:rsid w:val="5F06A804"/>
    <w:rsid w:val="5F3D07A3"/>
    <w:rsid w:val="5F6359F1"/>
    <w:rsid w:val="5F98102F"/>
    <w:rsid w:val="5FC89AF5"/>
    <w:rsid w:val="5FCBF439"/>
    <w:rsid w:val="5FD0A0D7"/>
    <w:rsid w:val="5FE8769F"/>
    <w:rsid w:val="614B45B3"/>
    <w:rsid w:val="61A32866"/>
    <w:rsid w:val="61B4B7CA"/>
    <w:rsid w:val="61BCBF0F"/>
    <w:rsid w:val="623E53F6"/>
    <w:rsid w:val="62C2FF3A"/>
    <w:rsid w:val="637252AA"/>
    <w:rsid w:val="637B4AD4"/>
    <w:rsid w:val="640E7AC2"/>
    <w:rsid w:val="64762642"/>
    <w:rsid w:val="64B462A2"/>
    <w:rsid w:val="65160E13"/>
    <w:rsid w:val="65B8EE1B"/>
    <w:rsid w:val="65F6B77E"/>
    <w:rsid w:val="6617F3FB"/>
    <w:rsid w:val="6630393E"/>
    <w:rsid w:val="66C99D4A"/>
    <w:rsid w:val="66F0727E"/>
    <w:rsid w:val="67E91596"/>
    <w:rsid w:val="67EE44F2"/>
    <w:rsid w:val="67F33ADE"/>
    <w:rsid w:val="67F5EA06"/>
    <w:rsid w:val="68368803"/>
    <w:rsid w:val="68C66258"/>
    <w:rsid w:val="68C9399A"/>
    <w:rsid w:val="69200C26"/>
    <w:rsid w:val="69343C73"/>
    <w:rsid w:val="6963410D"/>
    <w:rsid w:val="6974CBF1"/>
    <w:rsid w:val="69A734DB"/>
    <w:rsid w:val="69EB6A12"/>
    <w:rsid w:val="6A6F23B0"/>
    <w:rsid w:val="6A955D75"/>
    <w:rsid w:val="6A98C021"/>
    <w:rsid w:val="6AAE0F30"/>
    <w:rsid w:val="6ADC4ABA"/>
    <w:rsid w:val="6B13F5EB"/>
    <w:rsid w:val="6B351FD3"/>
    <w:rsid w:val="6BDCD59E"/>
    <w:rsid w:val="6BF67566"/>
    <w:rsid w:val="6C52A5FD"/>
    <w:rsid w:val="6CA84319"/>
    <w:rsid w:val="6CD83891"/>
    <w:rsid w:val="6D169844"/>
    <w:rsid w:val="6D22908E"/>
    <w:rsid w:val="6D462103"/>
    <w:rsid w:val="6D5B76E5"/>
    <w:rsid w:val="6D8FAFE8"/>
    <w:rsid w:val="6DAC2401"/>
    <w:rsid w:val="6DB9126F"/>
    <w:rsid w:val="6DD226DB"/>
    <w:rsid w:val="6E3034AD"/>
    <w:rsid w:val="6E875328"/>
    <w:rsid w:val="6EA15F5B"/>
    <w:rsid w:val="6F3995FE"/>
    <w:rsid w:val="6FA0ED0F"/>
    <w:rsid w:val="6FA8BE9E"/>
    <w:rsid w:val="6FAA51FD"/>
    <w:rsid w:val="6FDB697C"/>
    <w:rsid w:val="6FEBE0E1"/>
    <w:rsid w:val="7067D90B"/>
    <w:rsid w:val="70CE7395"/>
    <w:rsid w:val="719AF665"/>
    <w:rsid w:val="71E3655C"/>
    <w:rsid w:val="721B577F"/>
    <w:rsid w:val="724C8161"/>
    <w:rsid w:val="72B8AF4E"/>
    <w:rsid w:val="730E64C2"/>
    <w:rsid w:val="73592288"/>
    <w:rsid w:val="73796380"/>
    <w:rsid w:val="7391EC5A"/>
    <w:rsid w:val="743EEB92"/>
    <w:rsid w:val="7467999D"/>
    <w:rsid w:val="74846E92"/>
    <w:rsid w:val="74E37213"/>
    <w:rsid w:val="74F99FE3"/>
    <w:rsid w:val="74FC9FC1"/>
    <w:rsid w:val="7541848F"/>
    <w:rsid w:val="755FBD46"/>
    <w:rsid w:val="75661055"/>
    <w:rsid w:val="7568271A"/>
    <w:rsid w:val="758CC575"/>
    <w:rsid w:val="75BC751F"/>
    <w:rsid w:val="76120F2D"/>
    <w:rsid w:val="76938FB8"/>
    <w:rsid w:val="76C56F7E"/>
    <w:rsid w:val="76CE68E7"/>
    <w:rsid w:val="76F904C8"/>
    <w:rsid w:val="7701543B"/>
    <w:rsid w:val="77ACCA49"/>
    <w:rsid w:val="782E553E"/>
    <w:rsid w:val="7877C529"/>
    <w:rsid w:val="787F2E34"/>
    <w:rsid w:val="78BE9833"/>
    <w:rsid w:val="78CB4B4B"/>
    <w:rsid w:val="78D8E866"/>
    <w:rsid w:val="7984138D"/>
    <w:rsid w:val="79956F40"/>
    <w:rsid w:val="799D9E8F"/>
    <w:rsid w:val="7A8466F2"/>
    <w:rsid w:val="7AD4147A"/>
    <w:rsid w:val="7BA367BA"/>
    <w:rsid w:val="7BFB04E9"/>
    <w:rsid w:val="7C01B577"/>
    <w:rsid w:val="7C62E161"/>
    <w:rsid w:val="7C67D8C1"/>
    <w:rsid w:val="7CAD098A"/>
    <w:rsid w:val="7D1A9A8B"/>
    <w:rsid w:val="7D4FB3A8"/>
    <w:rsid w:val="7DAE36A0"/>
    <w:rsid w:val="7DDEC0F2"/>
    <w:rsid w:val="7ED213AB"/>
    <w:rsid w:val="7FE4D7D8"/>
    <w:rsid w:val="7FFB4C7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2</revision>
  <dcterms:created xsi:type="dcterms:W3CDTF">2020-11-05T18:37:03.6390638Z</dcterms:created>
  <dcterms:modified xsi:type="dcterms:W3CDTF">2020-11-06T16:14:33.1127744Z</dcterms:modified>
</coreProperties>
</file>