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F7F54" w14:textId="21436F13" w:rsidR="00C76536" w:rsidRPr="00C76536" w:rsidRDefault="00C76536" w:rsidP="00654F2C">
      <w:pPr>
        <w:pStyle w:val="NoSpacing"/>
        <w:jc w:val="both"/>
        <w:rPr>
          <w:rFonts w:ascii="Times New Roman" w:hAnsi="Times New Roman"/>
        </w:rPr>
      </w:pPr>
      <w:r w:rsidRPr="00C76536">
        <w:rPr>
          <w:rFonts w:ascii="Times New Roman" w:hAnsi="Times New Roman"/>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638E406C" w14:textId="77777777" w:rsidR="00800E99" w:rsidRDefault="00800E99" w:rsidP="00654F2C">
      <w:pPr>
        <w:pStyle w:val="NoSpacing"/>
        <w:jc w:val="both"/>
        <w:rPr>
          <w:rFonts w:ascii="Times New Roman" w:hAnsi="Times New Roman"/>
          <w:b/>
          <w:bCs/>
          <w:sz w:val="28"/>
          <w:szCs w:val="21"/>
        </w:rPr>
      </w:pPr>
    </w:p>
    <w:p w14:paraId="179F44B0" w14:textId="0751AE09" w:rsidR="00800E99" w:rsidRDefault="00800E99" w:rsidP="00654F2C">
      <w:pPr>
        <w:pStyle w:val="NoSpacing"/>
        <w:jc w:val="center"/>
        <w:rPr>
          <w:rFonts w:ascii="Times New Roman" w:hAnsi="Times New Roman"/>
          <w:b/>
          <w:bCs/>
          <w:sz w:val="28"/>
          <w:szCs w:val="21"/>
        </w:rPr>
      </w:pPr>
      <w:r w:rsidRPr="00800E99">
        <w:rPr>
          <w:rFonts w:ascii="Times New Roman" w:hAnsi="Times New Roman"/>
          <w:b/>
          <w:bCs/>
          <w:sz w:val="28"/>
          <w:szCs w:val="21"/>
        </w:rPr>
        <w:t>Describe the mechanisms and concepts associated with cell signalling, including examples of how it functions within the context of cellular processes</w:t>
      </w:r>
    </w:p>
    <w:p w14:paraId="5E7B7755" w14:textId="77777777" w:rsidR="002F5F6C" w:rsidRDefault="002F5F6C" w:rsidP="00654F2C">
      <w:pPr>
        <w:pStyle w:val="NoSpacing"/>
        <w:jc w:val="both"/>
        <w:rPr>
          <w:rFonts w:ascii="Times New Roman" w:hAnsi="Times New Roman"/>
          <w:b/>
          <w:bCs/>
        </w:rPr>
      </w:pPr>
    </w:p>
    <w:p w14:paraId="33B41009" w14:textId="3B74956D" w:rsidR="00800E99" w:rsidRDefault="00800E99" w:rsidP="00654F2C">
      <w:pPr>
        <w:pStyle w:val="NoSpacing"/>
        <w:jc w:val="both"/>
        <w:rPr>
          <w:rFonts w:ascii="Times New Roman" w:hAnsi="Times New Roman"/>
        </w:rPr>
      </w:pPr>
      <w:r>
        <w:rPr>
          <w:rFonts w:ascii="Times New Roman" w:hAnsi="Times New Roman"/>
        </w:rPr>
        <w:t>Cell signalling is the process that allows cells to respond to their environment and adjust their behaviour accordingly. This includes altering metabolism or gene expression. In the body this allows different tissues to coordinate their ac</w:t>
      </w:r>
      <w:r w:rsidRPr="00800E99">
        <w:rPr>
          <w:rFonts w:ascii="Times New Roman" w:hAnsi="Times New Roman"/>
        </w:rPr>
        <w:t>tivity</w:t>
      </w:r>
      <w:r w:rsidRPr="00800E99">
        <w:rPr>
          <w:rFonts w:ascii="Times New Roman" w:hAnsi="Times New Roman"/>
          <w:color w:val="000000"/>
        </w:rPr>
        <w:t>.</w:t>
      </w:r>
      <w:r w:rsidRPr="00800E99">
        <w:rPr>
          <w:rFonts w:ascii="Times New Roman" w:hAnsi="Times New Roman"/>
        </w:rPr>
        <w:t xml:space="preserve"> </w:t>
      </w:r>
      <w:r>
        <w:rPr>
          <w:rFonts w:ascii="Times New Roman" w:hAnsi="Times New Roman"/>
        </w:rPr>
        <w:t>All cell signalling pathways operate under the same signalling principle</w:t>
      </w:r>
      <w:r w:rsidR="00270192">
        <w:rPr>
          <w:rFonts w:ascii="Times New Roman" w:hAnsi="Times New Roman"/>
        </w:rPr>
        <w:t>,</w:t>
      </w:r>
      <w:r>
        <w:rPr>
          <w:rFonts w:ascii="Times New Roman" w:hAnsi="Times New Roman"/>
        </w:rPr>
        <w:t xml:space="preserve"> consisting of a primary signal that is detected by a receptor protein on the cell surface. The receptor protein amplifies the message of the primary signal through secondary messengers on the inside of the cell. The second messengers can then bring about the desired effect of the primary message. Primary signals can be delivered over a range of distances in the body. Different signalling pathways often target the same effector proteins which enables the cell to optimise its response </w:t>
      </w:r>
      <w:r w:rsidRPr="00800E99">
        <w:rPr>
          <w:rFonts w:ascii="Times New Roman" w:hAnsi="Times New Roman"/>
          <w:color w:val="000000"/>
        </w:rPr>
        <w:t>(Berg</w:t>
      </w:r>
      <w:r w:rsidRPr="00800E99">
        <w:rPr>
          <w:rStyle w:val="apple-converted-space"/>
          <w:rFonts w:ascii="Times New Roman" w:eastAsiaTheme="majorEastAsia" w:hAnsi="Times New Roman"/>
          <w:color w:val="000000"/>
        </w:rPr>
        <w:t> </w:t>
      </w:r>
      <w:r w:rsidRPr="00800E99">
        <w:rPr>
          <w:rFonts w:ascii="Times New Roman" w:hAnsi="Times New Roman"/>
          <w:i/>
          <w:iCs/>
          <w:color w:val="000000"/>
        </w:rPr>
        <w:t>et al.</w:t>
      </w:r>
      <w:r w:rsidRPr="00800E99">
        <w:rPr>
          <w:rFonts w:ascii="Times New Roman" w:hAnsi="Times New Roman"/>
          <w:color w:val="000000"/>
        </w:rPr>
        <w:t>, 2019, pp. 397–422)</w:t>
      </w:r>
      <w:r>
        <w:rPr>
          <w:rFonts w:ascii="Times New Roman" w:hAnsi="Times New Roman"/>
          <w:color w:val="000000"/>
        </w:rPr>
        <w:t xml:space="preserve">. In this essay, I will </w:t>
      </w:r>
      <w:r w:rsidR="00654F2C">
        <w:rPr>
          <w:rFonts w:ascii="Times New Roman" w:hAnsi="Times New Roman"/>
          <w:color w:val="000000"/>
        </w:rPr>
        <w:t>discuss</w:t>
      </w:r>
      <w:r>
        <w:rPr>
          <w:rFonts w:ascii="Times New Roman" w:hAnsi="Times New Roman"/>
          <w:color w:val="000000"/>
        </w:rPr>
        <w:t xml:space="preserve"> the mechanisms of cell signalling, using examples of insulin and epinephrine, and how they communicate </w:t>
      </w:r>
      <w:r w:rsidR="00654F2C">
        <w:rPr>
          <w:rFonts w:ascii="Times New Roman" w:hAnsi="Times New Roman"/>
          <w:color w:val="000000"/>
        </w:rPr>
        <w:t xml:space="preserve">to </w:t>
      </w:r>
      <w:r w:rsidR="00270192">
        <w:rPr>
          <w:rFonts w:ascii="Times New Roman" w:hAnsi="Times New Roman"/>
          <w:color w:val="000000"/>
        </w:rPr>
        <w:t>bring about their</w:t>
      </w:r>
      <w:r>
        <w:rPr>
          <w:rFonts w:ascii="Times New Roman" w:hAnsi="Times New Roman"/>
          <w:color w:val="000000"/>
        </w:rPr>
        <w:t xml:space="preserve"> effect. </w:t>
      </w:r>
    </w:p>
    <w:p w14:paraId="1D78238A" w14:textId="77777777" w:rsidR="002F5F6C" w:rsidRDefault="002F5F6C" w:rsidP="00654F2C">
      <w:pPr>
        <w:pStyle w:val="NoSpacing"/>
        <w:jc w:val="both"/>
        <w:rPr>
          <w:rFonts w:ascii="Times New Roman" w:hAnsi="Times New Roman"/>
          <w:b/>
          <w:bCs/>
        </w:rPr>
      </w:pPr>
    </w:p>
    <w:p w14:paraId="781925E9" w14:textId="2987A3F4" w:rsidR="00800E99" w:rsidRDefault="00800E99" w:rsidP="00654F2C">
      <w:pPr>
        <w:pStyle w:val="NoSpacing"/>
        <w:jc w:val="both"/>
        <w:rPr>
          <w:rFonts w:ascii="Times New Roman" w:hAnsi="Times New Roman"/>
          <w:color w:val="000000"/>
        </w:rPr>
      </w:pPr>
      <w:r>
        <w:rPr>
          <w:rFonts w:ascii="Times New Roman" w:hAnsi="Times New Roman"/>
        </w:rPr>
        <w:t xml:space="preserve">The first component of the cell signalling pathway is the primary messenger. The primary messenger is released in response from a stimulus from the outside environment such as a digested meal or a wound. Primary messengers include hormones such as insulin and epinephrine. The primary messenger is detected by receptor proteins on the cell surface. The receptor protein spans the membrane with an extracellular ligand binding domain and an intracellular domain that brings about the production of the second messenger. The ligand binding domain has a specific shape that recognises its specific ligand; </w:t>
      </w:r>
      <w:r w:rsidR="00654F2C">
        <w:rPr>
          <w:rFonts w:ascii="Times New Roman" w:hAnsi="Times New Roman"/>
        </w:rPr>
        <w:t xml:space="preserve">for example, </w:t>
      </w:r>
      <w:r>
        <w:rPr>
          <w:rFonts w:ascii="Times New Roman" w:hAnsi="Times New Roman"/>
        </w:rPr>
        <w:t xml:space="preserve">this ensures the insulin receptor only responds to insulin. </w:t>
      </w:r>
      <w:r w:rsidR="00654F2C">
        <w:rPr>
          <w:rFonts w:ascii="Times New Roman" w:hAnsi="Times New Roman"/>
        </w:rPr>
        <w:t>The b</w:t>
      </w:r>
      <w:r>
        <w:rPr>
          <w:rFonts w:ascii="Times New Roman" w:hAnsi="Times New Roman"/>
        </w:rPr>
        <w:t xml:space="preserve">inding of the primary messenger to the ligand binding domain brings about structural changes to the intracellular </w:t>
      </w:r>
      <w:r w:rsidR="00654F2C">
        <w:rPr>
          <w:rFonts w:ascii="Times New Roman" w:hAnsi="Times New Roman"/>
        </w:rPr>
        <w:t>compartment</w:t>
      </w:r>
      <w:r>
        <w:rPr>
          <w:rFonts w:ascii="Times New Roman" w:hAnsi="Times New Roman"/>
        </w:rPr>
        <w:t>, resulting in the production of the second messenger. Second messengers are small and fast diffusing molecules that are produced upon primary messenger reception. Examples include calcium ions, cyclic AMP and PIP</w:t>
      </w:r>
      <w:r>
        <w:rPr>
          <w:rFonts w:ascii="Times New Roman" w:hAnsi="Times New Roman"/>
          <w:vertAlign w:val="subscript"/>
        </w:rPr>
        <w:t>3</w:t>
      </w:r>
      <w:r>
        <w:rPr>
          <w:rFonts w:ascii="Times New Roman" w:hAnsi="Times New Roman"/>
        </w:rPr>
        <w:t xml:space="preserve">. The concentration of these </w:t>
      </w:r>
      <w:r w:rsidR="007860D6">
        <w:rPr>
          <w:rFonts w:ascii="Times New Roman" w:hAnsi="Times New Roman"/>
        </w:rPr>
        <w:t>molecules’</w:t>
      </w:r>
      <w:r>
        <w:rPr>
          <w:rFonts w:ascii="Times New Roman" w:hAnsi="Times New Roman"/>
        </w:rPr>
        <w:t xml:space="preserve"> </w:t>
      </w:r>
      <w:r w:rsidR="00654F2C">
        <w:rPr>
          <w:rFonts w:ascii="Times New Roman" w:hAnsi="Times New Roman"/>
        </w:rPr>
        <w:t>changes</w:t>
      </w:r>
      <w:r>
        <w:rPr>
          <w:rFonts w:ascii="Times New Roman" w:hAnsi="Times New Roman"/>
        </w:rPr>
        <w:t xml:space="preserve"> in response to </w:t>
      </w:r>
      <w:r w:rsidR="00654F2C">
        <w:rPr>
          <w:rFonts w:ascii="Times New Roman" w:hAnsi="Times New Roman"/>
        </w:rPr>
        <w:t xml:space="preserve">the </w:t>
      </w:r>
      <w:r>
        <w:rPr>
          <w:rFonts w:ascii="Times New Roman" w:hAnsi="Times New Roman"/>
        </w:rPr>
        <w:t xml:space="preserve">signal reception. The reception of just a single primary messenger can result in the generation of a large amount of second messengers. This ensures that a full intracellular response can be produced even with a low amount of signal outside of the cell. Many signalling pathways make use of the same second messengers and this allows the cell to fine tune its response when </w:t>
      </w:r>
      <w:r w:rsidR="00654F2C">
        <w:rPr>
          <w:rFonts w:ascii="Times New Roman" w:hAnsi="Times New Roman"/>
        </w:rPr>
        <w:t>it has</w:t>
      </w:r>
      <w:r>
        <w:rPr>
          <w:rFonts w:ascii="Times New Roman" w:hAnsi="Times New Roman"/>
        </w:rPr>
        <w:t xml:space="preserve"> to</w:t>
      </w:r>
      <w:r w:rsidR="00270192">
        <w:rPr>
          <w:rFonts w:ascii="Times New Roman" w:hAnsi="Times New Roman"/>
        </w:rPr>
        <w:t>o</w:t>
      </w:r>
      <w:r>
        <w:rPr>
          <w:rFonts w:ascii="Times New Roman" w:hAnsi="Times New Roman"/>
        </w:rPr>
        <w:t xml:space="preserve"> many signals. The second messenger activate</w:t>
      </w:r>
      <w:r w:rsidR="00654F2C">
        <w:rPr>
          <w:rFonts w:ascii="Times New Roman" w:hAnsi="Times New Roman"/>
        </w:rPr>
        <w:t>s</w:t>
      </w:r>
      <w:r>
        <w:rPr>
          <w:rFonts w:ascii="Times New Roman" w:hAnsi="Times New Roman"/>
        </w:rPr>
        <w:t xml:space="preserve"> the effector process in the cell such as blocking pumps, activating enzymes or transcription factors that alter gene expression. Once the cell ha</w:t>
      </w:r>
      <w:r w:rsidR="00654F2C">
        <w:rPr>
          <w:rFonts w:ascii="Times New Roman" w:hAnsi="Times New Roman"/>
        </w:rPr>
        <w:t>s</w:t>
      </w:r>
      <w:r>
        <w:rPr>
          <w:rFonts w:ascii="Times New Roman" w:hAnsi="Times New Roman"/>
        </w:rPr>
        <w:t xml:space="preserve"> responded to the signal it is important that the pathway inside the cell is terminated to ensure the cell maintains homeostasis. This can be achieved by receptor</w:t>
      </w:r>
      <w:r w:rsidR="007860D6">
        <w:rPr>
          <w:rFonts w:ascii="Times New Roman" w:hAnsi="Times New Roman"/>
        </w:rPr>
        <w:t xml:space="preserve"> </w:t>
      </w:r>
      <w:r>
        <w:rPr>
          <w:rFonts w:ascii="Times New Roman" w:hAnsi="Times New Roman"/>
        </w:rPr>
        <w:t>internalisation or second</w:t>
      </w:r>
      <w:r w:rsidR="00654F2C">
        <w:rPr>
          <w:rFonts w:ascii="Times New Roman" w:hAnsi="Times New Roman"/>
        </w:rPr>
        <w:t xml:space="preserve"> </w:t>
      </w:r>
      <w:r>
        <w:rPr>
          <w:rFonts w:ascii="Times New Roman" w:hAnsi="Times New Roman"/>
        </w:rPr>
        <w:t xml:space="preserve">messenger degradation. Failure to terminate properly can cause diseases such as cancer </w:t>
      </w:r>
      <w:r w:rsidRPr="00800E99">
        <w:rPr>
          <w:rFonts w:ascii="Times New Roman" w:hAnsi="Times New Roman"/>
          <w:color w:val="000000"/>
        </w:rPr>
        <w:t>(Berg</w:t>
      </w:r>
      <w:r w:rsidRPr="00800E99">
        <w:rPr>
          <w:rStyle w:val="apple-converted-space"/>
          <w:rFonts w:ascii="Times New Roman" w:eastAsiaTheme="majorEastAsia" w:hAnsi="Times New Roman"/>
          <w:color w:val="000000"/>
        </w:rPr>
        <w:t> </w:t>
      </w:r>
      <w:r w:rsidRPr="00800E99">
        <w:rPr>
          <w:rFonts w:ascii="Times New Roman" w:hAnsi="Times New Roman"/>
          <w:i/>
          <w:iCs/>
          <w:color w:val="000000"/>
        </w:rPr>
        <w:t>et al.</w:t>
      </w:r>
      <w:r w:rsidRPr="00800E99">
        <w:rPr>
          <w:rFonts w:ascii="Times New Roman" w:hAnsi="Times New Roman"/>
          <w:color w:val="000000"/>
        </w:rPr>
        <w:t>, 2019, pp. 397–422)</w:t>
      </w:r>
      <w:r>
        <w:rPr>
          <w:rFonts w:ascii="Times New Roman" w:hAnsi="Times New Roman"/>
          <w:color w:val="000000"/>
        </w:rPr>
        <w:t>.</w:t>
      </w:r>
    </w:p>
    <w:p w14:paraId="7F23235B" w14:textId="77777777" w:rsidR="002F5F6C" w:rsidRDefault="002F5F6C" w:rsidP="00B420B1">
      <w:pPr>
        <w:pStyle w:val="NoSpacing"/>
        <w:jc w:val="both"/>
        <w:rPr>
          <w:rFonts w:ascii="Times New Roman" w:hAnsi="Times New Roman"/>
          <w:b/>
          <w:bCs/>
          <w:color w:val="000000"/>
        </w:rPr>
      </w:pPr>
    </w:p>
    <w:p w14:paraId="6F5C0DC7" w14:textId="2BAB291F" w:rsidR="00800E99" w:rsidRDefault="00800E99" w:rsidP="00B420B1">
      <w:pPr>
        <w:pStyle w:val="NoSpacing"/>
        <w:jc w:val="both"/>
        <w:rPr>
          <w:rFonts w:ascii="Times New Roman" w:hAnsi="Times New Roman"/>
          <w:color w:val="000000"/>
        </w:rPr>
      </w:pPr>
      <w:r>
        <w:rPr>
          <w:rFonts w:ascii="Times New Roman" w:hAnsi="Times New Roman"/>
        </w:rPr>
        <w:t>Endocrine signalling is when a ligand released from a gland to a target tissue via the blood stream (E J M Helmreich, 2001). An example of endocrine signalling is the release of insulin after an increase in blood glucose levels. Insulin is released from the pancreatic beta cells. Insulin binds to the insulin receptor in the plasma membrane, which activates the receptor. The activated receptor can the</w:t>
      </w:r>
      <w:r w:rsidR="00654F2C">
        <w:rPr>
          <w:rFonts w:ascii="Times New Roman" w:hAnsi="Times New Roman"/>
        </w:rPr>
        <w:t>n</w:t>
      </w:r>
      <w:r>
        <w:rPr>
          <w:rFonts w:ascii="Times New Roman" w:hAnsi="Times New Roman"/>
        </w:rPr>
        <w:t xml:space="preserve"> recruit proteins to produce the second messenger PIP</w:t>
      </w:r>
      <w:r>
        <w:rPr>
          <w:rFonts w:ascii="Times New Roman" w:hAnsi="Times New Roman"/>
          <w:vertAlign w:val="subscript"/>
        </w:rPr>
        <w:t>3</w:t>
      </w:r>
      <w:r>
        <w:rPr>
          <w:rFonts w:ascii="Times New Roman" w:hAnsi="Times New Roman"/>
        </w:rPr>
        <w:t xml:space="preserve">, in the </w:t>
      </w:r>
      <w:r>
        <w:rPr>
          <w:rFonts w:ascii="Times New Roman" w:hAnsi="Times New Roman"/>
        </w:rPr>
        <w:lastRenderedPageBreak/>
        <w:t>phospholipid bilayer. The enzyme PDK1 binds to, and is activated by PIP</w:t>
      </w:r>
      <w:r>
        <w:rPr>
          <w:rFonts w:ascii="Times New Roman" w:hAnsi="Times New Roman"/>
          <w:vertAlign w:val="subscript"/>
        </w:rPr>
        <w:t>3</w:t>
      </w:r>
      <w:r>
        <w:rPr>
          <w:rFonts w:ascii="Times New Roman" w:hAnsi="Times New Roman"/>
        </w:rPr>
        <w:t>, resulting in the production of the enzyme Akt.</w:t>
      </w:r>
      <w:r w:rsidR="00270192">
        <w:rPr>
          <w:rFonts w:ascii="Times New Roman" w:hAnsi="Times New Roman"/>
        </w:rPr>
        <w:t xml:space="preserve"> </w:t>
      </w:r>
      <w:r>
        <w:rPr>
          <w:rFonts w:ascii="Times New Roman" w:hAnsi="Times New Roman"/>
        </w:rPr>
        <w:t>Akt is not membrane anchored and can diffuse through the cell spreading the message that insulin is present at the cell surface. Akt causes trafficking of glucose transporter proteins GLUT4 to the cell surface, allowing for glucose uptake</w:t>
      </w:r>
      <w:r w:rsidRPr="00666ADE">
        <w:rPr>
          <w:rFonts w:ascii="Times New Roman" w:hAnsi="Times New Roman"/>
        </w:rPr>
        <w:t>. Enzymes</w:t>
      </w:r>
      <w:r>
        <w:rPr>
          <w:rFonts w:ascii="Times New Roman" w:hAnsi="Times New Roman"/>
        </w:rPr>
        <w:t xml:space="preserve"> involved in glycogen synthesis are also activated by Akt. It is important that once blood sugar levels have been reduced this system shuts off to avoid hypoglycaemia. Termination is achieved through receptor internalisation and deactivation of enzymes </w:t>
      </w:r>
      <w:r w:rsidRPr="00800E99">
        <w:rPr>
          <w:rFonts w:ascii="Times New Roman" w:hAnsi="Times New Roman"/>
          <w:color w:val="000000"/>
        </w:rPr>
        <w:t>(Berg</w:t>
      </w:r>
      <w:r w:rsidRPr="00800E99">
        <w:rPr>
          <w:rStyle w:val="apple-converted-space"/>
          <w:rFonts w:ascii="Times New Roman" w:eastAsiaTheme="majorEastAsia" w:hAnsi="Times New Roman"/>
          <w:color w:val="000000"/>
        </w:rPr>
        <w:t> </w:t>
      </w:r>
      <w:r w:rsidRPr="00800E99">
        <w:rPr>
          <w:rFonts w:ascii="Times New Roman" w:hAnsi="Times New Roman"/>
          <w:i/>
          <w:iCs/>
          <w:color w:val="000000"/>
        </w:rPr>
        <w:t>et al.</w:t>
      </w:r>
      <w:r w:rsidRPr="00800E99">
        <w:rPr>
          <w:rFonts w:ascii="Times New Roman" w:hAnsi="Times New Roman"/>
          <w:color w:val="000000"/>
        </w:rPr>
        <w:t>, 2019, pp. 397–422)</w:t>
      </w:r>
      <w:r>
        <w:rPr>
          <w:rFonts w:ascii="Times New Roman" w:hAnsi="Times New Roman"/>
          <w:color w:val="000000"/>
        </w:rPr>
        <w:t xml:space="preserve">. </w:t>
      </w:r>
    </w:p>
    <w:p w14:paraId="4AA4C967" w14:textId="77777777" w:rsidR="002F5F6C" w:rsidRDefault="002F5F6C" w:rsidP="00800E99">
      <w:pPr>
        <w:pStyle w:val="NoSpacing"/>
        <w:jc w:val="both"/>
        <w:rPr>
          <w:rFonts w:ascii="Times New Roman" w:hAnsi="Times New Roman"/>
          <w:b/>
          <w:bCs/>
          <w:color w:val="000000"/>
        </w:rPr>
      </w:pPr>
    </w:p>
    <w:p w14:paraId="358E0589" w14:textId="7CC5A622" w:rsidR="00800E99" w:rsidRDefault="00800E99" w:rsidP="00800E99">
      <w:pPr>
        <w:pStyle w:val="NoSpacing"/>
        <w:jc w:val="both"/>
        <w:rPr>
          <w:rFonts w:ascii="Times New Roman" w:hAnsi="Times New Roman"/>
          <w:color w:val="000000"/>
        </w:rPr>
      </w:pPr>
      <w:r>
        <w:rPr>
          <w:rFonts w:ascii="Times New Roman" w:hAnsi="Times New Roman"/>
        </w:rPr>
        <w:t xml:space="preserve">Another example of endocrine signalling is epinephrine. Epinephrine is released from </w:t>
      </w:r>
      <w:r w:rsidR="00654F2C">
        <w:rPr>
          <w:rFonts w:ascii="Times New Roman" w:hAnsi="Times New Roman"/>
        </w:rPr>
        <w:t xml:space="preserve">the </w:t>
      </w:r>
      <w:r>
        <w:rPr>
          <w:rFonts w:ascii="Times New Roman" w:hAnsi="Times New Roman"/>
        </w:rPr>
        <w:t xml:space="preserve">adrenal glands into the blood stream, in response to stress. Epinephrine is responsible for the fight or flight response. This includes increased heart rate, dilation of smooth muscle, and glycogen break down. Epinephrine binds to the beta-adrenergic receptor, activating it, resulting in the production of cyclic AMP inside the cell. In turn, Cylic AMP activates protein kinase A which activates enzymes involved in producing the fight or flight response. Protein kinase A activates the enzyme responsible for breaking-down glycogen and deactivates the enzyme responsible for making glycogen. This increases the availability of glucose in muscle cells allowing for rapid contraction. In the liver, epinephrine stimulates gluconeogenesis, allowing more glucose to be delivered to muscle tissues </w:t>
      </w:r>
      <w:r w:rsidRPr="00800E99">
        <w:rPr>
          <w:rFonts w:ascii="Times New Roman" w:hAnsi="Times New Roman"/>
          <w:color w:val="000000"/>
        </w:rPr>
        <w:t>(Berg</w:t>
      </w:r>
      <w:r w:rsidRPr="00800E99">
        <w:rPr>
          <w:rStyle w:val="apple-converted-space"/>
          <w:rFonts w:ascii="Times New Roman" w:eastAsiaTheme="majorEastAsia" w:hAnsi="Times New Roman"/>
          <w:color w:val="000000"/>
        </w:rPr>
        <w:t> </w:t>
      </w:r>
      <w:r w:rsidRPr="00800E99">
        <w:rPr>
          <w:rFonts w:ascii="Times New Roman" w:hAnsi="Times New Roman"/>
          <w:i/>
          <w:iCs/>
          <w:color w:val="000000"/>
        </w:rPr>
        <w:t>et al.</w:t>
      </w:r>
      <w:r w:rsidRPr="00800E99">
        <w:rPr>
          <w:rFonts w:ascii="Times New Roman" w:hAnsi="Times New Roman"/>
          <w:color w:val="000000"/>
        </w:rPr>
        <w:t>, 2019, pp. 397–422)</w:t>
      </w:r>
      <w:r>
        <w:rPr>
          <w:rFonts w:ascii="Times New Roman" w:hAnsi="Times New Roman"/>
          <w:color w:val="000000"/>
        </w:rPr>
        <w:t xml:space="preserve">. </w:t>
      </w:r>
    </w:p>
    <w:p w14:paraId="49AF080F" w14:textId="77777777" w:rsidR="002F5F6C" w:rsidRDefault="002F5F6C" w:rsidP="004105E1">
      <w:pPr>
        <w:pStyle w:val="NoSpacing"/>
        <w:jc w:val="both"/>
        <w:rPr>
          <w:rFonts w:ascii="Times New Roman" w:hAnsi="Times New Roman"/>
          <w:color w:val="000000"/>
        </w:rPr>
      </w:pPr>
    </w:p>
    <w:p w14:paraId="1D0B30BB" w14:textId="0D211854" w:rsidR="00B86DDF" w:rsidRDefault="004105E1" w:rsidP="004105E1">
      <w:pPr>
        <w:pStyle w:val="NoSpacing"/>
        <w:jc w:val="both"/>
        <w:rPr>
          <w:rFonts w:ascii="Times New Roman" w:hAnsi="Times New Roman"/>
          <w:color w:val="000000"/>
        </w:rPr>
      </w:pPr>
      <w:r>
        <w:rPr>
          <w:rFonts w:ascii="Times New Roman" w:hAnsi="Times New Roman"/>
          <w:color w:val="000000"/>
        </w:rPr>
        <w:t xml:space="preserve">There are several </w:t>
      </w:r>
      <w:r w:rsidR="00800E99">
        <w:rPr>
          <w:rFonts w:ascii="Times New Roman" w:hAnsi="Times New Roman"/>
          <w:color w:val="000000"/>
        </w:rPr>
        <w:t>other</w:t>
      </w:r>
      <w:r>
        <w:rPr>
          <w:rFonts w:ascii="Times New Roman" w:hAnsi="Times New Roman"/>
          <w:color w:val="000000"/>
        </w:rPr>
        <w:t xml:space="preserve"> types of </w:t>
      </w:r>
      <w:proofErr w:type="gramStart"/>
      <w:r w:rsidR="00800E99">
        <w:rPr>
          <w:rFonts w:ascii="Times New Roman" w:hAnsi="Times New Roman"/>
          <w:color w:val="000000"/>
        </w:rPr>
        <w:t>cell</w:t>
      </w:r>
      <w:proofErr w:type="gramEnd"/>
      <w:r w:rsidR="00800E99">
        <w:rPr>
          <w:rFonts w:ascii="Times New Roman" w:hAnsi="Times New Roman"/>
          <w:color w:val="000000"/>
        </w:rPr>
        <w:t xml:space="preserve"> </w:t>
      </w:r>
      <w:r>
        <w:rPr>
          <w:rFonts w:ascii="Times New Roman" w:hAnsi="Times New Roman"/>
          <w:color w:val="000000"/>
        </w:rPr>
        <w:t>signalling</w:t>
      </w:r>
      <w:r w:rsidR="00800E99">
        <w:rPr>
          <w:rFonts w:ascii="Times New Roman" w:hAnsi="Times New Roman"/>
          <w:color w:val="000000"/>
        </w:rPr>
        <w:t xml:space="preserve"> besides endocrine. These include</w:t>
      </w:r>
      <w:r>
        <w:rPr>
          <w:rFonts w:ascii="Times New Roman" w:hAnsi="Times New Roman"/>
          <w:color w:val="000000"/>
        </w:rPr>
        <w:t xml:space="preserve"> paracrine, autocrine, intracrine</w:t>
      </w:r>
      <w:r w:rsidR="00800E99">
        <w:rPr>
          <w:rFonts w:ascii="Times New Roman" w:hAnsi="Times New Roman"/>
          <w:color w:val="000000"/>
        </w:rPr>
        <w:t>,</w:t>
      </w:r>
      <w:r>
        <w:rPr>
          <w:rFonts w:ascii="Times New Roman" w:hAnsi="Times New Roman"/>
          <w:color w:val="000000"/>
        </w:rPr>
        <w:t xml:space="preserve"> and </w:t>
      </w:r>
      <w:r w:rsidR="00D00F2E">
        <w:rPr>
          <w:rFonts w:ascii="Times New Roman" w:hAnsi="Times New Roman"/>
          <w:color w:val="000000"/>
        </w:rPr>
        <w:t>juxtacrine</w:t>
      </w:r>
      <w:r>
        <w:rPr>
          <w:rFonts w:ascii="Times New Roman" w:hAnsi="Times New Roman"/>
          <w:color w:val="000000"/>
        </w:rPr>
        <w:t xml:space="preserve"> </w:t>
      </w:r>
      <w:r w:rsidR="002F7A38" w:rsidRPr="002F7A38">
        <w:rPr>
          <w:rFonts w:ascii="Times New Roman" w:hAnsi="Times New Roman"/>
          <w:color w:val="000000"/>
        </w:rPr>
        <w:t>(Hancock, 2017)</w:t>
      </w:r>
      <w:r w:rsidR="002F7A38">
        <w:rPr>
          <w:rFonts w:ascii="Times New Roman" w:hAnsi="Times New Roman"/>
          <w:color w:val="000000"/>
        </w:rPr>
        <w:t xml:space="preserve">. </w:t>
      </w:r>
    </w:p>
    <w:p w14:paraId="58B84BC7" w14:textId="515A7000" w:rsidR="00974BC7" w:rsidRDefault="004105E1" w:rsidP="00B420B1">
      <w:pPr>
        <w:pStyle w:val="NoSpacing"/>
        <w:jc w:val="both"/>
        <w:rPr>
          <w:rFonts w:ascii="Times New Roman" w:hAnsi="Times New Roman"/>
          <w:color w:val="000000"/>
        </w:rPr>
      </w:pPr>
      <w:r>
        <w:rPr>
          <w:rFonts w:ascii="Times New Roman" w:hAnsi="Times New Roman"/>
          <w:color w:val="000000"/>
        </w:rPr>
        <w:t xml:space="preserve">Paracrine signalling is </w:t>
      </w:r>
      <w:r w:rsidR="00B86DDF">
        <w:rPr>
          <w:rFonts w:ascii="Times New Roman" w:hAnsi="Times New Roman"/>
          <w:color w:val="000000"/>
        </w:rPr>
        <w:t>when a cell releases a molecule to a close by neighbouring cell within the same tissue</w:t>
      </w:r>
      <w:r w:rsidR="00E970D4">
        <w:rPr>
          <w:rFonts w:ascii="Times New Roman" w:hAnsi="Times New Roman"/>
          <w:color w:val="000000"/>
        </w:rPr>
        <w:t>.</w:t>
      </w:r>
      <w:r w:rsidR="00B86DDF">
        <w:rPr>
          <w:rFonts w:ascii="Times New Roman" w:hAnsi="Times New Roman"/>
          <w:color w:val="000000"/>
        </w:rPr>
        <w:t xml:space="preserve"> </w:t>
      </w:r>
      <w:r w:rsidR="00800E99">
        <w:rPr>
          <w:rFonts w:ascii="Times New Roman" w:hAnsi="Times New Roman"/>
          <w:color w:val="000000"/>
        </w:rPr>
        <w:t>An example is</w:t>
      </w:r>
      <w:r w:rsidR="00B86DDF">
        <w:rPr>
          <w:rFonts w:ascii="Times New Roman" w:hAnsi="Times New Roman"/>
          <w:color w:val="000000"/>
        </w:rPr>
        <w:t xml:space="preserve"> neurotransmitters, cytokines or growth factors. </w:t>
      </w:r>
      <w:r w:rsidR="00800E99">
        <w:rPr>
          <w:rFonts w:ascii="Times New Roman" w:hAnsi="Times New Roman"/>
          <w:color w:val="000000"/>
        </w:rPr>
        <w:t xml:space="preserve">In the nervous system signals are passed from neuron to neuron using paracrine signalling. When the action potential reaches the end of the axon, synaptic vesicles release neurotransmitters into the </w:t>
      </w:r>
      <w:r w:rsidR="00666ADE">
        <w:rPr>
          <w:rFonts w:ascii="Times New Roman" w:hAnsi="Times New Roman"/>
          <w:color w:val="000000"/>
        </w:rPr>
        <w:t>synaptic</w:t>
      </w:r>
      <w:r w:rsidR="00800E99">
        <w:rPr>
          <w:rFonts w:ascii="Times New Roman" w:hAnsi="Times New Roman"/>
          <w:color w:val="000000"/>
        </w:rPr>
        <w:t xml:space="preserve"> cleft via exocytosis. The neurotransmitters then diffuse across the synaptic cleft and bind to </w:t>
      </w:r>
      <w:r w:rsidR="00666ADE">
        <w:rPr>
          <w:rFonts w:ascii="Times New Roman" w:hAnsi="Times New Roman"/>
          <w:color w:val="000000"/>
        </w:rPr>
        <w:t>receptors</w:t>
      </w:r>
      <w:r w:rsidR="00800E99">
        <w:rPr>
          <w:rFonts w:ascii="Times New Roman" w:hAnsi="Times New Roman"/>
          <w:color w:val="000000"/>
        </w:rPr>
        <w:t xml:space="preserve"> on the post </w:t>
      </w:r>
      <w:r w:rsidR="00666ADE">
        <w:rPr>
          <w:rFonts w:ascii="Times New Roman" w:hAnsi="Times New Roman"/>
          <w:color w:val="000000"/>
        </w:rPr>
        <w:t>synaptic</w:t>
      </w:r>
      <w:r w:rsidR="00800E99">
        <w:rPr>
          <w:rFonts w:ascii="Times New Roman" w:hAnsi="Times New Roman"/>
          <w:color w:val="000000"/>
        </w:rPr>
        <w:t xml:space="preserve"> membrane of the next neuron; this passes the signal onwards. </w:t>
      </w:r>
      <w:r w:rsidR="00B86DDF">
        <w:rPr>
          <w:rFonts w:ascii="Times New Roman" w:hAnsi="Times New Roman"/>
          <w:color w:val="000000"/>
        </w:rPr>
        <w:t xml:space="preserve">As paracrine signalling is localised, it means it is fast and can respond to changes </w:t>
      </w:r>
      <w:r w:rsidR="00EF1947">
        <w:rPr>
          <w:rFonts w:ascii="Times New Roman" w:hAnsi="Times New Roman"/>
          <w:color w:val="000000"/>
        </w:rPr>
        <w:t xml:space="preserve">quickly </w:t>
      </w:r>
      <w:r w:rsidR="00B86DDF">
        <w:rPr>
          <w:rFonts w:ascii="Times New Roman" w:hAnsi="Times New Roman"/>
          <w:color w:val="000000"/>
        </w:rPr>
        <w:t xml:space="preserve">to ensure there are no delayed </w:t>
      </w:r>
      <w:r w:rsidR="00B86DDF" w:rsidRPr="00800E99">
        <w:rPr>
          <w:rFonts w:ascii="Times New Roman" w:hAnsi="Times New Roman"/>
          <w:color w:val="000000"/>
        </w:rPr>
        <w:t>responses</w:t>
      </w:r>
      <w:r w:rsidR="00800E99" w:rsidRPr="00800E99">
        <w:rPr>
          <w:rFonts w:ascii="Times New Roman" w:hAnsi="Times New Roman"/>
          <w:color w:val="000000"/>
        </w:rPr>
        <w:t xml:space="preserve"> (Cotman and McGaugh, 1980).</w:t>
      </w:r>
    </w:p>
    <w:p w14:paraId="7F31863B" w14:textId="75B4EBC6" w:rsidR="00974BC7" w:rsidRDefault="002F7A38" w:rsidP="00B420B1">
      <w:pPr>
        <w:pStyle w:val="NoSpacing"/>
        <w:jc w:val="both"/>
        <w:rPr>
          <w:rFonts w:ascii="Times New Roman" w:hAnsi="Times New Roman"/>
          <w:color w:val="000000"/>
        </w:rPr>
      </w:pPr>
      <w:r>
        <w:rPr>
          <w:rFonts w:ascii="Times New Roman" w:hAnsi="Times New Roman"/>
          <w:color w:val="000000"/>
        </w:rPr>
        <w:t xml:space="preserve">Autocrine signalling is </w:t>
      </w:r>
      <w:r w:rsidR="00F2683A">
        <w:rPr>
          <w:rFonts w:ascii="Times New Roman" w:hAnsi="Times New Roman"/>
          <w:color w:val="000000"/>
        </w:rPr>
        <w:t>when a cell sends a signalling molecule that binds to receptors on the same cell, leading to adaptions within that same cell</w:t>
      </w:r>
      <w:r w:rsidR="008A0442">
        <w:rPr>
          <w:rFonts w:ascii="Times New Roman" w:hAnsi="Times New Roman"/>
          <w:color w:val="000000"/>
        </w:rPr>
        <w:t xml:space="preserve"> type</w:t>
      </w:r>
      <w:r w:rsidR="00F2683A">
        <w:rPr>
          <w:rFonts w:ascii="Times New Roman" w:hAnsi="Times New Roman"/>
          <w:color w:val="000000"/>
        </w:rPr>
        <w:t xml:space="preserve"> </w:t>
      </w:r>
      <w:r w:rsidR="00F2683A" w:rsidRPr="00F2683A">
        <w:rPr>
          <w:rFonts w:ascii="Times New Roman" w:hAnsi="Times New Roman"/>
          <w:color w:val="000000"/>
        </w:rPr>
        <w:t>(Science Direct, 2013</w:t>
      </w:r>
      <w:r w:rsidR="00800E99">
        <w:rPr>
          <w:rFonts w:ascii="Times New Roman" w:hAnsi="Times New Roman"/>
          <w:color w:val="000000"/>
        </w:rPr>
        <w:t xml:space="preserve">). Autocrine signalling is important in the immune system. When a T cell recognises an antigen intracellular signalling pathways are stimulated, activating the cell. Activation of the T cell results in the production and secretion of the growth cytokine IL-2, as well as its receptor. The secreted IL-2 can then bind to its receptor on the cell that secreted it. This triggers T cell cell-division generating enough T cells to fight </w:t>
      </w:r>
      <w:r w:rsidR="00800E99" w:rsidRPr="00800E99">
        <w:rPr>
          <w:rFonts w:ascii="Times New Roman" w:hAnsi="Times New Roman"/>
          <w:color w:val="000000"/>
        </w:rPr>
        <w:t>infection (Ross and Cantrell, 2018).</w:t>
      </w:r>
    </w:p>
    <w:p w14:paraId="348DAD22" w14:textId="04D5854A" w:rsidR="002B51EC" w:rsidRDefault="00851922" w:rsidP="00B420B1">
      <w:pPr>
        <w:pStyle w:val="NoSpacing"/>
        <w:jc w:val="both"/>
        <w:rPr>
          <w:rFonts w:ascii="Times New Roman" w:hAnsi="Times New Roman"/>
          <w:color w:val="000000"/>
        </w:rPr>
      </w:pPr>
      <w:r>
        <w:rPr>
          <w:rFonts w:ascii="Times New Roman" w:hAnsi="Times New Roman"/>
          <w:color w:val="000000"/>
        </w:rPr>
        <w:t>Intracrine signalling</w:t>
      </w:r>
      <w:r w:rsidR="005D7B17">
        <w:rPr>
          <w:rFonts w:ascii="Times New Roman" w:hAnsi="Times New Roman"/>
          <w:color w:val="000000"/>
        </w:rPr>
        <w:t xml:space="preserve"> </w:t>
      </w:r>
      <w:r w:rsidR="00990616">
        <w:rPr>
          <w:rFonts w:ascii="Times New Roman" w:hAnsi="Times New Roman"/>
          <w:color w:val="000000"/>
        </w:rPr>
        <w:t xml:space="preserve">is </w:t>
      </w:r>
      <w:r w:rsidR="00800E99">
        <w:rPr>
          <w:rFonts w:ascii="Times New Roman" w:hAnsi="Times New Roman"/>
          <w:color w:val="000000"/>
        </w:rPr>
        <w:t>when</w:t>
      </w:r>
      <w:r w:rsidR="002B51EC">
        <w:rPr>
          <w:rFonts w:ascii="Times New Roman" w:hAnsi="Times New Roman"/>
          <w:color w:val="000000"/>
        </w:rPr>
        <w:t xml:space="preserve"> </w:t>
      </w:r>
      <w:r w:rsidR="00800E99">
        <w:rPr>
          <w:rFonts w:ascii="Times New Roman" w:hAnsi="Times New Roman"/>
          <w:color w:val="000000"/>
        </w:rPr>
        <w:t>signalling molecules communicate with</w:t>
      </w:r>
      <w:r w:rsidR="002B51EC">
        <w:rPr>
          <w:rFonts w:ascii="Times New Roman" w:hAnsi="Times New Roman"/>
          <w:color w:val="000000"/>
        </w:rPr>
        <w:t xml:space="preserve"> the same cell that produce</w:t>
      </w:r>
      <w:r w:rsidR="00800E99">
        <w:rPr>
          <w:rFonts w:ascii="Times New Roman" w:hAnsi="Times New Roman"/>
          <w:color w:val="000000"/>
        </w:rPr>
        <w:t>s</w:t>
      </w:r>
      <w:r w:rsidR="002B51EC">
        <w:rPr>
          <w:rFonts w:ascii="Times New Roman" w:hAnsi="Times New Roman"/>
          <w:color w:val="000000"/>
        </w:rPr>
        <w:t xml:space="preserve"> them, without leaving into the extracellular space</w:t>
      </w:r>
      <w:r w:rsidR="002C297F">
        <w:rPr>
          <w:rFonts w:ascii="Times New Roman" w:hAnsi="Times New Roman"/>
          <w:color w:val="000000"/>
        </w:rPr>
        <w:t xml:space="preserve"> </w:t>
      </w:r>
      <w:r w:rsidR="002C297F" w:rsidRPr="002C297F">
        <w:rPr>
          <w:rFonts w:ascii="Times New Roman" w:hAnsi="Times New Roman"/>
          <w:color w:val="000000"/>
        </w:rPr>
        <w:t>(Dr. Damayanthi Dalu</w:t>
      </w:r>
      <w:r w:rsidR="002C297F" w:rsidRPr="002C297F">
        <w:rPr>
          <w:rStyle w:val="apple-converted-space"/>
          <w:rFonts w:ascii="Times New Roman" w:eastAsiaTheme="majorEastAsia" w:hAnsi="Times New Roman"/>
          <w:color w:val="000000"/>
        </w:rPr>
        <w:t> </w:t>
      </w:r>
      <w:r w:rsidR="002C297F" w:rsidRPr="002C297F">
        <w:rPr>
          <w:rFonts w:ascii="Times New Roman" w:hAnsi="Times New Roman"/>
          <w:i/>
          <w:iCs/>
          <w:color w:val="000000"/>
        </w:rPr>
        <w:t>et al.</w:t>
      </w:r>
      <w:r w:rsidR="002C297F" w:rsidRPr="002C297F">
        <w:rPr>
          <w:rFonts w:ascii="Times New Roman" w:hAnsi="Times New Roman"/>
          <w:color w:val="000000"/>
        </w:rPr>
        <w:t>, 2024)</w:t>
      </w:r>
      <w:r w:rsidR="002C297F">
        <w:rPr>
          <w:rFonts w:ascii="Times New Roman" w:hAnsi="Times New Roman"/>
          <w:color w:val="000000"/>
        </w:rPr>
        <w:t xml:space="preserve">. </w:t>
      </w:r>
      <w:r w:rsidR="00800E99">
        <w:rPr>
          <w:rFonts w:ascii="Times New Roman" w:hAnsi="Times New Roman"/>
          <w:color w:val="000000"/>
        </w:rPr>
        <w:t xml:space="preserve">In skin cells pre-vitamin D converts to vitamin D upon UV exposure. Vitamin D is then converted to calcitriol which binds to the intracellular vitamin D receptor, in an intracrine signalling pathway. This regulates gene expression of proteins that maintain skin </w:t>
      </w:r>
      <w:r w:rsidR="00800E99" w:rsidRPr="00800E99">
        <w:rPr>
          <w:rFonts w:ascii="Times New Roman" w:hAnsi="Times New Roman"/>
          <w:color w:val="000000"/>
        </w:rPr>
        <w:t>homeostasis</w:t>
      </w:r>
      <w:r w:rsidR="00800E99">
        <w:rPr>
          <w:rFonts w:ascii="Times New Roman" w:hAnsi="Times New Roman"/>
          <w:color w:val="000000"/>
        </w:rPr>
        <w:t xml:space="preserve"> </w:t>
      </w:r>
      <w:r w:rsidR="00800E99" w:rsidRPr="00654F2C">
        <w:rPr>
          <w:rFonts w:ascii="Times New Roman" w:hAnsi="Times New Roman"/>
          <w:color w:val="000000"/>
        </w:rPr>
        <w:t>(Bikle, 2014).</w:t>
      </w:r>
      <w:r w:rsidR="00800E99">
        <w:rPr>
          <w:rFonts w:ascii="Times New Roman" w:hAnsi="Times New Roman"/>
          <w:color w:val="000000"/>
        </w:rPr>
        <w:t xml:space="preserve"> </w:t>
      </w:r>
    </w:p>
    <w:p w14:paraId="51ECEB5F" w14:textId="38F9AE94" w:rsidR="00F62820" w:rsidRDefault="00F62820" w:rsidP="00B420B1">
      <w:pPr>
        <w:pStyle w:val="NoSpacing"/>
        <w:jc w:val="both"/>
        <w:rPr>
          <w:rFonts w:ascii="Times New Roman" w:hAnsi="Times New Roman"/>
          <w:color w:val="000000"/>
        </w:rPr>
      </w:pPr>
      <w:r>
        <w:rPr>
          <w:rFonts w:ascii="Times New Roman" w:hAnsi="Times New Roman"/>
          <w:color w:val="000000"/>
        </w:rPr>
        <w:t xml:space="preserve">Juxtacrine signalling is when </w:t>
      </w:r>
      <w:r w:rsidR="00654F2C">
        <w:rPr>
          <w:rFonts w:ascii="Times New Roman" w:hAnsi="Times New Roman"/>
          <w:color w:val="000000"/>
        </w:rPr>
        <w:t xml:space="preserve">a </w:t>
      </w:r>
      <w:r>
        <w:rPr>
          <w:rFonts w:ascii="Times New Roman" w:hAnsi="Times New Roman"/>
          <w:color w:val="000000"/>
        </w:rPr>
        <w:t xml:space="preserve">signalling molecule binds to the cell membrane and only effects adjacent cells, that are in direct contact with the signalling cell </w:t>
      </w:r>
      <w:r w:rsidRPr="00B81AC6">
        <w:rPr>
          <w:rFonts w:ascii="Times New Roman" w:hAnsi="Times New Roman"/>
          <w:color w:val="000000"/>
        </w:rPr>
        <w:t>(Dr. Damayanthi Dalu</w:t>
      </w:r>
      <w:r w:rsidRPr="00B81AC6">
        <w:rPr>
          <w:rStyle w:val="apple-converted-space"/>
          <w:rFonts w:ascii="Times New Roman" w:eastAsiaTheme="majorEastAsia" w:hAnsi="Times New Roman"/>
          <w:color w:val="000000"/>
        </w:rPr>
        <w:t> </w:t>
      </w:r>
      <w:r w:rsidRPr="00B81AC6">
        <w:rPr>
          <w:rFonts w:ascii="Times New Roman" w:hAnsi="Times New Roman"/>
          <w:i/>
          <w:iCs/>
          <w:color w:val="000000"/>
        </w:rPr>
        <w:t>et al.</w:t>
      </w:r>
      <w:r w:rsidRPr="00B81AC6">
        <w:rPr>
          <w:rFonts w:ascii="Times New Roman" w:hAnsi="Times New Roman"/>
          <w:color w:val="000000"/>
        </w:rPr>
        <w:t>, 2024)</w:t>
      </w:r>
      <w:r>
        <w:rPr>
          <w:rFonts w:ascii="Times New Roman" w:hAnsi="Times New Roman"/>
          <w:color w:val="000000"/>
        </w:rPr>
        <w:t xml:space="preserve">. </w:t>
      </w:r>
      <w:r w:rsidR="00B81AC6">
        <w:rPr>
          <w:rFonts w:ascii="Times New Roman" w:hAnsi="Times New Roman"/>
          <w:color w:val="000000"/>
        </w:rPr>
        <w:t xml:space="preserve">Physical interaction is required for the juxtracrine mechanism to work. </w:t>
      </w:r>
      <w:r w:rsidR="00654F2C">
        <w:rPr>
          <w:rFonts w:ascii="Times New Roman" w:hAnsi="Times New Roman"/>
          <w:color w:val="000000"/>
        </w:rPr>
        <w:t xml:space="preserve">T cell to B cell communication is an example. A B cell appears as an antigen on the major </w:t>
      </w:r>
      <w:r w:rsidR="00654F2C" w:rsidRPr="00654F2C">
        <w:rPr>
          <w:rFonts w:ascii="Times New Roman" w:hAnsi="Times New Roman"/>
          <w:color w:val="000000"/>
        </w:rPr>
        <w:t xml:space="preserve">histocompatibility complex class </w:t>
      </w:r>
      <w:r w:rsidR="00654F2C" w:rsidRPr="00654F2C">
        <w:rPr>
          <w:rFonts w:ascii="Times New Roman" w:hAnsi="Times New Roman"/>
          <w:color w:val="0A0A0A"/>
          <w:shd w:val="clear" w:color="auto" w:fill="FFFFFF"/>
        </w:rPr>
        <w:t>II</w:t>
      </w:r>
      <w:r w:rsidR="00654F2C">
        <w:rPr>
          <w:rFonts w:ascii="Times New Roman" w:hAnsi="Times New Roman"/>
          <w:color w:val="0A0A0A"/>
          <w:shd w:val="clear" w:color="auto" w:fill="FFFFFF"/>
        </w:rPr>
        <w:t xml:space="preserve"> (</w:t>
      </w:r>
      <w:r w:rsidR="00654F2C" w:rsidRPr="00654F2C">
        <w:rPr>
          <w:rFonts w:ascii="Times New Roman" w:hAnsi="Times New Roman"/>
          <w:color w:val="0A0A0A"/>
          <w:shd w:val="clear" w:color="auto" w:fill="FFFFFF"/>
        </w:rPr>
        <w:t>MHC-II</w:t>
      </w:r>
      <w:r w:rsidR="00654F2C">
        <w:rPr>
          <w:rFonts w:ascii="Times New Roman" w:hAnsi="Times New Roman"/>
          <w:color w:val="0A0A0A"/>
          <w:shd w:val="clear" w:color="auto" w:fill="FFFFFF"/>
        </w:rPr>
        <w:t>) surface protein, a helper T cell with the same antigen specificity recognises it and binds to the MHC-</w:t>
      </w:r>
      <w:r w:rsidR="00654F2C" w:rsidRPr="00654F2C">
        <w:rPr>
          <w:rFonts w:ascii="Times New Roman" w:hAnsi="Times New Roman"/>
          <w:color w:val="0A0A0A"/>
          <w:shd w:val="clear" w:color="auto" w:fill="FFFFFF"/>
        </w:rPr>
        <w:t>II</w:t>
      </w:r>
      <w:r w:rsidR="00654F2C">
        <w:rPr>
          <w:rFonts w:ascii="Times New Roman" w:hAnsi="Times New Roman"/>
          <w:color w:val="0A0A0A"/>
          <w:shd w:val="clear" w:color="auto" w:fill="FFFFFF"/>
        </w:rPr>
        <w:t>, pulling the cells in contact with each other. Membrane bound communication between the ligand CD40 on the helper T cell and on the B cell</w:t>
      </w:r>
      <w:r w:rsidR="00270192">
        <w:rPr>
          <w:rFonts w:ascii="Times New Roman" w:hAnsi="Times New Roman"/>
          <w:color w:val="0A0A0A"/>
          <w:shd w:val="clear" w:color="auto" w:fill="FFFFFF"/>
        </w:rPr>
        <w:t xml:space="preserve">, </w:t>
      </w:r>
      <w:r w:rsidR="00654F2C">
        <w:rPr>
          <w:rFonts w:ascii="Times New Roman" w:hAnsi="Times New Roman"/>
          <w:color w:val="0A0A0A"/>
          <w:shd w:val="clear" w:color="auto" w:fill="FFFFFF"/>
        </w:rPr>
        <w:lastRenderedPageBreak/>
        <w:t xml:space="preserve">stimulates the helper T cell to release cytokines to promote B cell proliferation into antibody secreting plasma cells that help respond to an immune </w:t>
      </w:r>
      <w:r w:rsidR="00654F2C" w:rsidRPr="00654F2C">
        <w:rPr>
          <w:rFonts w:ascii="Times New Roman" w:hAnsi="Times New Roman"/>
          <w:color w:val="0A0A0A"/>
          <w:shd w:val="clear" w:color="auto" w:fill="FFFFFF"/>
        </w:rPr>
        <w:t xml:space="preserve">infection </w:t>
      </w:r>
      <w:r w:rsidR="00654F2C" w:rsidRPr="00654F2C">
        <w:rPr>
          <w:rFonts w:ascii="Times New Roman" w:hAnsi="Times New Roman"/>
          <w:color w:val="000000"/>
        </w:rPr>
        <w:t>(Dustin, 2016)</w:t>
      </w:r>
      <w:r w:rsidR="00654F2C">
        <w:rPr>
          <w:rFonts w:ascii="Times New Roman" w:hAnsi="Times New Roman"/>
          <w:color w:val="000000"/>
        </w:rPr>
        <w:t>.</w:t>
      </w:r>
    </w:p>
    <w:p w14:paraId="3A4BD838" w14:textId="3C39C9C3" w:rsidR="00654F2C" w:rsidRDefault="00654F2C" w:rsidP="00B420B1">
      <w:pPr>
        <w:pStyle w:val="NoSpacing"/>
        <w:jc w:val="both"/>
        <w:rPr>
          <w:rFonts w:ascii="Times New Roman" w:hAnsi="Times New Roman"/>
          <w:color w:val="000000"/>
        </w:rPr>
      </w:pPr>
      <w:r>
        <w:rPr>
          <w:rFonts w:ascii="Times New Roman" w:hAnsi="Times New Roman"/>
          <w:color w:val="000000"/>
        </w:rPr>
        <w:t xml:space="preserve"> </w:t>
      </w:r>
    </w:p>
    <w:p w14:paraId="2DFF3DE5" w14:textId="108D9804" w:rsidR="00E75718" w:rsidRPr="00DE50B8" w:rsidRDefault="00C95C25" w:rsidP="00B420B1">
      <w:pPr>
        <w:pStyle w:val="NoSpacing"/>
        <w:jc w:val="both"/>
        <w:rPr>
          <w:rFonts w:ascii="Times New Roman" w:hAnsi="Times New Roman"/>
          <w:color w:val="000000"/>
        </w:rPr>
      </w:pPr>
      <w:r>
        <w:rPr>
          <w:rFonts w:ascii="Times New Roman" w:hAnsi="Times New Roman"/>
          <w:color w:val="000000"/>
        </w:rPr>
        <w:t>Cell signalling is important for maintaining healthy functioning</w:t>
      </w:r>
      <w:r w:rsidR="00C97F02">
        <w:rPr>
          <w:rFonts w:ascii="Times New Roman" w:hAnsi="Times New Roman"/>
          <w:color w:val="000000"/>
        </w:rPr>
        <w:t xml:space="preserve"> cells</w:t>
      </w:r>
      <w:r w:rsidR="00DE50B8">
        <w:rPr>
          <w:rFonts w:ascii="Times New Roman" w:hAnsi="Times New Roman"/>
          <w:color w:val="000000"/>
        </w:rPr>
        <w:t>. Cells</w:t>
      </w:r>
      <w:r w:rsidR="00C97F02">
        <w:rPr>
          <w:rFonts w:ascii="Times New Roman" w:hAnsi="Times New Roman"/>
          <w:color w:val="000000"/>
        </w:rPr>
        <w:t xml:space="preserve"> are </w:t>
      </w:r>
      <w:r w:rsidR="00DE50B8">
        <w:rPr>
          <w:rFonts w:ascii="Times New Roman" w:hAnsi="Times New Roman"/>
          <w:color w:val="000000"/>
        </w:rPr>
        <w:t>continuously</w:t>
      </w:r>
      <w:r w:rsidR="00C97F02">
        <w:rPr>
          <w:rFonts w:ascii="Times New Roman" w:hAnsi="Times New Roman"/>
          <w:color w:val="000000"/>
        </w:rPr>
        <w:t xml:space="preserve"> reproducing to replace </w:t>
      </w:r>
      <w:r w:rsidR="00DE50B8">
        <w:rPr>
          <w:rFonts w:ascii="Times New Roman" w:hAnsi="Times New Roman"/>
          <w:color w:val="000000"/>
        </w:rPr>
        <w:t>old ones</w:t>
      </w:r>
      <w:r w:rsidR="00C97F02">
        <w:rPr>
          <w:rFonts w:ascii="Times New Roman" w:hAnsi="Times New Roman"/>
          <w:color w:val="000000"/>
        </w:rPr>
        <w:t xml:space="preserve">. Natural cell death is healthy, but issues do occur when </w:t>
      </w:r>
      <w:r w:rsidR="006B6D5F">
        <w:rPr>
          <w:rFonts w:ascii="Times New Roman" w:hAnsi="Times New Roman"/>
          <w:color w:val="000000"/>
        </w:rPr>
        <w:t>cells</w:t>
      </w:r>
      <w:r w:rsidR="00C97F02">
        <w:rPr>
          <w:rFonts w:ascii="Times New Roman" w:hAnsi="Times New Roman"/>
          <w:color w:val="000000"/>
        </w:rPr>
        <w:t xml:space="preserve"> don’t die as expected. Apoptosis is a programmed cell death that occurs naturally as cells </w:t>
      </w:r>
      <w:r w:rsidR="00DE50B8">
        <w:rPr>
          <w:rFonts w:ascii="Times New Roman" w:hAnsi="Times New Roman"/>
          <w:color w:val="000000"/>
        </w:rPr>
        <w:t xml:space="preserve">are no longer functional </w:t>
      </w:r>
      <w:r w:rsidR="00C97F02">
        <w:rPr>
          <w:rFonts w:ascii="Times New Roman" w:hAnsi="Times New Roman"/>
          <w:color w:val="000000"/>
        </w:rPr>
        <w:t>in the body; the death of old cells, so that new ones can take their place and fulfil their roles.</w:t>
      </w:r>
      <w:r w:rsidR="00787AFD">
        <w:rPr>
          <w:rFonts w:ascii="Times New Roman" w:hAnsi="Times New Roman"/>
          <w:color w:val="000000"/>
        </w:rPr>
        <w:t xml:space="preserve"> When something interferes with this natural programmed cell death, old and damaged cells can still reproduce and can </w:t>
      </w:r>
      <w:r w:rsidR="006B6D5F">
        <w:rPr>
          <w:rFonts w:ascii="Times New Roman" w:hAnsi="Times New Roman"/>
          <w:color w:val="000000"/>
        </w:rPr>
        <w:t>develop into</w:t>
      </w:r>
      <w:r w:rsidR="00787AFD">
        <w:rPr>
          <w:rFonts w:ascii="Times New Roman" w:hAnsi="Times New Roman"/>
          <w:color w:val="000000"/>
        </w:rPr>
        <w:t xml:space="preserve"> tumours and cancers.</w:t>
      </w:r>
      <w:r w:rsidR="00DE50B8">
        <w:rPr>
          <w:rFonts w:ascii="Times New Roman" w:hAnsi="Times New Roman"/>
          <w:color w:val="000000"/>
        </w:rPr>
        <w:t xml:space="preserve"> </w:t>
      </w:r>
      <w:r w:rsidR="00787AFD">
        <w:rPr>
          <w:rFonts w:ascii="Times New Roman" w:hAnsi="Times New Roman"/>
          <w:color w:val="000000"/>
        </w:rPr>
        <w:t>Autophagy is an additional natural programmed cell death</w:t>
      </w:r>
      <w:r w:rsidR="00E75718">
        <w:rPr>
          <w:rFonts w:ascii="Times New Roman" w:hAnsi="Times New Roman"/>
          <w:color w:val="000000"/>
        </w:rPr>
        <w:t xml:space="preserve">, </w:t>
      </w:r>
      <w:r w:rsidR="00787AFD">
        <w:rPr>
          <w:rFonts w:ascii="Times New Roman" w:hAnsi="Times New Roman"/>
          <w:color w:val="000000"/>
        </w:rPr>
        <w:t>where cells digest their own internal components or microbial invaders</w:t>
      </w:r>
      <w:r w:rsidR="00E75718">
        <w:rPr>
          <w:rFonts w:ascii="Times New Roman" w:hAnsi="Times New Roman"/>
          <w:color w:val="000000"/>
        </w:rPr>
        <w:t xml:space="preserve">. This occurs in the immune system when your body is trying to get rid of infection causing viruses and bacteria and avoid healthy cells becoming </w:t>
      </w:r>
      <w:r w:rsidR="00E75718" w:rsidRPr="00E75718">
        <w:rPr>
          <w:rFonts w:ascii="Times New Roman" w:hAnsi="Times New Roman"/>
          <w:color w:val="000000"/>
        </w:rPr>
        <w:t>cancerous (Cleveland Clinic, 2023).</w:t>
      </w:r>
      <w:r w:rsidR="00E75718">
        <w:rPr>
          <w:rFonts w:ascii="Times New Roman" w:hAnsi="Times New Roman"/>
          <w:color w:val="000000"/>
        </w:rPr>
        <w:t xml:space="preserve"> </w:t>
      </w:r>
      <w:r w:rsidR="00DE50B8">
        <w:rPr>
          <w:rFonts w:ascii="Times New Roman" w:hAnsi="Times New Roman"/>
          <w:color w:val="000000"/>
        </w:rPr>
        <w:t xml:space="preserve">Once cells have gone through the process of autophagy, the damaged components are recycled into fatty acids and amino acids, which promote cell survival during nutrient starvation and provides a source of </w:t>
      </w:r>
      <w:r w:rsidR="00DE50B8" w:rsidRPr="00DE50B8">
        <w:rPr>
          <w:rFonts w:ascii="Times New Roman" w:hAnsi="Times New Roman"/>
          <w:color w:val="000000"/>
        </w:rPr>
        <w:t>energy (Rabinowitz and White, 2010).</w:t>
      </w:r>
    </w:p>
    <w:p w14:paraId="2638F1A3" w14:textId="77777777" w:rsidR="00DE50B8" w:rsidRDefault="00DE50B8" w:rsidP="00B420B1">
      <w:pPr>
        <w:pStyle w:val="NoSpacing"/>
        <w:jc w:val="both"/>
        <w:rPr>
          <w:rFonts w:ascii="Times New Roman" w:hAnsi="Times New Roman"/>
          <w:color w:val="000000"/>
        </w:rPr>
      </w:pPr>
    </w:p>
    <w:p w14:paraId="13CB942A" w14:textId="1B5BD94D" w:rsidR="000E2B90" w:rsidRDefault="001878AE" w:rsidP="00B420B1">
      <w:pPr>
        <w:pStyle w:val="NoSpacing"/>
        <w:jc w:val="both"/>
        <w:rPr>
          <w:rFonts w:ascii="Times New Roman" w:hAnsi="Times New Roman"/>
          <w:color w:val="000000"/>
        </w:rPr>
      </w:pPr>
      <w:r>
        <w:rPr>
          <w:rFonts w:ascii="Times New Roman" w:hAnsi="Times New Roman"/>
          <w:color w:val="000000"/>
        </w:rPr>
        <w:t>Exposure to radiation, toxins and pollution can cause dysregulation and mutations within these signalling pathways and can lead to a range of conditions such as cancers</w:t>
      </w:r>
      <w:r w:rsidR="00DE50B8">
        <w:rPr>
          <w:rFonts w:ascii="Times New Roman" w:hAnsi="Times New Roman"/>
          <w:color w:val="000000"/>
        </w:rPr>
        <w:t xml:space="preserve">, </w:t>
      </w:r>
      <w:r>
        <w:rPr>
          <w:rFonts w:ascii="Times New Roman" w:hAnsi="Times New Roman"/>
          <w:color w:val="000000"/>
        </w:rPr>
        <w:t>autoimmune diseases</w:t>
      </w:r>
      <w:r w:rsidR="00DE50B8">
        <w:rPr>
          <w:rFonts w:ascii="Times New Roman" w:hAnsi="Times New Roman"/>
          <w:color w:val="000000"/>
        </w:rPr>
        <w:t>,</w:t>
      </w:r>
      <w:r>
        <w:rPr>
          <w:rFonts w:ascii="Times New Roman" w:hAnsi="Times New Roman"/>
          <w:color w:val="000000"/>
        </w:rPr>
        <w:t xml:space="preserve"> and neurodegenerative disorders</w:t>
      </w:r>
      <w:r w:rsidR="004321D6">
        <w:rPr>
          <w:rFonts w:ascii="Times New Roman" w:hAnsi="Times New Roman"/>
          <w:color w:val="000000"/>
        </w:rPr>
        <w:t xml:space="preserve"> </w:t>
      </w:r>
      <w:r w:rsidR="004321D6" w:rsidRPr="004321D6">
        <w:rPr>
          <w:rFonts w:ascii="Times New Roman" w:hAnsi="Times New Roman"/>
          <w:color w:val="000000"/>
        </w:rPr>
        <w:t>(Infante, 2024).</w:t>
      </w:r>
      <w:r w:rsidR="004321D6">
        <w:rPr>
          <w:rFonts w:ascii="Times New Roman" w:hAnsi="Times New Roman"/>
          <w:color w:val="000000"/>
        </w:rPr>
        <w:t xml:space="preserve"> </w:t>
      </w:r>
      <w:r w:rsidR="003074C8">
        <w:rPr>
          <w:rFonts w:ascii="Times New Roman" w:hAnsi="Times New Roman"/>
          <w:color w:val="000000"/>
        </w:rPr>
        <w:t xml:space="preserve">The majority of tumours arise due to genetic mutations of cellular genes, these changes </w:t>
      </w:r>
      <w:r w:rsidR="00DA0B5C">
        <w:rPr>
          <w:rFonts w:ascii="Times New Roman" w:hAnsi="Times New Roman"/>
          <w:color w:val="000000"/>
        </w:rPr>
        <w:t xml:space="preserve">within the microenvironment promote tumour growth. For example, ‘papilloma virus encodes a E6 protein that promotes degradation of p53, while another viral protein inactivates </w:t>
      </w:r>
      <w:proofErr w:type="spellStart"/>
      <w:r w:rsidR="00DA0B5C">
        <w:rPr>
          <w:rFonts w:ascii="Times New Roman" w:hAnsi="Times New Roman"/>
          <w:color w:val="000000"/>
        </w:rPr>
        <w:t>pRB</w:t>
      </w:r>
      <w:proofErr w:type="spellEnd"/>
      <w:r w:rsidR="00DA0B5C">
        <w:rPr>
          <w:rFonts w:ascii="Times New Roman" w:hAnsi="Times New Roman"/>
          <w:color w:val="000000"/>
        </w:rPr>
        <w:t xml:space="preserve"> and CKIs</w:t>
      </w:r>
      <w:r w:rsidR="00DA0B5C" w:rsidRPr="00DA0B5C">
        <w:rPr>
          <w:rFonts w:ascii="Times New Roman" w:hAnsi="Times New Roman"/>
          <w:color w:val="000000"/>
        </w:rPr>
        <w:t>’ (Sever and Brugge, 2015).</w:t>
      </w:r>
      <w:r w:rsidR="00222434">
        <w:rPr>
          <w:rFonts w:ascii="Times New Roman" w:hAnsi="Times New Roman"/>
          <w:color w:val="000000"/>
        </w:rPr>
        <w:t xml:space="preserve"> Autoimmune diseases occur due to immune disturbances that cause irregular release of autoreactive immune cells, leading to tissue damage or organ dysfunction</w:t>
      </w:r>
      <w:r w:rsidR="00222434" w:rsidRPr="00222434">
        <w:rPr>
          <w:rFonts w:ascii="Times New Roman" w:hAnsi="Times New Roman"/>
          <w:color w:val="000000"/>
        </w:rPr>
        <w:t xml:space="preserve"> (Song, Li and Wu, 2024).</w:t>
      </w:r>
    </w:p>
    <w:p w14:paraId="6C0E80B0" w14:textId="77777777" w:rsidR="00DE50B8" w:rsidRDefault="00DE50B8" w:rsidP="00B420B1">
      <w:pPr>
        <w:pStyle w:val="NoSpacing"/>
        <w:jc w:val="both"/>
        <w:rPr>
          <w:rFonts w:ascii="Times New Roman" w:hAnsi="Times New Roman"/>
          <w:color w:val="000000"/>
        </w:rPr>
      </w:pPr>
    </w:p>
    <w:p w14:paraId="594C7BD0" w14:textId="3FE69EE3" w:rsidR="00DE50B8" w:rsidRDefault="00DE50B8" w:rsidP="00B420B1">
      <w:pPr>
        <w:pStyle w:val="NoSpacing"/>
        <w:jc w:val="both"/>
        <w:rPr>
          <w:rFonts w:ascii="Times New Roman" w:hAnsi="Times New Roman"/>
          <w:color w:val="000000"/>
        </w:rPr>
      </w:pPr>
      <w:r>
        <w:rPr>
          <w:rFonts w:ascii="Times New Roman" w:hAnsi="Times New Roman"/>
          <w:color w:val="000000"/>
        </w:rPr>
        <w:t xml:space="preserve">Cell signalling underpins the ability for cellular components to function, adapting with the demands of the body. Cell signalling is communicated through a set of principles of primary messengers, receptor activation, second messenger amplification, through to termination.  Endocrine, autocrine, paracrine, intracrine and juxtracrine mechanisms show the different pathways to which cells communicate through a range of distances in the body. When these pathways are disrupted, the consequences can cause diseases </w:t>
      </w:r>
      <w:r w:rsidR="00270192">
        <w:rPr>
          <w:rFonts w:ascii="Times New Roman" w:hAnsi="Times New Roman"/>
          <w:color w:val="000000"/>
        </w:rPr>
        <w:t xml:space="preserve">in the body </w:t>
      </w:r>
      <w:r>
        <w:rPr>
          <w:rFonts w:ascii="Times New Roman" w:hAnsi="Times New Roman"/>
          <w:color w:val="000000"/>
        </w:rPr>
        <w:t>such as tumours, autoimmune disorders, and neurodegeneration.</w:t>
      </w:r>
    </w:p>
    <w:p w14:paraId="2038C4CB" w14:textId="77777777" w:rsidR="006B6D5F" w:rsidRDefault="006B6D5F" w:rsidP="00B420B1">
      <w:pPr>
        <w:pStyle w:val="NoSpacing"/>
        <w:jc w:val="both"/>
        <w:rPr>
          <w:rFonts w:ascii="Times New Roman" w:hAnsi="Times New Roman"/>
          <w:color w:val="000000"/>
        </w:rPr>
      </w:pPr>
    </w:p>
    <w:p w14:paraId="5B9D8B41" w14:textId="77777777" w:rsidR="000230A0" w:rsidRDefault="000230A0" w:rsidP="00B420B1">
      <w:pPr>
        <w:pStyle w:val="NoSpacing"/>
        <w:jc w:val="both"/>
        <w:rPr>
          <w:rFonts w:ascii="Times New Roman" w:hAnsi="Times New Roman"/>
          <w:color w:val="000000"/>
        </w:rPr>
      </w:pPr>
    </w:p>
    <w:p w14:paraId="4269D6A7" w14:textId="2768AC08" w:rsidR="000230A0" w:rsidRDefault="002F5F6C" w:rsidP="00270192">
      <w:pPr>
        <w:pStyle w:val="NoSpacing"/>
        <w:jc w:val="right"/>
        <w:rPr>
          <w:rFonts w:ascii="Times New Roman" w:hAnsi="Times New Roman"/>
          <w:color w:val="000000"/>
        </w:rPr>
      </w:pPr>
      <w:r>
        <w:rPr>
          <w:rFonts w:ascii="Times New Roman" w:hAnsi="Times New Roman"/>
          <w:color w:val="000000"/>
        </w:rPr>
        <w:t>1</w:t>
      </w:r>
      <w:r w:rsidR="00270192">
        <w:rPr>
          <w:rFonts w:ascii="Times New Roman" w:hAnsi="Times New Roman"/>
          <w:color w:val="000000"/>
        </w:rPr>
        <w:t>5</w:t>
      </w:r>
      <w:r w:rsidR="00A247A1">
        <w:rPr>
          <w:rFonts w:ascii="Times New Roman" w:hAnsi="Times New Roman"/>
          <w:color w:val="000000"/>
        </w:rPr>
        <w:t>83</w:t>
      </w:r>
      <w:r>
        <w:rPr>
          <w:rFonts w:ascii="Times New Roman" w:hAnsi="Times New Roman"/>
          <w:color w:val="000000"/>
        </w:rPr>
        <w:t xml:space="preserve"> words</w:t>
      </w:r>
    </w:p>
    <w:p w14:paraId="0BB21673" w14:textId="77777777" w:rsidR="000230A0" w:rsidRDefault="000230A0" w:rsidP="00B420B1">
      <w:pPr>
        <w:pStyle w:val="NoSpacing"/>
        <w:jc w:val="both"/>
        <w:rPr>
          <w:rFonts w:ascii="Times New Roman" w:hAnsi="Times New Roman"/>
          <w:color w:val="000000"/>
        </w:rPr>
      </w:pPr>
    </w:p>
    <w:p w14:paraId="35578B56" w14:textId="77777777" w:rsidR="000E2B90" w:rsidRDefault="000E2B90" w:rsidP="00B420B1">
      <w:pPr>
        <w:pStyle w:val="NoSpacing"/>
        <w:jc w:val="both"/>
        <w:rPr>
          <w:rFonts w:ascii="Times New Roman" w:hAnsi="Times New Roman"/>
          <w:color w:val="000000"/>
        </w:rPr>
      </w:pPr>
    </w:p>
    <w:p w14:paraId="66D3622C" w14:textId="77777777" w:rsidR="007860D6" w:rsidRDefault="007860D6" w:rsidP="00B420B1">
      <w:pPr>
        <w:pStyle w:val="NoSpacing"/>
        <w:jc w:val="both"/>
        <w:rPr>
          <w:rFonts w:ascii="Times New Roman" w:hAnsi="Times New Roman"/>
          <w:b/>
          <w:bCs/>
          <w:color w:val="000000"/>
          <w:sz w:val="28"/>
          <w:szCs w:val="21"/>
        </w:rPr>
      </w:pPr>
    </w:p>
    <w:p w14:paraId="4330EBD1" w14:textId="77777777" w:rsidR="007860D6" w:rsidRDefault="007860D6" w:rsidP="00B420B1">
      <w:pPr>
        <w:pStyle w:val="NoSpacing"/>
        <w:jc w:val="both"/>
        <w:rPr>
          <w:rFonts w:ascii="Times New Roman" w:hAnsi="Times New Roman"/>
          <w:b/>
          <w:bCs/>
          <w:color w:val="000000"/>
          <w:sz w:val="28"/>
          <w:szCs w:val="21"/>
        </w:rPr>
      </w:pPr>
    </w:p>
    <w:p w14:paraId="3C00D891" w14:textId="77777777" w:rsidR="007860D6" w:rsidRDefault="007860D6" w:rsidP="00B420B1">
      <w:pPr>
        <w:pStyle w:val="NoSpacing"/>
        <w:jc w:val="both"/>
        <w:rPr>
          <w:rFonts w:ascii="Times New Roman" w:hAnsi="Times New Roman"/>
          <w:b/>
          <w:bCs/>
          <w:color w:val="000000"/>
          <w:sz w:val="28"/>
          <w:szCs w:val="21"/>
        </w:rPr>
      </w:pPr>
    </w:p>
    <w:p w14:paraId="7B264881" w14:textId="77777777" w:rsidR="007860D6" w:rsidRDefault="007860D6" w:rsidP="00B420B1">
      <w:pPr>
        <w:pStyle w:val="NoSpacing"/>
        <w:jc w:val="both"/>
        <w:rPr>
          <w:rFonts w:ascii="Times New Roman" w:hAnsi="Times New Roman"/>
          <w:b/>
          <w:bCs/>
          <w:color w:val="000000"/>
          <w:sz w:val="28"/>
          <w:szCs w:val="21"/>
        </w:rPr>
      </w:pPr>
    </w:p>
    <w:p w14:paraId="6CBFDCA6" w14:textId="77777777" w:rsidR="007860D6" w:rsidRDefault="007860D6" w:rsidP="00B420B1">
      <w:pPr>
        <w:pStyle w:val="NoSpacing"/>
        <w:jc w:val="both"/>
        <w:rPr>
          <w:rFonts w:ascii="Times New Roman" w:hAnsi="Times New Roman"/>
          <w:b/>
          <w:bCs/>
          <w:color w:val="000000"/>
          <w:sz w:val="28"/>
          <w:szCs w:val="21"/>
        </w:rPr>
      </w:pPr>
    </w:p>
    <w:p w14:paraId="3EB1BCC2" w14:textId="77777777" w:rsidR="007860D6" w:rsidRDefault="007860D6" w:rsidP="00B420B1">
      <w:pPr>
        <w:pStyle w:val="NoSpacing"/>
        <w:jc w:val="both"/>
        <w:rPr>
          <w:rFonts w:ascii="Times New Roman" w:hAnsi="Times New Roman"/>
          <w:b/>
          <w:bCs/>
          <w:color w:val="000000"/>
          <w:sz w:val="28"/>
          <w:szCs w:val="21"/>
        </w:rPr>
      </w:pPr>
    </w:p>
    <w:p w14:paraId="681328D4" w14:textId="77777777" w:rsidR="007860D6" w:rsidRDefault="007860D6" w:rsidP="00B420B1">
      <w:pPr>
        <w:pStyle w:val="NoSpacing"/>
        <w:jc w:val="both"/>
        <w:rPr>
          <w:rFonts w:ascii="Times New Roman" w:hAnsi="Times New Roman"/>
          <w:b/>
          <w:bCs/>
          <w:color w:val="000000"/>
          <w:sz w:val="28"/>
          <w:szCs w:val="21"/>
        </w:rPr>
      </w:pPr>
    </w:p>
    <w:p w14:paraId="4FF5F3DF" w14:textId="77777777" w:rsidR="007860D6" w:rsidRDefault="007860D6" w:rsidP="00B420B1">
      <w:pPr>
        <w:pStyle w:val="NoSpacing"/>
        <w:jc w:val="both"/>
        <w:rPr>
          <w:rFonts w:ascii="Times New Roman" w:hAnsi="Times New Roman"/>
          <w:b/>
          <w:bCs/>
          <w:color w:val="000000"/>
          <w:sz w:val="28"/>
          <w:szCs w:val="21"/>
        </w:rPr>
      </w:pPr>
    </w:p>
    <w:p w14:paraId="060F33E9" w14:textId="77777777" w:rsidR="007860D6" w:rsidRDefault="007860D6" w:rsidP="00B420B1">
      <w:pPr>
        <w:pStyle w:val="NoSpacing"/>
        <w:jc w:val="both"/>
        <w:rPr>
          <w:rFonts w:ascii="Times New Roman" w:hAnsi="Times New Roman"/>
          <w:b/>
          <w:bCs/>
          <w:color w:val="000000"/>
          <w:sz w:val="28"/>
          <w:szCs w:val="21"/>
        </w:rPr>
      </w:pPr>
    </w:p>
    <w:p w14:paraId="6EFEB1E1" w14:textId="77777777" w:rsidR="00F145E7" w:rsidRDefault="00F145E7" w:rsidP="00B420B1">
      <w:pPr>
        <w:pStyle w:val="NoSpacing"/>
        <w:jc w:val="both"/>
        <w:rPr>
          <w:rFonts w:ascii="Times New Roman" w:hAnsi="Times New Roman"/>
          <w:b/>
          <w:bCs/>
          <w:color w:val="000000"/>
          <w:sz w:val="28"/>
          <w:szCs w:val="21"/>
        </w:rPr>
      </w:pPr>
    </w:p>
    <w:p w14:paraId="466F8D16" w14:textId="7328602E" w:rsidR="00EE29B8" w:rsidRPr="00EE29B8" w:rsidRDefault="00EE29B8" w:rsidP="00B420B1">
      <w:pPr>
        <w:pStyle w:val="NoSpacing"/>
        <w:jc w:val="both"/>
        <w:rPr>
          <w:rFonts w:ascii="Times New Roman" w:hAnsi="Times New Roman"/>
          <w:b/>
          <w:bCs/>
          <w:color w:val="000000"/>
          <w:sz w:val="28"/>
          <w:szCs w:val="21"/>
        </w:rPr>
      </w:pPr>
      <w:r w:rsidRPr="00EE29B8">
        <w:rPr>
          <w:rFonts w:ascii="Times New Roman" w:hAnsi="Times New Roman"/>
          <w:b/>
          <w:bCs/>
          <w:color w:val="000000"/>
          <w:sz w:val="28"/>
          <w:szCs w:val="21"/>
        </w:rPr>
        <w:lastRenderedPageBreak/>
        <w:t>Reference List:</w:t>
      </w:r>
    </w:p>
    <w:p w14:paraId="4E4C3D9F" w14:textId="46854849" w:rsidR="007860D6" w:rsidRDefault="007860D6" w:rsidP="007860D6">
      <w:pPr>
        <w:pStyle w:val="NormalWeb"/>
        <w:spacing w:before="0" w:beforeAutospacing="0" w:after="240" w:afterAutospacing="0" w:line="360" w:lineRule="atLeast"/>
        <w:rPr>
          <w:color w:val="000000"/>
        </w:rPr>
      </w:pPr>
      <w:r>
        <w:rPr>
          <w:color w:val="000000"/>
        </w:rPr>
        <w:t>Berg, J.M.</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(2019)</w:t>
      </w:r>
      <w:r>
        <w:rPr>
          <w:rStyle w:val="apple-converted-space"/>
          <w:rFonts w:eastAsiaTheme="majorEastAsia"/>
          <w:color w:val="000000"/>
        </w:rPr>
        <w:t> </w:t>
      </w:r>
      <w:r>
        <w:rPr>
          <w:i/>
          <w:iCs/>
          <w:color w:val="000000"/>
        </w:rPr>
        <w:t>Biochemistry</w:t>
      </w:r>
      <w:r>
        <w:rPr>
          <w:color w:val="000000"/>
        </w:rPr>
        <w:t xml:space="preserve">. 9th </w:t>
      </w:r>
      <w:proofErr w:type="spellStart"/>
      <w:r>
        <w:rPr>
          <w:color w:val="000000"/>
        </w:rPr>
        <w:t>edn</w:t>
      </w:r>
      <w:proofErr w:type="spellEnd"/>
      <w:r>
        <w:rPr>
          <w:color w:val="000000"/>
        </w:rPr>
        <w:t>. W.H. Freeman &amp; Company, a Macmillan Education Imprint, pp. 397–422.</w:t>
      </w:r>
    </w:p>
    <w:p w14:paraId="5DE4E044" w14:textId="6C7E5C58" w:rsidR="007860D6" w:rsidRDefault="007860D6" w:rsidP="007860D6">
      <w:pPr>
        <w:pStyle w:val="NormalWeb"/>
        <w:spacing w:before="0" w:beforeAutospacing="0" w:after="240" w:afterAutospacing="0" w:line="360" w:lineRule="atLeast"/>
        <w:rPr>
          <w:color w:val="000000"/>
        </w:rPr>
      </w:pPr>
      <w:r>
        <w:rPr>
          <w:color w:val="000000"/>
        </w:rPr>
        <w:t>Bikle, Daniel D. (2014) ‘Vitamin D Metabolism, Mechanism of Action, and Clinical Applications’,</w:t>
      </w:r>
      <w:r>
        <w:rPr>
          <w:rStyle w:val="apple-converted-space"/>
          <w:rFonts w:eastAsiaTheme="majorEastAsia"/>
          <w:color w:val="000000"/>
        </w:rPr>
        <w:t> </w:t>
      </w:r>
      <w:r>
        <w:rPr>
          <w:i/>
          <w:iCs/>
          <w:color w:val="000000"/>
        </w:rPr>
        <w:t>Chemistry &amp; Biology</w:t>
      </w:r>
      <w:r>
        <w:rPr>
          <w:color w:val="000000"/>
        </w:rPr>
        <w:t xml:space="preserve">, 21(3), pp. 319–329. Available at: </w:t>
      </w:r>
      <w:hyperlink r:id="rId7" w:history="1">
        <w:r w:rsidRPr="00892D29">
          <w:rPr>
            <w:rStyle w:val="Hyperlink"/>
          </w:rPr>
          <w:t>https://doi.org/10.1016/j.chembiol.2013.12.016</w:t>
        </w:r>
      </w:hyperlink>
      <w:r>
        <w:rPr>
          <w:color w:val="000000"/>
        </w:rPr>
        <w:t xml:space="preserve"> (Accessed: 6 March 2026)</w:t>
      </w:r>
    </w:p>
    <w:p w14:paraId="307C7E66" w14:textId="77777777" w:rsidR="007860D6" w:rsidRDefault="007860D6" w:rsidP="007860D6">
      <w:pPr>
        <w:pStyle w:val="NormalWeb"/>
        <w:spacing w:before="0" w:beforeAutospacing="0" w:after="240" w:afterAutospacing="0" w:line="360" w:lineRule="atLeast"/>
        <w:rPr>
          <w:color w:val="000000"/>
        </w:rPr>
      </w:pPr>
      <w:r>
        <w:rPr>
          <w:color w:val="000000"/>
        </w:rPr>
        <w:t>Cleveland Clinic (2023)</w:t>
      </w:r>
      <w:r>
        <w:rPr>
          <w:rStyle w:val="apple-converted-space"/>
          <w:rFonts w:eastAsiaTheme="majorEastAsia"/>
          <w:color w:val="000000"/>
        </w:rPr>
        <w:t> </w:t>
      </w:r>
      <w:r>
        <w:rPr>
          <w:i/>
          <w:iCs/>
          <w:color w:val="000000"/>
        </w:rPr>
        <w:t>Cell Death: Types, Causes &amp; Necrosis</w:t>
      </w:r>
      <w:r>
        <w:rPr>
          <w:color w:val="000000"/>
        </w:rPr>
        <w:t>,</w:t>
      </w:r>
      <w:r>
        <w:rPr>
          <w:rStyle w:val="apple-converted-space"/>
          <w:rFonts w:eastAsiaTheme="majorEastAsia"/>
          <w:color w:val="000000"/>
        </w:rPr>
        <w:t> </w:t>
      </w:r>
      <w:r>
        <w:rPr>
          <w:i/>
          <w:iCs/>
          <w:color w:val="000000"/>
        </w:rPr>
        <w:t>Cleveland Clinic</w:t>
      </w:r>
      <w:r>
        <w:rPr>
          <w:color w:val="000000"/>
        </w:rPr>
        <w:t>. Available at: https://my.clevelandclinic.org/health/articles/cell-death (Accessed: 6 March 2026).</w:t>
      </w:r>
    </w:p>
    <w:p w14:paraId="3309E5E6" w14:textId="3FBA0B49" w:rsidR="007860D6" w:rsidRDefault="007860D6" w:rsidP="007860D6">
      <w:pPr>
        <w:pStyle w:val="NormalWeb"/>
        <w:spacing w:before="0" w:beforeAutospacing="0" w:after="240" w:afterAutospacing="0" w:line="360" w:lineRule="atLeast"/>
        <w:rPr>
          <w:color w:val="000000"/>
        </w:rPr>
      </w:pPr>
      <w:r>
        <w:rPr>
          <w:color w:val="000000"/>
        </w:rPr>
        <w:t>Cotman, C.W. and McGaugh, J.L. (1980)</w:t>
      </w:r>
      <w:r>
        <w:rPr>
          <w:rStyle w:val="apple-converted-space"/>
          <w:rFonts w:eastAsiaTheme="majorEastAsia"/>
          <w:color w:val="000000"/>
        </w:rPr>
        <w:t> </w:t>
      </w:r>
      <w:r>
        <w:rPr>
          <w:i/>
          <w:iCs/>
          <w:color w:val="000000"/>
        </w:rPr>
        <w:t>Synaptic Transmission - an overview | ScienceDirect Topics</w:t>
      </w:r>
      <w:r>
        <w:rPr>
          <w:color w:val="000000"/>
        </w:rPr>
        <w:t>,</w:t>
      </w:r>
      <w:r>
        <w:rPr>
          <w:rStyle w:val="apple-converted-space"/>
          <w:rFonts w:eastAsiaTheme="majorEastAsia"/>
          <w:color w:val="000000"/>
        </w:rPr>
        <w:t> </w:t>
      </w:r>
      <w:r>
        <w:rPr>
          <w:i/>
          <w:iCs/>
          <w:color w:val="000000"/>
        </w:rPr>
        <w:t>www.sciencedirect.com</w:t>
      </w:r>
      <w:r>
        <w:rPr>
          <w:color w:val="000000"/>
        </w:rPr>
        <w:t>. Available at: https://www.sciencedirect.com/topics/neuroscience/synaptic-transmission (Accessed: 6 March 2026).</w:t>
      </w:r>
    </w:p>
    <w:p w14:paraId="1DC5700A" w14:textId="13655AAA" w:rsidR="007860D6" w:rsidRDefault="007860D6" w:rsidP="007860D6">
      <w:pPr>
        <w:pStyle w:val="NormalWeb"/>
        <w:spacing w:before="0" w:beforeAutospacing="0" w:after="240" w:afterAutospacing="0" w:line="360" w:lineRule="atLeast"/>
        <w:rPr>
          <w:color w:val="000000"/>
        </w:rPr>
      </w:pPr>
      <w:r>
        <w:rPr>
          <w:color w:val="000000"/>
        </w:rPr>
        <w:t>Dr. Damayanthi Dalu</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(2024)</w:t>
      </w:r>
      <w:r>
        <w:rPr>
          <w:rStyle w:val="apple-converted-space"/>
          <w:rFonts w:eastAsiaTheme="majorEastAsia"/>
          <w:color w:val="000000"/>
        </w:rPr>
        <w:t> </w:t>
      </w:r>
      <w:r>
        <w:rPr>
          <w:i/>
          <w:iCs/>
          <w:color w:val="000000"/>
        </w:rPr>
        <w:t>HUMAN ANATOMY AND PHYSIOLOGY</w:t>
      </w:r>
      <w:r>
        <w:rPr>
          <w:color w:val="000000"/>
        </w:rPr>
        <w:t>. JEC PUBLICATION. Available at: https://www.google.co.uk/books/edition/HUMAN_ANATOMY_AND_PHYSIOLOGY/h0A9EQAAQBAJ?hl=en&amp;gbpv=1 (Accessed: 6 March 2026).</w:t>
      </w:r>
    </w:p>
    <w:p w14:paraId="3A67EE0C" w14:textId="7B15BE00" w:rsidR="007860D6" w:rsidRDefault="007860D6" w:rsidP="007860D6">
      <w:pPr>
        <w:pStyle w:val="NormalWeb"/>
        <w:spacing w:before="0" w:beforeAutospacing="0" w:after="240" w:afterAutospacing="0" w:line="360" w:lineRule="atLeast"/>
        <w:rPr>
          <w:color w:val="000000"/>
        </w:rPr>
      </w:pPr>
      <w:r>
        <w:rPr>
          <w:color w:val="000000"/>
        </w:rPr>
        <w:t>Dustin, M.L. (2016) ‘Help to go: T cells transfer CD40L to antigen‐presenting B cells’,</w:t>
      </w:r>
      <w:r>
        <w:rPr>
          <w:rStyle w:val="apple-converted-space"/>
          <w:rFonts w:eastAsiaTheme="majorEastAsia"/>
          <w:color w:val="000000"/>
        </w:rPr>
        <w:t> </w:t>
      </w:r>
      <w:r>
        <w:rPr>
          <w:i/>
          <w:iCs/>
          <w:color w:val="000000"/>
        </w:rPr>
        <w:t>European Journal of Immunology</w:t>
      </w:r>
      <w:r>
        <w:rPr>
          <w:color w:val="000000"/>
        </w:rPr>
        <w:t xml:space="preserve">, 47(1), pp. 31–34. Available at: </w:t>
      </w:r>
      <w:hyperlink r:id="rId8" w:history="1">
        <w:r w:rsidRPr="00892D29">
          <w:rPr>
            <w:rStyle w:val="Hyperlink"/>
          </w:rPr>
          <w:t>https://doi.org/10.1002/eji.201646786</w:t>
        </w:r>
      </w:hyperlink>
      <w:r>
        <w:rPr>
          <w:color w:val="000000"/>
        </w:rPr>
        <w:t xml:space="preserve"> (Accessed: 6 March 2026).</w:t>
      </w:r>
    </w:p>
    <w:p w14:paraId="402427F6" w14:textId="509305B9" w:rsidR="007860D6" w:rsidRDefault="007860D6" w:rsidP="007860D6">
      <w:pPr>
        <w:pStyle w:val="NormalWeb"/>
        <w:spacing w:before="0" w:beforeAutospacing="0" w:after="240" w:afterAutospacing="0" w:line="360" w:lineRule="atLeast"/>
        <w:rPr>
          <w:color w:val="000000"/>
        </w:rPr>
      </w:pPr>
      <w:r>
        <w:rPr>
          <w:color w:val="000000"/>
        </w:rPr>
        <w:t>E J M Helmreich (2001)</w:t>
      </w:r>
      <w:r>
        <w:rPr>
          <w:rStyle w:val="apple-converted-space"/>
          <w:rFonts w:eastAsiaTheme="majorEastAsia"/>
          <w:color w:val="000000"/>
        </w:rPr>
        <w:t> </w:t>
      </w:r>
      <w:r>
        <w:rPr>
          <w:i/>
          <w:iCs/>
          <w:color w:val="000000"/>
        </w:rPr>
        <w:t>The biochemistry of cell signalling</w:t>
      </w:r>
      <w:r>
        <w:rPr>
          <w:color w:val="000000"/>
        </w:rPr>
        <w:t>. Oxford University Press. Available at: https://books.google.co.uk/books?hl=en&amp;lr=&amp;id=i_7p1avG8_EC&amp;oi=fnd&amp;pg=PR15&amp;dq=what+is+endocrine+cell+signaling&amp;ots=BAJDUC0PY0&amp;sig=HHrk3ej18V5jS_AQ_FNlY6u8mQQ&amp;redir_esc=y#v=onepage&amp;q=%20endocrine&amp;f=false (Accessed: 6 March 2026).</w:t>
      </w:r>
    </w:p>
    <w:p w14:paraId="461DEDE5" w14:textId="60423F6E" w:rsidR="007860D6" w:rsidRDefault="007860D6" w:rsidP="007860D6">
      <w:pPr>
        <w:pStyle w:val="NormalWeb"/>
        <w:spacing w:before="0" w:beforeAutospacing="0" w:after="240" w:afterAutospacing="0" w:line="360" w:lineRule="atLeast"/>
        <w:rPr>
          <w:color w:val="000000"/>
        </w:rPr>
      </w:pPr>
      <w:r>
        <w:rPr>
          <w:color w:val="000000"/>
        </w:rPr>
        <w:t>Hancock, J. (2017)</w:t>
      </w:r>
      <w:r>
        <w:rPr>
          <w:rStyle w:val="apple-converted-space"/>
          <w:rFonts w:eastAsiaTheme="majorEastAsia"/>
          <w:color w:val="000000"/>
        </w:rPr>
        <w:t> </w:t>
      </w:r>
      <w:r>
        <w:rPr>
          <w:i/>
          <w:iCs/>
          <w:color w:val="000000"/>
        </w:rPr>
        <w:t>Cell Signalling</w:t>
      </w:r>
      <w:r>
        <w:rPr>
          <w:color w:val="000000"/>
        </w:rPr>
        <w:t>,</w:t>
      </w:r>
      <w:r>
        <w:rPr>
          <w:rStyle w:val="apple-converted-space"/>
          <w:rFonts w:eastAsiaTheme="majorEastAsia"/>
          <w:color w:val="000000"/>
        </w:rPr>
        <w:t> </w:t>
      </w:r>
      <w:r>
        <w:rPr>
          <w:i/>
          <w:iCs/>
          <w:color w:val="000000"/>
        </w:rPr>
        <w:t>Google Books</w:t>
      </w:r>
      <w:r>
        <w:rPr>
          <w:color w:val="000000"/>
        </w:rPr>
        <w:t>. Available at: https://books.google.co.uk/books?hl=en&amp;lr=&amp;id=-w6DDQAAQBAJ&amp;oi=fnd&amp;pg=PP1&amp;dq=cell+signalling+mechanism&amp;ots=eATAYk2u68&amp;sig=dykcoNhfjj5o6QB3h8MT3BvWiss&amp;redir_esc=y#v=onepage&amp;q=cell%20signalling%20mechanism&amp;f=false (Accessed: 6 March 2026).</w:t>
      </w:r>
    </w:p>
    <w:p w14:paraId="053C48C1" w14:textId="1EFF8D6A" w:rsidR="007860D6" w:rsidRDefault="007860D6" w:rsidP="007860D6">
      <w:pPr>
        <w:pStyle w:val="NormalWeb"/>
        <w:spacing w:before="0" w:beforeAutospacing="0" w:after="240" w:afterAutospacing="0" w:line="360" w:lineRule="atLeast"/>
        <w:rPr>
          <w:color w:val="000000"/>
        </w:rPr>
      </w:pPr>
      <w:r>
        <w:rPr>
          <w:color w:val="000000"/>
        </w:rPr>
        <w:t>Infante, D. (2024)</w:t>
      </w:r>
      <w:r>
        <w:rPr>
          <w:rStyle w:val="apple-converted-space"/>
          <w:rFonts w:eastAsiaTheme="majorEastAsia"/>
          <w:color w:val="000000"/>
        </w:rPr>
        <w:t> </w:t>
      </w:r>
      <w:r>
        <w:rPr>
          <w:i/>
          <w:iCs/>
          <w:color w:val="000000"/>
        </w:rPr>
        <w:t>News-Medical</w:t>
      </w:r>
      <w:r>
        <w:rPr>
          <w:color w:val="000000"/>
        </w:rPr>
        <w:t>,</w:t>
      </w:r>
      <w:r>
        <w:rPr>
          <w:rStyle w:val="apple-converted-space"/>
          <w:rFonts w:eastAsiaTheme="majorEastAsia"/>
          <w:color w:val="000000"/>
        </w:rPr>
        <w:t> </w:t>
      </w:r>
      <w:r>
        <w:rPr>
          <w:i/>
          <w:iCs/>
          <w:color w:val="000000"/>
        </w:rPr>
        <w:t>News-Medical</w:t>
      </w:r>
      <w:r>
        <w:rPr>
          <w:color w:val="000000"/>
        </w:rPr>
        <w:t>. Available at: https://www.news-medical.net/health/How-Dysregulated-Cell-Signaling-Causes-Disease.aspx (Accessed: 6 March 2026).</w:t>
      </w:r>
    </w:p>
    <w:p w14:paraId="74BFD06D" w14:textId="2F26D8FF" w:rsidR="007860D6" w:rsidRDefault="007860D6" w:rsidP="007860D6">
      <w:pPr>
        <w:pStyle w:val="NormalWeb"/>
        <w:spacing w:before="0" w:beforeAutospacing="0" w:after="240" w:afterAutospacing="0" w:line="360" w:lineRule="atLeast"/>
        <w:rPr>
          <w:color w:val="000000"/>
        </w:rPr>
      </w:pPr>
      <w:r>
        <w:rPr>
          <w:color w:val="000000"/>
        </w:rPr>
        <w:lastRenderedPageBreak/>
        <w:t>Rabinowitz, J.D. and White, E. (2010) ‘Autophagy and Metabolism’,</w:t>
      </w:r>
      <w:r>
        <w:rPr>
          <w:rStyle w:val="apple-converted-space"/>
          <w:rFonts w:eastAsiaTheme="majorEastAsia"/>
          <w:color w:val="000000"/>
        </w:rPr>
        <w:t> </w:t>
      </w:r>
      <w:r>
        <w:rPr>
          <w:i/>
          <w:iCs/>
          <w:color w:val="000000"/>
        </w:rPr>
        <w:t>Science</w:t>
      </w:r>
      <w:r>
        <w:rPr>
          <w:color w:val="000000"/>
        </w:rPr>
        <w:t xml:space="preserve">, 330(6009), pp. 1344–1348. Available at: </w:t>
      </w:r>
      <w:hyperlink r:id="rId9" w:history="1">
        <w:r w:rsidRPr="00892D29">
          <w:rPr>
            <w:rStyle w:val="Hyperlink"/>
          </w:rPr>
          <w:t>https://doi.org/10.1126/science.1193497</w:t>
        </w:r>
      </w:hyperlink>
      <w:r>
        <w:rPr>
          <w:color w:val="000000"/>
        </w:rPr>
        <w:t xml:space="preserve"> (Accessed: 6 March 2026).</w:t>
      </w:r>
    </w:p>
    <w:p w14:paraId="7DABEE43" w14:textId="2CD52A40" w:rsidR="007860D6" w:rsidRDefault="007860D6" w:rsidP="007860D6">
      <w:pPr>
        <w:pStyle w:val="NormalWeb"/>
        <w:spacing w:before="0" w:beforeAutospacing="0" w:after="240" w:afterAutospacing="0" w:line="360" w:lineRule="atLeast"/>
        <w:rPr>
          <w:color w:val="000000"/>
        </w:rPr>
      </w:pPr>
      <w:r>
        <w:rPr>
          <w:color w:val="000000"/>
        </w:rPr>
        <w:t>Ross, S.H. and Cantrell, D.A. (2018) ‘</w:t>
      </w:r>
      <w:proofErr w:type="spellStart"/>
      <w:r>
        <w:rPr>
          <w:color w:val="000000"/>
        </w:rPr>
        <w:t>Signaling</w:t>
      </w:r>
      <w:proofErr w:type="spellEnd"/>
      <w:r>
        <w:rPr>
          <w:color w:val="000000"/>
        </w:rPr>
        <w:t xml:space="preserve"> and Function of Interleukin-2 in T Lymphocytes’,</w:t>
      </w:r>
      <w:r>
        <w:rPr>
          <w:rStyle w:val="apple-converted-space"/>
          <w:rFonts w:eastAsiaTheme="majorEastAsia"/>
          <w:color w:val="000000"/>
        </w:rPr>
        <w:t> </w:t>
      </w:r>
      <w:r>
        <w:rPr>
          <w:i/>
          <w:iCs/>
          <w:color w:val="000000"/>
        </w:rPr>
        <w:t>Annual review of immunology</w:t>
      </w:r>
      <w:r>
        <w:rPr>
          <w:color w:val="000000"/>
        </w:rPr>
        <w:t xml:space="preserve">, 36(1), pp. 411–433. Available at: </w:t>
      </w:r>
      <w:hyperlink r:id="rId10" w:history="1">
        <w:r w:rsidRPr="00892D29">
          <w:rPr>
            <w:rStyle w:val="Hyperlink"/>
          </w:rPr>
          <w:t>https://doi.org/10.1146/annurev-immunol-042617-053352</w:t>
        </w:r>
      </w:hyperlink>
      <w:r>
        <w:rPr>
          <w:color w:val="000000"/>
        </w:rPr>
        <w:t xml:space="preserve"> (Accessed: 6 March 2026).</w:t>
      </w:r>
    </w:p>
    <w:p w14:paraId="47E08C88" w14:textId="096031DD" w:rsidR="007860D6" w:rsidRDefault="007860D6" w:rsidP="007860D6">
      <w:pPr>
        <w:pStyle w:val="NormalWeb"/>
        <w:spacing w:before="0" w:beforeAutospacing="0" w:after="240" w:afterAutospacing="0" w:line="360" w:lineRule="atLeast"/>
        <w:rPr>
          <w:color w:val="000000"/>
        </w:rPr>
      </w:pPr>
      <w:r>
        <w:rPr>
          <w:color w:val="000000"/>
        </w:rPr>
        <w:t>Science Direct (2013)</w:t>
      </w:r>
      <w:r>
        <w:rPr>
          <w:rStyle w:val="apple-converted-space"/>
          <w:rFonts w:eastAsiaTheme="majorEastAsia"/>
          <w:color w:val="000000"/>
        </w:rPr>
        <w:t> </w:t>
      </w:r>
      <w:r>
        <w:rPr>
          <w:i/>
          <w:iCs/>
          <w:color w:val="000000"/>
        </w:rPr>
        <w:t>Autocrine Signalling - an overview | ScienceDirect Topics</w:t>
      </w:r>
      <w:r>
        <w:rPr>
          <w:color w:val="000000"/>
        </w:rPr>
        <w:t>,</w:t>
      </w:r>
      <w:r>
        <w:rPr>
          <w:rStyle w:val="apple-converted-space"/>
          <w:rFonts w:eastAsiaTheme="majorEastAsia"/>
          <w:color w:val="000000"/>
        </w:rPr>
        <w:t> </w:t>
      </w:r>
      <w:r>
        <w:rPr>
          <w:i/>
          <w:iCs/>
          <w:color w:val="000000"/>
        </w:rPr>
        <w:t>Sciencedirect.com</w:t>
      </w:r>
      <w:r>
        <w:rPr>
          <w:color w:val="000000"/>
        </w:rPr>
        <w:t>. Available at: https://www.sciencedirect.com/topics/neuroscience/autocrine-signalling (Accessed: 6 March 2026).</w:t>
      </w:r>
    </w:p>
    <w:p w14:paraId="0C7C118E" w14:textId="4C928A6C" w:rsidR="007860D6" w:rsidRDefault="007860D6" w:rsidP="007860D6">
      <w:pPr>
        <w:pStyle w:val="NormalWeb"/>
        <w:spacing w:before="0" w:beforeAutospacing="0" w:after="240" w:afterAutospacing="0" w:line="360" w:lineRule="atLeast"/>
        <w:rPr>
          <w:color w:val="000000"/>
        </w:rPr>
      </w:pPr>
      <w:r>
        <w:rPr>
          <w:color w:val="000000"/>
        </w:rPr>
        <w:t>Sever, R. and Brugge, J.S. (2015) ‘Signal Transduction in Cancer’,</w:t>
      </w:r>
      <w:r>
        <w:rPr>
          <w:rStyle w:val="apple-converted-space"/>
          <w:rFonts w:eastAsiaTheme="majorEastAsia"/>
          <w:color w:val="000000"/>
        </w:rPr>
        <w:t> </w:t>
      </w:r>
      <w:r>
        <w:rPr>
          <w:i/>
          <w:iCs/>
          <w:color w:val="000000"/>
        </w:rPr>
        <w:t>Cold Spring Harbor Perspectives in Medicine</w:t>
      </w:r>
      <w:r>
        <w:rPr>
          <w:color w:val="000000"/>
        </w:rPr>
        <w:t xml:space="preserve">, 5(4), pp. a006098–a006098. Available at: </w:t>
      </w:r>
      <w:hyperlink r:id="rId11" w:history="1">
        <w:r w:rsidRPr="00892D29">
          <w:rPr>
            <w:rStyle w:val="Hyperlink"/>
          </w:rPr>
          <w:t>https://doi.org/10.1101/cshperspect.a006098</w:t>
        </w:r>
      </w:hyperlink>
      <w:r>
        <w:rPr>
          <w:color w:val="000000"/>
        </w:rPr>
        <w:t xml:space="preserve"> (Accessed: 6 March 2026).</w:t>
      </w:r>
    </w:p>
    <w:p w14:paraId="0EBA2764" w14:textId="4665DB15" w:rsidR="007860D6" w:rsidRDefault="007860D6" w:rsidP="007860D6">
      <w:pPr>
        <w:pStyle w:val="NormalWeb"/>
        <w:spacing w:before="0" w:beforeAutospacing="0" w:after="240" w:afterAutospacing="0" w:line="360" w:lineRule="atLeast"/>
        <w:rPr>
          <w:color w:val="000000"/>
        </w:rPr>
      </w:pPr>
      <w:r>
        <w:rPr>
          <w:color w:val="000000"/>
        </w:rPr>
        <w:t>Song, Y., Li, J. and Wu, Y. (2024) ‘Evolving understanding of autoimmune mechanisms and new therapeutic strategies of autoimmune disorders’,</w:t>
      </w:r>
      <w:r>
        <w:rPr>
          <w:rStyle w:val="apple-converted-space"/>
          <w:rFonts w:eastAsiaTheme="majorEastAsia"/>
          <w:color w:val="000000"/>
        </w:rPr>
        <w:t> </w:t>
      </w:r>
      <w:r>
        <w:rPr>
          <w:i/>
          <w:iCs/>
          <w:color w:val="000000"/>
        </w:rPr>
        <w:t>Signal Transduction and Targeted Therapy</w:t>
      </w:r>
      <w:r>
        <w:rPr>
          <w:color w:val="000000"/>
        </w:rPr>
        <w:t xml:space="preserve">, 9(1). Available at: </w:t>
      </w:r>
      <w:hyperlink r:id="rId12" w:history="1">
        <w:r w:rsidRPr="00892D29">
          <w:rPr>
            <w:rStyle w:val="Hyperlink"/>
          </w:rPr>
          <w:t>https://doi.org/10.1038/s41392-024-01952-8</w:t>
        </w:r>
      </w:hyperlink>
      <w:r>
        <w:rPr>
          <w:color w:val="000000"/>
        </w:rPr>
        <w:t xml:space="preserve"> (Accessed: 6 March 2026).</w:t>
      </w:r>
    </w:p>
    <w:p w14:paraId="205ED24A" w14:textId="77777777" w:rsidR="00EE29B8" w:rsidRDefault="00EE29B8" w:rsidP="00B420B1">
      <w:pPr>
        <w:pStyle w:val="NoSpacing"/>
        <w:jc w:val="both"/>
        <w:rPr>
          <w:rFonts w:ascii="Times New Roman" w:hAnsi="Times New Roman"/>
          <w:color w:val="000000"/>
        </w:rPr>
      </w:pPr>
    </w:p>
    <w:p w14:paraId="73E11E20" w14:textId="16BF84B2" w:rsidR="00E733B4" w:rsidRPr="00E733B4" w:rsidRDefault="00E733B4" w:rsidP="006C3259">
      <w:pPr>
        <w:pStyle w:val="NoSpacing"/>
        <w:jc w:val="both"/>
        <w:rPr>
          <w:rFonts w:ascii="Times New Roman" w:hAnsi="Times New Roman"/>
          <w:color w:val="000000"/>
        </w:rPr>
      </w:pPr>
    </w:p>
    <w:sectPr w:rsidR="00E733B4" w:rsidRPr="00E733B4">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3BE87" w14:textId="77777777" w:rsidR="00E97837" w:rsidRDefault="00E97837" w:rsidP="00C76536">
      <w:pPr>
        <w:spacing w:line="240" w:lineRule="auto"/>
      </w:pPr>
      <w:r>
        <w:separator/>
      </w:r>
    </w:p>
  </w:endnote>
  <w:endnote w:type="continuationSeparator" w:id="0">
    <w:p w14:paraId="4EBEA97A" w14:textId="77777777" w:rsidR="00E97837" w:rsidRDefault="00E97837" w:rsidP="00C765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4A703" w14:textId="77777777" w:rsidR="00C76536" w:rsidRDefault="00C76536">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A302A65" w14:textId="77777777" w:rsidR="00C76536" w:rsidRDefault="00C765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69059" w14:textId="77777777" w:rsidR="00E97837" w:rsidRDefault="00E97837" w:rsidP="00C76536">
      <w:pPr>
        <w:spacing w:line="240" w:lineRule="auto"/>
      </w:pPr>
      <w:r>
        <w:separator/>
      </w:r>
    </w:p>
  </w:footnote>
  <w:footnote w:type="continuationSeparator" w:id="0">
    <w:p w14:paraId="71947CCB" w14:textId="77777777" w:rsidR="00E97837" w:rsidRDefault="00E97837" w:rsidP="00C765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8F4C" w14:textId="46515BB9" w:rsidR="00C76536" w:rsidRPr="00C76536" w:rsidRDefault="00C76536" w:rsidP="00C76536">
    <w:pPr>
      <w:pStyle w:val="Header"/>
      <w:tabs>
        <w:tab w:val="clear" w:pos="4513"/>
        <w:tab w:val="clear" w:pos="9026"/>
        <w:tab w:val="left" w:pos="6711"/>
      </w:tabs>
      <w:rPr>
        <w:rFonts w:ascii="Times New Roman" w:hAnsi="Times New Roman" w:cs="Times New Roman"/>
      </w:rPr>
    </w:pPr>
    <w:r w:rsidRPr="00C76536">
      <w:rPr>
        <w:rFonts w:ascii="Times New Roman" w:hAnsi="Times New Roman" w:cs="Times New Roman"/>
      </w:rPr>
      <w:t>Ella Barnwell - 2403929</w:t>
    </w:r>
    <w:r w:rsidRPr="00C76536">
      <w:rPr>
        <w:rFonts w:ascii="Times New Roman" w:hAnsi="Times New Roman" w:cs="Times New Roman"/>
      </w:rPr>
      <w:tab/>
      <w:t>BMSH4003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D6A1E"/>
    <w:multiLevelType w:val="hybridMultilevel"/>
    <w:tmpl w:val="CFE2AE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A66505"/>
    <w:multiLevelType w:val="hybridMultilevel"/>
    <w:tmpl w:val="7B3C3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7576146">
    <w:abstractNumId w:val="1"/>
  </w:num>
  <w:num w:numId="2" w16cid:durableId="628557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536"/>
    <w:rsid w:val="000230A0"/>
    <w:rsid w:val="00023A05"/>
    <w:rsid w:val="00044884"/>
    <w:rsid w:val="00064F35"/>
    <w:rsid w:val="000675D6"/>
    <w:rsid w:val="00095F4D"/>
    <w:rsid w:val="000E2B90"/>
    <w:rsid w:val="001878AE"/>
    <w:rsid w:val="001C5299"/>
    <w:rsid w:val="001D4F9B"/>
    <w:rsid w:val="001E3C8F"/>
    <w:rsid w:val="001F3149"/>
    <w:rsid w:val="00222434"/>
    <w:rsid w:val="00250789"/>
    <w:rsid w:val="0026652E"/>
    <w:rsid w:val="00270192"/>
    <w:rsid w:val="00273970"/>
    <w:rsid w:val="00285561"/>
    <w:rsid w:val="00286C0C"/>
    <w:rsid w:val="002B51EC"/>
    <w:rsid w:val="002C297F"/>
    <w:rsid w:val="002D251E"/>
    <w:rsid w:val="002F5F6C"/>
    <w:rsid w:val="002F7A38"/>
    <w:rsid w:val="003074C8"/>
    <w:rsid w:val="00336991"/>
    <w:rsid w:val="00383336"/>
    <w:rsid w:val="003F5F40"/>
    <w:rsid w:val="00400521"/>
    <w:rsid w:val="004105E1"/>
    <w:rsid w:val="004321D6"/>
    <w:rsid w:val="00444717"/>
    <w:rsid w:val="004A2988"/>
    <w:rsid w:val="004F1594"/>
    <w:rsid w:val="0051217C"/>
    <w:rsid w:val="00550F43"/>
    <w:rsid w:val="0055758C"/>
    <w:rsid w:val="00597706"/>
    <w:rsid w:val="005D3995"/>
    <w:rsid w:val="005D7B17"/>
    <w:rsid w:val="005E3788"/>
    <w:rsid w:val="0063249F"/>
    <w:rsid w:val="00654F2C"/>
    <w:rsid w:val="00666ADE"/>
    <w:rsid w:val="0067172A"/>
    <w:rsid w:val="006A3B55"/>
    <w:rsid w:val="006B6D5F"/>
    <w:rsid w:val="006C3259"/>
    <w:rsid w:val="007432DA"/>
    <w:rsid w:val="007712D9"/>
    <w:rsid w:val="007860D6"/>
    <w:rsid w:val="00787AFD"/>
    <w:rsid w:val="00790CA8"/>
    <w:rsid w:val="007E237B"/>
    <w:rsid w:val="00800E99"/>
    <w:rsid w:val="00825116"/>
    <w:rsid w:val="00851922"/>
    <w:rsid w:val="008537F5"/>
    <w:rsid w:val="008A0442"/>
    <w:rsid w:val="008B5B2E"/>
    <w:rsid w:val="008E3A85"/>
    <w:rsid w:val="00974BC7"/>
    <w:rsid w:val="00990616"/>
    <w:rsid w:val="009E15DC"/>
    <w:rsid w:val="009E4E02"/>
    <w:rsid w:val="00A04AA9"/>
    <w:rsid w:val="00A247A1"/>
    <w:rsid w:val="00A34489"/>
    <w:rsid w:val="00A367A1"/>
    <w:rsid w:val="00A578AE"/>
    <w:rsid w:val="00A82637"/>
    <w:rsid w:val="00A95A3E"/>
    <w:rsid w:val="00AA10EC"/>
    <w:rsid w:val="00AE2D40"/>
    <w:rsid w:val="00AF6301"/>
    <w:rsid w:val="00B26793"/>
    <w:rsid w:val="00B37C56"/>
    <w:rsid w:val="00B420B1"/>
    <w:rsid w:val="00B5307C"/>
    <w:rsid w:val="00B81AC6"/>
    <w:rsid w:val="00B86DDF"/>
    <w:rsid w:val="00BA03A6"/>
    <w:rsid w:val="00BA4C37"/>
    <w:rsid w:val="00BB0BB0"/>
    <w:rsid w:val="00BB2E6D"/>
    <w:rsid w:val="00BC0506"/>
    <w:rsid w:val="00C54617"/>
    <w:rsid w:val="00C54B11"/>
    <w:rsid w:val="00C67908"/>
    <w:rsid w:val="00C76536"/>
    <w:rsid w:val="00C95C25"/>
    <w:rsid w:val="00C97F02"/>
    <w:rsid w:val="00D00F2E"/>
    <w:rsid w:val="00D023CB"/>
    <w:rsid w:val="00D51517"/>
    <w:rsid w:val="00D629A4"/>
    <w:rsid w:val="00D82410"/>
    <w:rsid w:val="00D974A8"/>
    <w:rsid w:val="00DA0B5C"/>
    <w:rsid w:val="00DA3092"/>
    <w:rsid w:val="00DB44ED"/>
    <w:rsid w:val="00DE50B8"/>
    <w:rsid w:val="00DE6B52"/>
    <w:rsid w:val="00DE72A6"/>
    <w:rsid w:val="00E34CAF"/>
    <w:rsid w:val="00E64522"/>
    <w:rsid w:val="00E7067F"/>
    <w:rsid w:val="00E733B4"/>
    <w:rsid w:val="00E75718"/>
    <w:rsid w:val="00E970D4"/>
    <w:rsid w:val="00E97837"/>
    <w:rsid w:val="00EE29B8"/>
    <w:rsid w:val="00EE557E"/>
    <w:rsid w:val="00EE59CB"/>
    <w:rsid w:val="00EF0148"/>
    <w:rsid w:val="00EF1947"/>
    <w:rsid w:val="00EF1F52"/>
    <w:rsid w:val="00F145E7"/>
    <w:rsid w:val="00F2683A"/>
    <w:rsid w:val="00F346F4"/>
    <w:rsid w:val="00F5223D"/>
    <w:rsid w:val="00F52294"/>
    <w:rsid w:val="00F62820"/>
    <w:rsid w:val="00FB4E94"/>
    <w:rsid w:val="00FC072E"/>
    <w:rsid w:val="00FF2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65187"/>
  <w15:chartTrackingRefBased/>
  <w15:docId w15:val="{A006ADD0-4C45-1648-B3D3-B3E942FF5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536"/>
    <w:pPr>
      <w:spacing w:after="0" w:line="480" w:lineRule="auto"/>
    </w:pPr>
    <w:rPr>
      <w:rFonts w:ascii="Arial" w:eastAsia="Times New Roman" w:hAnsi="Arial" w:cs="Times New Roman"/>
      <w:kern w:val="0"/>
      <w:szCs w:val="20"/>
      <w:lang w:eastAsia="en-GB"/>
      <w14:ligatures w14:val="none"/>
    </w:rPr>
  </w:style>
  <w:style w:type="paragraph" w:styleId="Heading1">
    <w:name w:val="heading 1"/>
    <w:basedOn w:val="Normal"/>
    <w:next w:val="Normal"/>
    <w:link w:val="Heading1Char"/>
    <w:uiPriority w:val="9"/>
    <w:qFormat/>
    <w:rsid w:val="00C7653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C7653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C7653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76536"/>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lang w:eastAsia="en-US"/>
      <w14:ligatures w14:val="standardContextual"/>
    </w:rPr>
  </w:style>
  <w:style w:type="paragraph" w:styleId="Heading5">
    <w:name w:val="heading 5"/>
    <w:basedOn w:val="Normal"/>
    <w:next w:val="Normal"/>
    <w:link w:val="Heading5Char"/>
    <w:uiPriority w:val="9"/>
    <w:semiHidden/>
    <w:unhideWhenUsed/>
    <w:qFormat/>
    <w:rsid w:val="00C76536"/>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lang w:eastAsia="en-US"/>
      <w14:ligatures w14:val="standardContextual"/>
    </w:rPr>
  </w:style>
  <w:style w:type="paragraph" w:styleId="Heading6">
    <w:name w:val="heading 6"/>
    <w:basedOn w:val="Normal"/>
    <w:next w:val="Normal"/>
    <w:link w:val="Heading6Char"/>
    <w:uiPriority w:val="9"/>
    <w:semiHidden/>
    <w:unhideWhenUsed/>
    <w:qFormat/>
    <w:rsid w:val="00C76536"/>
    <w:pPr>
      <w:keepNext/>
      <w:keepLines/>
      <w:spacing w:before="40" w:line="278" w:lineRule="auto"/>
      <w:outlineLvl w:val="5"/>
    </w:pPr>
    <w:rPr>
      <w:rFonts w:asciiTheme="minorHAnsi" w:eastAsiaTheme="majorEastAsia" w:hAnsiTheme="minorHAnsi" w:cstheme="majorBidi"/>
      <w:i/>
      <w:iCs/>
      <w:color w:val="595959" w:themeColor="text1" w:themeTint="A6"/>
      <w:kern w:val="2"/>
      <w:szCs w:val="24"/>
      <w:lang w:eastAsia="en-US"/>
      <w14:ligatures w14:val="standardContextual"/>
    </w:rPr>
  </w:style>
  <w:style w:type="paragraph" w:styleId="Heading7">
    <w:name w:val="heading 7"/>
    <w:basedOn w:val="Normal"/>
    <w:next w:val="Normal"/>
    <w:link w:val="Heading7Char"/>
    <w:uiPriority w:val="9"/>
    <w:semiHidden/>
    <w:unhideWhenUsed/>
    <w:qFormat/>
    <w:rsid w:val="00C76536"/>
    <w:pPr>
      <w:keepNext/>
      <w:keepLines/>
      <w:spacing w:before="40" w:line="278" w:lineRule="auto"/>
      <w:outlineLvl w:val="6"/>
    </w:pPr>
    <w:rPr>
      <w:rFonts w:asciiTheme="minorHAnsi" w:eastAsiaTheme="majorEastAsia" w:hAnsiTheme="minorHAnsi" w:cstheme="majorBidi"/>
      <w:color w:val="595959" w:themeColor="text1" w:themeTint="A6"/>
      <w:kern w:val="2"/>
      <w:szCs w:val="24"/>
      <w:lang w:eastAsia="en-US"/>
      <w14:ligatures w14:val="standardContextual"/>
    </w:rPr>
  </w:style>
  <w:style w:type="paragraph" w:styleId="Heading8">
    <w:name w:val="heading 8"/>
    <w:basedOn w:val="Normal"/>
    <w:next w:val="Normal"/>
    <w:link w:val="Heading8Char"/>
    <w:uiPriority w:val="9"/>
    <w:semiHidden/>
    <w:unhideWhenUsed/>
    <w:qFormat/>
    <w:rsid w:val="00C76536"/>
    <w:pPr>
      <w:keepNext/>
      <w:keepLines/>
      <w:spacing w:line="278" w:lineRule="auto"/>
      <w:outlineLvl w:val="7"/>
    </w:pPr>
    <w:rPr>
      <w:rFonts w:asciiTheme="minorHAnsi" w:eastAsiaTheme="majorEastAsia" w:hAnsiTheme="minorHAnsi" w:cstheme="majorBidi"/>
      <w:i/>
      <w:iCs/>
      <w:color w:val="272727" w:themeColor="text1" w:themeTint="D8"/>
      <w:kern w:val="2"/>
      <w:szCs w:val="24"/>
      <w:lang w:eastAsia="en-US"/>
      <w14:ligatures w14:val="standardContextual"/>
    </w:rPr>
  </w:style>
  <w:style w:type="paragraph" w:styleId="Heading9">
    <w:name w:val="heading 9"/>
    <w:basedOn w:val="Normal"/>
    <w:next w:val="Normal"/>
    <w:link w:val="Heading9Char"/>
    <w:uiPriority w:val="9"/>
    <w:semiHidden/>
    <w:unhideWhenUsed/>
    <w:qFormat/>
    <w:rsid w:val="00C76536"/>
    <w:pPr>
      <w:keepNext/>
      <w:keepLines/>
      <w:spacing w:line="278" w:lineRule="auto"/>
      <w:outlineLvl w:val="8"/>
    </w:pPr>
    <w:rPr>
      <w:rFonts w:asciiTheme="minorHAnsi" w:eastAsiaTheme="majorEastAsia" w:hAnsiTheme="minorHAnsi" w:cstheme="majorBidi"/>
      <w:color w:val="272727" w:themeColor="text1" w:themeTint="D8"/>
      <w:kern w:val="2"/>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5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65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65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65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65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65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65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65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6536"/>
    <w:rPr>
      <w:rFonts w:eastAsiaTheme="majorEastAsia" w:cstheme="majorBidi"/>
      <w:color w:val="272727" w:themeColor="text1" w:themeTint="D8"/>
    </w:rPr>
  </w:style>
  <w:style w:type="paragraph" w:styleId="Title">
    <w:name w:val="Title"/>
    <w:basedOn w:val="Normal"/>
    <w:next w:val="Normal"/>
    <w:link w:val="TitleChar"/>
    <w:uiPriority w:val="10"/>
    <w:qFormat/>
    <w:rsid w:val="00C76536"/>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765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653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765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6536"/>
    <w:pPr>
      <w:spacing w:before="160" w:after="160" w:line="278" w:lineRule="auto"/>
      <w:jc w:val="center"/>
    </w:pPr>
    <w:rPr>
      <w:rFonts w:asciiTheme="minorHAnsi" w:eastAsiaTheme="minorHAnsi" w:hAnsiTheme="minorHAnsi" w:cstheme="minorBidi"/>
      <w:i/>
      <w:iCs/>
      <w:color w:val="404040" w:themeColor="text1" w:themeTint="BF"/>
      <w:kern w:val="2"/>
      <w:szCs w:val="24"/>
      <w:lang w:eastAsia="en-US"/>
      <w14:ligatures w14:val="standardContextual"/>
    </w:rPr>
  </w:style>
  <w:style w:type="character" w:customStyle="1" w:styleId="QuoteChar">
    <w:name w:val="Quote Char"/>
    <w:basedOn w:val="DefaultParagraphFont"/>
    <w:link w:val="Quote"/>
    <w:uiPriority w:val="29"/>
    <w:rsid w:val="00C76536"/>
    <w:rPr>
      <w:i/>
      <w:iCs/>
      <w:color w:val="404040" w:themeColor="text1" w:themeTint="BF"/>
    </w:rPr>
  </w:style>
  <w:style w:type="paragraph" w:styleId="ListParagraph">
    <w:name w:val="List Paragraph"/>
    <w:basedOn w:val="Normal"/>
    <w:uiPriority w:val="34"/>
    <w:qFormat/>
    <w:rsid w:val="00C76536"/>
    <w:pPr>
      <w:spacing w:after="160" w:line="278" w:lineRule="auto"/>
      <w:ind w:left="720"/>
      <w:contextualSpacing/>
    </w:pPr>
    <w:rPr>
      <w:rFonts w:asciiTheme="minorHAnsi" w:eastAsiaTheme="minorHAnsi" w:hAnsiTheme="minorHAnsi" w:cstheme="minorBidi"/>
      <w:kern w:val="2"/>
      <w:szCs w:val="24"/>
      <w:lang w:eastAsia="en-US"/>
      <w14:ligatures w14:val="standardContextual"/>
    </w:rPr>
  </w:style>
  <w:style w:type="character" w:styleId="IntenseEmphasis">
    <w:name w:val="Intense Emphasis"/>
    <w:basedOn w:val="DefaultParagraphFont"/>
    <w:uiPriority w:val="21"/>
    <w:qFormat/>
    <w:rsid w:val="00C76536"/>
    <w:rPr>
      <w:i/>
      <w:iCs/>
      <w:color w:val="0F4761" w:themeColor="accent1" w:themeShade="BF"/>
    </w:rPr>
  </w:style>
  <w:style w:type="paragraph" w:styleId="IntenseQuote">
    <w:name w:val="Intense Quote"/>
    <w:basedOn w:val="Normal"/>
    <w:next w:val="Normal"/>
    <w:link w:val="IntenseQuoteChar"/>
    <w:uiPriority w:val="30"/>
    <w:qFormat/>
    <w:rsid w:val="00C7653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lang w:eastAsia="en-US"/>
      <w14:ligatures w14:val="standardContextual"/>
    </w:rPr>
  </w:style>
  <w:style w:type="character" w:customStyle="1" w:styleId="IntenseQuoteChar">
    <w:name w:val="Intense Quote Char"/>
    <w:basedOn w:val="DefaultParagraphFont"/>
    <w:link w:val="IntenseQuote"/>
    <w:uiPriority w:val="30"/>
    <w:rsid w:val="00C76536"/>
    <w:rPr>
      <w:i/>
      <w:iCs/>
      <w:color w:val="0F4761" w:themeColor="accent1" w:themeShade="BF"/>
    </w:rPr>
  </w:style>
  <w:style w:type="character" w:styleId="IntenseReference">
    <w:name w:val="Intense Reference"/>
    <w:basedOn w:val="DefaultParagraphFont"/>
    <w:uiPriority w:val="32"/>
    <w:qFormat/>
    <w:rsid w:val="00C76536"/>
    <w:rPr>
      <w:b/>
      <w:bCs/>
      <w:smallCaps/>
      <w:color w:val="0F4761" w:themeColor="accent1" w:themeShade="BF"/>
      <w:spacing w:val="5"/>
    </w:rPr>
  </w:style>
  <w:style w:type="paragraph" w:styleId="Header">
    <w:name w:val="header"/>
    <w:basedOn w:val="Normal"/>
    <w:link w:val="HeaderChar"/>
    <w:uiPriority w:val="99"/>
    <w:unhideWhenUsed/>
    <w:rsid w:val="00C76536"/>
    <w:pPr>
      <w:tabs>
        <w:tab w:val="center" w:pos="4513"/>
        <w:tab w:val="right" w:pos="9026"/>
      </w:tabs>
      <w:spacing w:line="240" w:lineRule="auto"/>
    </w:pPr>
    <w:rPr>
      <w:rFonts w:asciiTheme="minorHAnsi" w:eastAsiaTheme="minorHAnsi" w:hAnsiTheme="minorHAnsi" w:cstheme="minorBidi"/>
      <w:kern w:val="2"/>
      <w:szCs w:val="24"/>
      <w:lang w:eastAsia="en-US"/>
      <w14:ligatures w14:val="standardContextual"/>
    </w:rPr>
  </w:style>
  <w:style w:type="character" w:customStyle="1" w:styleId="HeaderChar">
    <w:name w:val="Header Char"/>
    <w:basedOn w:val="DefaultParagraphFont"/>
    <w:link w:val="Header"/>
    <w:uiPriority w:val="99"/>
    <w:rsid w:val="00C76536"/>
  </w:style>
  <w:style w:type="paragraph" w:styleId="Footer">
    <w:name w:val="footer"/>
    <w:basedOn w:val="Normal"/>
    <w:link w:val="FooterChar"/>
    <w:uiPriority w:val="99"/>
    <w:unhideWhenUsed/>
    <w:rsid w:val="00C76536"/>
    <w:pPr>
      <w:tabs>
        <w:tab w:val="center" w:pos="4513"/>
        <w:tab w:val="right" w:pos="9026"/>
      </w:tabs>
      <w:spacing w:line="240" w:lineRule="auto"/>
    </w:pPr>
    <w:rPr>
      <w:rFonts w:asciiTheme="minorHAnsi" w:eastAsiaTheme="minorHAnsi" w:hAnsiTheme="minorHAnsi" w:cstheme="minorBidi"/>
      <w:kern w:val="2"/>
      <w:szCs w:val="24"/>
      <w:lang w:eastAsia="en-US"/>
      <w14:ligatures w14:val="standardContextual"/>
    </w:rPr>
  </w:style>
  <w:style w:type="character" w:customStyle="1" w:styleId="FooterChar">
    <w:name w:val="Footer Char"/>
    <w:basedOn w:val="DefaultParagraphFont"/>
    <w:link w:val="Footer"/>
    <w:uiPriority w:val="99"/>
    <w:rsid w:val="00C76536"/>
  </w:style>
  <w:style w:type="paragraph" w:styleId="NoSpacing">
    <w:name w:val="No Spacing"/>
    <w:uiPriority w:val="1"/>
    <w:qFormat/>
    <w:rsid w:val="00C76536"/>
    <w:pPr>
      <w:spacing w:after="0" w:line="240" w:lineRule="auto"/>
    </w:pPr>
    <w:rPr>
      <w:rFonts w:ascii="Arial" w:eastAsia="Times New Roman" w:hAnsi="Arial" w:cs="Times New Roman"/>
      <w:kern w:val="0"/>
      <w:szCs w:val="20"/>
      <w:lang w:eastAsia="en-GB"/>
      <w14:ligatures w14:val="none"/>
    </w:rPr>
  </w:style>
  <w:style w:type="character" w:customStyle="1" w:styleId="apple-converted-space">
    <w:name w:val="apple-converted-space"/>
    <w:basedOn w:val="DefaultParagraphFont"/>
    <w:rsid w:val="001C5299"/>
  </w:style>
  <w:style w:type="character" w:styleId="Hyperlink">
    <w:name w:val="Hyperlink"/>
    <w:basedOn w:val="DefaultParagraphFont"/>
    <w:uiPriority w:val="99"/>
    <w:unhideWhenUsed/>
    <w:rsid w:val="00B420B1"/>
    <w:rPr>
      <w:color w:val="467886" w:themeColor="hyperlink"/>
      <w:u w:val="single"/>
    </w:rPr>
  </w:style>
  <w:style w:type="character" w:styleId="UnresolvedMention">
    <w:name w:val="Unresolved Mention"/>
    <w:basedOn w:val="DefaultParagraphFont"/>
    <w:uiPriority w:val="99"/>
    <w:semiHidden/>
    <w:unhideWhenUsed/>
    <w:rsid w:val="00B420B1"/>
    <w:rPr>
      <w:color w:val="605E5C"/>
      <w:shd w:val="clear" w:color="auto" w:fill="E1DFDD"/>
    </w:rPr>
  </w:style>
  <w:style w:type="character" w:styleId="FollowedHyperlink">
    <w:name w:val="FollowedHyperlink"/>
    <w:basedOn w:val="DefaultParagraphFont"/>
    <w:uiPriority w:val="99"/>
    <w:semiHidden/>
    <w:unhideWhenUsed/>
    <w:rsid w:val="004105E1"/>
    <w:rPr>
      <w:color w:val="96607D" w:themeColor="followedHyperlink"/>
      <w:u w:val="single"/>
    </w:rPr>
  </w:style>
  <w:style w:type="paragraph" w:styleId="NormalWeb">
    <w:name w:val="Normal (Web)"/>
    <w:basedOn w:val="Normal"/>
    <w:uiPriority w:val="99"/>
    <w:semiHidden/>
    <w:unhideWhenUsed/>
    <w:rsid w:val="00EE29B8"/>
    <w:pPr>
      <w:spacing w:before="100" w:beforeAutospacing="1" w:after="100" w:afterAutospacing="1" w:line="240" w:lineRule="auto"/>
    </w:pPr>
    <w:rPr>
      <w:rFonts w:ascii="Times New Roman" w:hAnsi="Times New Roman"/>
      <w:szCs w:val="24"/>
    </w:rPr>
  </w:style>
  <w:style w:type="paragraph" w:styleId="CommentText">
    <w:name w:val="annotation text"/>
    <w:basedOn w:val="Normal"/>
    <w:link w:val="CommentTextChar"/>
    <w:uiPriority w:val="99"/>
    <w:semiHidden/>
    <w:unhideWhenUsed/>
    <w:rsid w:val="00800E99"/>
    <w:pPr>
      <w:spacing w:line="240" w:lineRule="auto"/>
    </w:pPr>
    <w:rPr>
      <w:sz w:val="20"/>
    </w:rPr>
  </w:style>
  <w:style w:type="character" w:customStyle="1" w:styleId="CommentTextChar">
    <w:name w:val="Comment Text Char"/>
    <w:basedOn w:val="DefaultParagraphFont"/>
    <w:link w:val="CommentText"/>
    <w:uiPriority w:val="99"/>
    <w:semiHidden/>
    <w:rsid w:val="00800E99"/>
    <w:rPr>
      <w:rFonts w:ascii="Arial" w:eastAsia="Times New Roman" w:hAnsi="Arial" w:cs="Times New Roman"/>
      <w:kern w:val="0"/>
      <w:sz w:val="20"/>
      <w:szCs w:val="20"/>
      <w:lang w:eastAsia="en-GB"/>
      <w14:ligatures w14:val="none"/>
    </w:rPr>
  </w:style>
  <w:style w:type="paragraph" w:styleId="CommentSubject">
    <w:name w:val="annotation subject"/>
    <w:basedOn w:val="CommentText"/>
    <w:next w:val="CommentText"/>
    <w:link w:val="CommentSubjectChar"/>
    <w:semiHidden/>
    <w:unhideWhenUsed/>
    <w:rsid w:val="00800E99"/>
    <w:rPr>
      <w:rFonts w:ascii="Times New Roman" w:hAnsi="Times New Roman"/>
      <w:b/>
      <w:bCs/>
    </w:rPr>
  </w:style>
  <w:style w:type="character" w:customStyle="1" w:styleId="CommentSubjectChar">
    <w:name w:val="Comment Subject Char"/>
    <w:basedOn w:val="CommentTextChar"/>
    <w:link w:val="CommentSubject"/>
    <w:semiHidden/>
    <w:rsid w:val="00800E99"/>
    <w:rPr>
      <w:rFonts w:ascii="Times New Roman" w:eastAsia="Times New Roman" w:hAnsi="Times New Roman" w:cs="Times New Roman"/>
      <w:b/>
      <w:bCs/>
      <w:kern w:val="0"/>
      <w:sz w:val="20"/>
      <w:szCs w:val="20"/>
      <w:lang w:eastAsia="en-GB"/>
      <w14:ligatures w14:val="none"/>
    </w:rPr>
  </w:style>
  <w:style w:type="paragraph" w:styleId="Caption">
    <w:name w:val="caption"/>
    <w:basedOn w:val="Normal"/>
    <w:next w:val="Normal"/>
    <w:uiPriority w:val="35"/>
    <w:unhideWhenUsed/>
    <w:qFormat/>
    <w:rsid w:val="00800E99"/>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eji.201646786"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016/j.chembiol.2013.12.016" TargetMode="External"/><Relationship Id="rId12" Type="http://schemas.openxmlformats.org/officeDocument/2006/relationships/hyperlink" Target="https://doi.org/10.1038/s41392-024-01952-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1/cshperspect.a006098"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146/annurev-immunol-042617-053352" TargetMode="External"/><Relationship Id="rId4" Type="http://schemas.openxmlformats.org/officeDocument/2006/relationships/webSettings" Target="webSettings.xml"/><Relationship Id="rId9" Type="http://schemas.openxmlformats.org/officeDocument/2006/relationships/hyperlink" Target="https://doi.org/10.1126/science.1193497"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571</TotalTime>
  <Pages>5</Pages>
  <Words>2027</Words>
  <Characters>12204</Characters>
  <Application>Microsoft Office Word</Application>
  <DocSecurity>0</DocSecurity>
  <Lines>226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Barnwell (2403929)</dc:creator>
  <cp:keywords/>
  <dc:description/>
  <cp:lastModifiedBy>Ella Barnwell (2403929)</cp:lastModifiedBy>
  <cp:revision>43</cp:revision>
  <dcterms:created xsi:type="dcterms:W3CDTF">2026-03-02T16:56:00Z</dcterms:created>
  <dcterms:modified xsi:type="dcterms:W3CDTF">2026-03-19T08:28:00Z</dcterms:modified>
</cp:coreProperties>
</file>