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56EE" w:rsidRDefault="007256EE" w:rsidP="007256EE">
      <w:pPr>
        <w:widowControl/>
        <w:autoSpaceDE/>
        <w:autoSpaceDN/>
        <w:spacing w:after="160" w:line="259" w:lineRule="auto"/>
        <w:jc w:val="left"/>
      </w:pPr>
      <w:r>
        <w:t xml:space="preserve"> </w:t>
      </w: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r>
        <w:t xml:space="preserve">                                                           NAME       -       </w:t>
      </w:r>
      <w:r w:rsidRPr="007256EE">
        <w:rPr>
          <w:b/>
        </w:rPr>
        <w:t>Suraj Bala</w:t>
      </w:r>
      <w:r>
        <w:t xml:space="preserve"> </w:t>
      </w:r>
    </w:p>
    <w:p w:rsidR="007256EE" w:rsidRDefault="007256EE" w:rsidP="007256EE">
      <w:pPr>
        <w:widowControl/>
        <w:autoSpaceDE/>
        <w:autoSpaceDN/>
        <w:spacing w:after="160" w:line="259" w:lineRule="auto"/>
        <w:jc w:val="left"/>
      </w:pPr>
      <w:r>
        <w:t xml:space="preserve">                                                  STUDENT ID     -       </w:t>
      </w:r>
      <w:r w:rsidRPr="007256EE">
        <w:rPr>
          <w:b/>
        </w:rPr>
        <w:t>2227794</w:t>
      </w:r>
    </w:p>
    <w:p w:rsidR="007256EE" w:rsidRDefault="007256EE" w:rsidP="007256EE">
      <w:pPr>
        <w:widowControl/>
        <w:autoSpaceDE/>
        <w:autoSpaceDN/>
        <w:spacing w:after="160" w:line="259" w:lineRule="auto"/>
        <w:jc w:val="left"/>
        <w:rPr>
          <w:rFonts w:ascii="Cambria body" w:hAnsi="Cambria body" w:cs="Arial"/>
          <w:b/>
        </w:rPr>
      </w:pPr>
      <w:r>
        <w:t xml:space="preserve">                                                  MODULE            -       </w:t>
      </w:r>
      <w:r w:rsidRPr="005E2CAA">
        <w:rPr>
          <w:rFonts w:ascii="Cambria body" w:hAnsi="Cambria body" w:cs="Arial"/>
          <w:b/>
        </w:rPr>
        <w:t>Marketing Fundamentals</w:t>
      </w:r>
      <w:r>
        <w:rPr>
          <w:rFonts w:ascii="Cambria body" w:hAnsi="Cambria body" w:cs="Arial"/>
          <w:b/>
        </w:rPr>
        <w:t xml:space="preserve"> </w:t>
      </w:r>
    </w:p>
    <w:p w:rsidR="007256EE" w:rsidRDefault="007256EE" w:rsidP="007256EE">
      <w:pPr>
        <w:widowControl/>
        <w:autoSpaceDE/>
        <w:autoSpaceDN/>
        <w:spacing w:after="160" w:line="259" w:lineRule="auto"/>
        <w:jc w:val="left"/>
        <w:rPr>
          <w:rFonts w:ascii="Cambria body" w:hAnsi="Cambria body"/>
          <w:b/>
          <w:bCs/>
          <w:sz w:val="22"/>
        </w:rPr>
      </w:pPr>
      <w:r>
        <w:rPr>
          <w:rFonts w:ascii="Cambria body" w:hAnsi="Cambria body" w:cs="Arial"/>
          <w:b/>
        </w:rPr>
        <w:t xml:space="preserve">                                                      </w:t>
      </w:r>
      <w:r w:rsidRPr="007256EE">
        <w:rPr>
          <w:rFonts w:ascii="Arial" w:hAnsi="Arial" w:cs="Arial"/>
          <w:sz w:val="22"/>
        </w:rPr>
        <w:t>Assignment Title</w:t>
      </w:r>
      <w:r>
        <w:rPr>
          <w:rFonts w:ascii="Arial" w:hAnsi="Arial" w:cs="Arial"/>
          <w:b/>
          <w:sz w:val="22"/>
        </w:rPr>
        <w:t xml:space="preserve">   </w:t>
      </w:r>
      <w:r>
        <w:rPr>
          <w:rFonts w:ascii="Arial" w:hAnsi="Arial" w:cs="Arial"/>
          <w:sz w:val="22"/>
        </w:rPr>
        <w:t xml:space="preserve">  -</w:t>
      </w:r>
      <w:r>
        <w:rPr>
          <w:rFonts w:ascii="Cambria body" w:hAnsi="Cambria body" w:cs="Arial"/>
          <w:b/>
        </w:rPr>
        <w:t xml:space="preserve">       </w:t>
      </w:r>
      <w:r w:rsidRPr="0039151B">
        <w:rPr>
          <w:rFonts w:ascii="Cambria body" w:hAnsi="Cambria body"/>
          <w:b/>
          <w:bCs/>
          <w:sz w:val="22"/>
        </w:rPr>
        <w:t>Diverse Adaptation Strategies</w:t>
      </w:r>
    </w:p>
    <w:p w:rsidR="007256EE" w:rsidRPr="005E2CAA" w:rsidRDefault="007256EE" w:rsidP="007256EE">
      <w:pPr>
        <w:spacing w:before="120" w:after="120"/>
        <w:jc w:val="left"/>
        <w:rPr>
          <w:rFonts w:ascii="Cambria body" w:hAnsi="Cambria body" w:cs="Arial"/>
          <w:b/>
          <w:bCs/>
          <w:sz w:val="22"/>
        </w:rPr>
      </w:pPr>
      <w:r>
        <w:rPr>
          <w:rFonts w:ascii="Cambria body" w:hAnsi="Cambria body"/>
          <w:b/>
          <w:bCs/>
          <w:sz w:val="22"/>
        </w:rPr>
        <w:t xml:space="preserve">                                                            </w:t>
      </w:r>
      <w:r w:rsidRPr="007256EE">
        <w:rPr>
          <w:rFonts w:ascii="Cambria body" w:hAnsi="Cambria body"/>
          <w:bCs/>
          <w:sz w:val="22"/>
        </w:rPr>
        <w:t xml:space="preserve"> </w:t>
      </w:r>
      <w:r w:rsidRPr="007256EE">
        <w:rPr>
          <w:rFonts w:ascii="Arial" w:hAnsi="Arial" w:cs="Arial"/>
          <w:sz w:val="22"/>
        </w:rPr>
        <w:t>Lecturer</w:t>
      </w:r>
      <w:r>
        <w:rPr>
          <w:rFonts w:ascii="Arial" w:hAnsi="Arial" w:cs="Arial"/>
          <w:b/>
          <w:sz w:val="22"/>
        </w:rPr>
        <w:t xml:space="preserve">                 </w:t>
      </w:r>
      <w:r w:rsidRPr="007256EE">
        <w:rPr>
          <w:rFonts w:ascii="Arial" w:hAnsi="Arial" w:cs="Arial"/>
          <w:sz w:val="22"/>
        </w:rPr>
        <w:t>-</w:t>
      </w:r>
      <w:r>
        <w:rPr>
          <w:rFonts w:ascii="Arial" w:hAnsi="Arial" w:cs="Arial"/>
          <w:sz w:val="22"/>
        </w:rPr>
        <w:t xml:space="preserve">       </w:t>
      </w:r>
      <w:r w:rsidRPr="005E2CAA">
        <w:rPr>
          <w:rFonts w:ascii="Cambria body" w:hAnsi="Cambria body"/>
          <w:b/>
          <w:bCs/>
        </w:rPr>
        <w:t>Efua Adams</w:t>
      </w:r>
    </w:p>
    <w:p w:rsidR="007256EE" w:rsidRPr="00A406E5" w:rsidRDefault="007256EE" w:rsidP="007256EE">
      <w:pPr>
        <w:spacing w:before="120" w:after="120"/>
        <w:jc w:val="left"/>
        <w:rPr>
          <w:rFonts w:ascii="Arial" w:hAnsi="Arial" w:cs="Arial"/>
          <w:b/>
          <w:sz w:val="22"/>
        </w:rPr>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p>
    <w:p w:rsidR="007256EE" w:rsidRDefault="007256EE" w:rsidP="007256EE">
      <w:pPr>
        <w:widowControl/>
        <w:autoSpaceDE/>
        <w:autoSpaceDN/>
        <w:spacing w:after="160" w:line="259" w:lineRule="auto"/>
        <w:jc w:val="left"/>
      </w:pPr>
      <w:r>
        <w:t xml:space="preserve">                                                                             </w:t>
      </w:r>
    </w:p>
    <w:p w:rsidR="007256EE" w:rsidRDefault="007256EE">
      <w:pPr>
        <w:widowControl/>
        <w:autoSpaceDE/>
        <w:autoSpaceDN/>
        <w:spacing w:after="160" w:line="259" w:lineRule="auto"/>
        <w:jc w:val="left"/>
      </w:pPr>
      <w:r>
        <w:br w:type="page"/>
      </w:r>
      <w:r>
        <w:lastRenderedPageBreak/>
        <w:t xml:space="preserve"> </w:t>
      </w:r>
    </w:p>
    <w:p w:rsidR="004002B7" w:rsidRDefault="004002B7" w:rsidP="007256EE">
      <w:pPr>
        <w:widowControl/>
        <w:autoSpaceDE/>
        <w:autoSpaceDN/>
        <w:spacing w:after="160" w:line="259" w:lineRule="auto"/>
        <w:jc w:val="left"/>
      </w:pPr>
    </w:p>
    <w:p w:rsidR="004002B7" w:rsidRDefault="004002B7" w:rsidP="004002B7">
      <w:pPr>
        <w:jc w:val="center"/>
      </w:pPr>
    </w:p>
    <w:p w:rsidR="004002B7" w:rsidRDefault="004002B7" w:rsidP="004002B7">
      <w:pPr>
        <w:jc w:val="center"/>
      </w:pPr>
    </w:p>
    <w:p w:rsidR="004002B7" w:rsidRDefault="004002B7" w:rsidP="004002B7">
      <w:pPr>
        <w:jc w:val="center"/>
      </w:pPr>
    </w:p>
    <w:p w:rsidR="004002B7" w:rsidRDefault="004002B7" w:rsidP="004002B7">
      <w:pPr>
        <w:jc w:val="center"/>
      </w:pPr>
    </w:p>
    <w:p w:rsidR="004002B7" w:rsidRDefault="004002B7" w:rsidP="004002B7">
      <w:pPr>
        <w:jc w:val="center"/>
      </w:pPr>
    </w:p>
    <w:p w:rsidR="004002B7" w:rsidRDefault="004002B7" w:rsidP="004002B7">
      <w:pPr>
        <w:jc w:val="center"/>
      </w:pPr>
    </w:p>
    <w:p w:rsidR="004002B7" w:rsidRDefault="004002B7" w:rsidP="004002B7">
      <w:pPr>
        <w:jc w:val="center"/>
      </w:pPr>
    </w:p>
    <w:p w:rsidR="004002B7" w:rsidRDefault="004002B7" w:rsidP="004002B7">
      <w:pPr>
        <w:jc w:val="center"/>
      </w:pPr>
    </w:p>
    <w:p w:rsidR="004002B7" w:rsidRDefault="004002B7" w:rsidP="004002B7">
      <w:pPr>
        <w:jc w:val="center"/>
      </w:pPr>
    </w:p>
    <w:p w:rsidR="004002B7" w:rsidRDefault="004002B7" w:rsidP="004002B7">
      <w:pPr>
        <w:jc w:val="center"/>
      </w:pPr>
      <w:r>
        <w:t>TASK 1 (CASE STUDY) – INDIVIDUAL REPORT</w:t>
      </w:r>
    </w:p>
    <w:p w:rsidR="004002B7" w:rsidRDefault="004002B7" w:rsidP="004002B7"/>
    <w:p w:rsidR="004002B7" w:rsidRDefault="004002B7" w:rsidP="004002B7">
      <w:pPr>
        <w:jc w:val="center"/>
      </w:pPr>
      <w:r>
        <w:t>DIVERSE ADAPTATION STRATEGIES HELPED LOCAL FOOD PRODUCERS COPE WITH INITIAL CHALLENGES OF THE COVID-19 PANDEMIC – LESSONS FROM QUEBEC, CANADA</w:t>
      </w:r>
    </w:p>
    <w:p w:rsidR="004002B7" w:rsidRDefault="004002B7">
      <w:pPr>
        <w:widowControl/>
        <w:autoSpaceDE/>
        <w:autoSpaceDN/>
        <w:spacing w:after="160" w:line="259" w:lineRule="auto"/>
        <w:jc w:val="left"/>
      </w:pPr>
      <w:r>
        <w:br w:type="page"/>
      </w:r>
    </w:p>
    <w:p w:rsidR="00423780" w:rsidRDefault="004002B7" w:rsidP="004002B7">
      <w:pPr>
        <w:pStyle w:val="Heading1"/>
      </w:pPr>
      <w:r>
        <w:lastRenderedPageBreak/>
        <w:t>Introduction</w:t>
      </w:r>
    </w:p>
    <w:p w:rsidR="00AD363A" w:rsidRDefault="00AD363A" w:rsidP="00AD363A">
      <w:r>
        <w:t>The purpose of this paper is to examine how local food producers in Quebec approach marketing their products. Environment analysis, strategy creation, strategy execution, and monitoring and control are all topics that will be covered. In order to get a full picture of the tactics these farmers use, we'll be using a variety of marketing frameworks and theories throughout the investigation, including the SWOT analysis, PESTLE analysis, Ansoff Matrix, competitive analysis, and marketing ideas.This research aims to help other companies and sectors by drawing lessons and insights from the experiences of Quebec's local food producers</w:t>
      </w:r>
      <w:r w:rsidR="00E37831" w:rsidRPr="00E37831">
        <w:t>(Schreiber et al., 2022)</w:t>
      </w:r>
      <w:r>
        <w:t>. Their resilience in the face of a global catastrophe is a testament to the power of adaptability, teamwork, and calculated risk-taking in the business world. The results of this case study might be used as a helpful guide for companies that want to increase their capacity to adapt to and succeed in novel situations.</w:t>
      </w:r>
    </w:p>
    <w:p w:rsidR="004002B7" w:rsidRDefault="009E4CEC" w:rsidP="009E4CEC">
      <w:pPr>
        <w:pStyle w:val="Heading1"/>
      </w:pPr>
      <w:r w:rsidRPr="009E4CEC">
        <w:t>Environmental Scanning</w:t>
      </w:r>
    </w:p>
    <w:p w:rsidR="00225475" w:rsidRDefault="00225475" w:rsidP="00225475">
      <w:r>
        <w:t>Sifting through data on potential external influences on a business or sector is called "environmental scanning." Economic trends, technical developments, political and legal considerations, social and cultural influences, and competitive dynamics are only some of the external aspects that need to be tracked and interpreted. Scanning the surrounding surroundings may help you spot potential possibilities and dangers. Organisations may improve their plans, prepare for future changes, and make better choices if they have a firm grasp of the external environment in which they operate</w:t>
      </w:r>
      <w:r w:rsidR="0027364F" w:rsidRPr="0027364F">
        <w:t>(Santos et al., 2020)</w:t>
      </w:r>
      <w:r>
        <w:t>. Quebec's local food producers can't afford to miss out on possibilities or threats in the business world, therefore environmental scanning is crucial for them to keep up with market trends, customer preferences, legislative changes, and the competitive landscape.</w:t>
      </w:r>
    </w:p>
    <w:p w:rsidR="00225475" w:rsidRDefault="00225475" w:rsidP="00225475"/>
    <w:p w:rsidR="001F6656" w:rsidRDefault="00FF0A03" w:rsidP="00FF0A03">
      <w:pPr>
        <w:pStyle w:val="Heading1"/>
      </w:pPr>
      <w:r w:rsidRPr="00FF0A03">
        <w:t>SWOT Analysis</w:t>
      </w:r>
    </w:p>
    <w:p w:rsidR="006272F7" w:rsidRDefault="006272F7" w:rsidP="006272F7">
      <w:r>
        <w:t>The SWOT analysis is a framework for assessing the opportunities, threats, weaknesses, and strengths of a company or other organisation. Using a SWOT analysis, we may look at the internal and external elements that affect local food producers in Quebec as they face the difficulties of the COVID-19 epidemic. Here is a look at the strengths, weaknesses, opportunities, and threats facing Quebec's local food producers:</w:t>
      </w:r>
    </w:p>
    <w:tbl>
      <w:tblPr>
        <w:tblStyle w:val="TableGrid"/>
        <w:tblW w:w="0" w:type="auto"/>
        <w:tblLook w:val="04A0"/>
      </w:tblPr>
      <w:tblGrid>
        <w:gridCol w:w="4675"/>
        <w:gridCol w:w="4675"/>
      </w:tblGrid>
      <w:tr w:rsidR="00564CB9" w:rsidTr="00564CB9">
        <w:tc>
          <w:tcPr>
            <w:tcW w:w="4675" w:type="dxa"/>
          </w:tcPr>
          <w:p w:rsidR="00564CB9" w:rsidRDefault="00564CB9" w:rsidP="00564CB9">
            <w:pPr>
              <w:pStyle w:val="Heading2"/>
              <w:outlineLvl w:val="1"/>
            </w:pPr>
            <w:r>
              <w:lastRenderedPageBreak/>
              <w:t>Strengths:</w:t>
            </w:r>
          </w:p>
          <w:p w:rsidR="00564CB9" w:rsidRPr="00876D55" w:rsidRDefault="00564CB9" w:rsidP="00564CB9">
            <w:r w:rsidRPr="00876D55">
              <w:t>Local food producers in Quebec may have include an emphasis on sustainable and organic practises, strong connections with consumers, and access to local marketplaces. These advantages may help them get an edge in the marketplace</w:t>
            </w:r>
            <w:r w:rsidR="0027364F" w:rsidRPr="0027364F">
              <w:t>(Longhurst et al., 2020)</w:t>
            </w:r>
            <w:r w:rsidRPr="00876D55">
              <w:t>.</w:t>
            </w:r>
          </w:p>
          <w:p w:rsidR="00564CB9" w:rsidRDefault="00564CB9" w:rsidP="006272F7"/>
        </w:tc>
        <w:tc>
          <w:tcPr>
            <w:tcW w:w="4675" w:type="dxa"/>
          </w:tcPr>
          <w:p w:rsidR="00564CB9" w:rsidRDefault="00564CB9" w:rsidP="00564CB9">
            <w:pPr>
              <w:pStyle w:val="Heading2"/>
              <w:outlineLvl w:val="1"/>
            </w:pPr>
            <w:r>
              <w:t>Weaknesses:</w:t>
            </w:r>
          </w:p>
          <w:p w:rsidR="00564CB9" w:rsidRPr="00EB6A2B" w:rsidRDefault="00564CB9" w:rsidP="00564CB9">
            <w:r w:rsidRPr="00EB6A2B">
              <w:t>Limitations on production, product availability at particular times of the year, reliance on a small number of distributors, and difficulty expanding into new markets are all potential downfalls for small-scale food manufacturers. Fixing these issues will make your business more effective and competitive.</w:t>
            </w:r>
          </w:p>
          <w:p w:rsidR="00564CB9" w:rsidRDefault="00564CB9" w:rsidP="006272F7"/>
        </w:tc>
      </w:tr>
      <w:tr w:rsidR="00564CB9" w:rsidTr="00564CB9">
        <w:tc>
          <w:tcPr>
            <w:tcW w:w="4675" w:type="dxa"/>
          </w:tcPr>
          <w:p w:rsidR="00564CB9" w:rsidRDefault="00564CB9" w:rsidP="00564CB9">
            <w:pPr>
              <w:pStyle w:val="Heading2"/>
              <w:outlineLvl w:val="1"/>
            </w:pPr>
            <w:r>
              <w:t>Opportunities:</w:t>
            </w:r>
          </w:p>
          <w:p w:rsidR="00564CB9" w:rsidRPr="00C06BA4" w:rsidRDefault="00564CB9" w:rsidP="00564CB9">
            <w:r w:rsidRPr="00C06BA4">
              <w:t>Increasing demand for locally produced and sustainable goods, collaborations with restaurants and retailers, internet sales platforms, and government assistance for local agriculture may all provide opportunities for local food producers. Growth and market expansion may result from seizing such chances.</w:t>
            </w:r>
          </w:p>
          <w:p w:rsidR="00564CB9" w:rsidRDefault="00564CB9" w:rsidP="00564CB9">
            <w:pPr>
              <w:pStyle w:val="Heading2"/>
              <w:outlineLvl w:val="1"/>
            </w:pPr>
          </w:p>
        </w:tc>
        <w:tc>
          <w:tcPr>
            <w:tcW w:w="4675" w:type="dxa"/>
          </w:tcPr>
          <w:p w:rsidR="00564CB9" w:rsidRDefault="00564CB9" w:rsidP="00564CB9">
            <w:pPr>
              <w:pStyle w:val="Heading2"/>
              <w:outlineLvl w:val="1"/>
            </w:pPr>
            <w:r>
              <w:t>Threats:</w:t>
            </w:r>
          </w:p>
          <w:p w:rsidR="00564CB9" w:rsidRPr="00D67D36" w:rsidRDefault="00564CB9" w:rsidP="00564CB9">
            <w:r w:rsidRPr="00D67D36">
              <w:t>Competition from bigger food producers, changing customer tastes, price volatility, and supply chain interruptions are all possible threats. Long-term success requires an awareness of and response to these dangers.</w:t>
            </w:r>
          </w:p>
          <w:p w:rsidR="00564CB9" w:rsidRDefault="00564CB9" w:rsidP="00564CB9">
            <w:pPr>
              <w:pStyle w:val="Heading2"/>
              <w:outlineLvl w:val="1"/>
            </w:pPr>
          </w:p>
        </w:tc>
      </w:tr>
    </w:tbl>
    <w:p w:rsidR="006272F7" w:rsidRDefault="006272F7" w:rsidP="006272F7">
      <w:r>
        <w:t>Quebec food producers may better understand their internal and external possibilities and risks by completing a comprehensive SWOT analysis. Based on these findings, we may design robust adaptation methods to deal with the difficulties posed by the COVID-19 pandemic and make the most of the potential it presents.</w:t>
      </w:r>
    </w:p>
    <w:p w:rsidR="00FF0A03" w:rsidRDefault="009D7A8B" w:rsidP="009D7A8B">
      <w:pPr>
        <w:pStyle w:val="Heading1"/>
      </w:pPr>
      <w:r w:rsidRPr="009D7A8B">
        <w:t>Competitive Analysis</w:t>
      </w:r>
    </w:p>
    <w:p w:rsidR="00644BB5" w:rsidRDefault="00644BB5" w:rsidP="00644BB5">
      <w:r>
        <w:t xml:space="preserve">Evaluation of direct and indirect rivals, market position, strengths and weaknesses, unique </w:t>
      </w:r>
      <w:r>
        <w:lastRenderedPageBreak/>
        <w:t>selling factors, and pricing strategies are all part of a thorough competitive study for Quebec's food producers.There is a lot of rivalry for Quebec's local food producers. Other farmers and food producers in the area that make comparable goods are direct rivals. Imported foods, supermarkets, and online food delivery services are examples of indirect competitors.Analysing the market share, brand reputation, and consumer perceptions of rivals is vital for determining a company's place in the market. You may learn more about their competitive advantages by examining their product offerings, quality, prices, and distribution networks.Competitors' strengths and shortcomings need to be evaluated. Competitors' pricing tactics should be analysed in light of price ranges, discounts, perceived value, and price elasticity. Manufacturers of regional fare have the option of competing on price or establishing themselves as premium suppliers, depending on their target market.Quebec food producers may increase their grasp of the market, pinpoint growth opportunities, and prepare for the challenges of the local food sector with the help of a thorough competition study</w:t>
      </w:r>
      <w:r w:rsidR="0027364F" w:rsidRPr="0027364F">
        <w:t>(Longhurst et al., 2020)</w:t>
      </w:r>
      <w:r>
        <w:t>.</w:t>
      </w:r>
    </w:p>
    <w:p w:rsidR="009D7A8B" w:rsidRDefault="00723241" w:rsidP="00723241">
      <w:pPr>
        <w:pStyle w:val="Heading1"/>
      </w:pPr>
      <w:r w:rsidRPr="00723241">
        <w:t>ANSOFF Matrix</w:t>
      </w:r>
    </w:p>
    <w:p w:rsidR="00674195" w:rsidRDefault="00674195" w:rsidP="00674195">
      <w:r>
        <w:t>The Ansoff Matrix is a planning tool that takes into account a company's product line and its target market to provide expansion plans. It gives a structure for thinking about and evaluating potential avenues for growth. The Ansoff Matrix identifies four distinct approaches to expansion.</w:t>
      </w:r>
    </w:p>
    <w:p w:rsidR="00674195" w:rsidRDefault="00674195" w:rsidP="002617AD">
      <w:pPr>
        <w:pStyle w:val="ListParagraph"/>
        <w:numPr>
          <w:ilvl w:val="0"/>
          <w:numId w:val="5"/>
        </w:numPr>
      </w:pPr>
      <w:r>
        <w:t xml:space="preserve">Market Penetration: Increased sales of already-existing items within the current market is market penetration. Quebec's local food producers might concentrate on expanding their client base within the present market. </w:t>
      </w:r>
    </w:p>
    <w:p w:rsidR="00674195" w:rsidRDefault="00674195" w:rsidP="002617AD">
      <w:pPr>
        <w:pStyle w:val="ListParagraph"/>
        <w:numPr>
          <w:ilvl w:val="0"/>
          <w:numId w:val="5"/>
        </w:numPr>
      </w:pPr>
      <w:r>
        <w:t>Market Development: Expanding the reach of an established product line into untapped areas is an example of market development. To expand their customer base, companies could, for instance, team up with nearby eateries or shops.</w:t>
      </w:r>
    </w:p>
    <w:p w:rsidR="00674195" w:rsidRDefault="00674195" w:rsidP="002617AD">
      <w:pPr>
        <w:pStyle w:val="ListParagraph"/>
        <w:numPr>
          <w:ilvl w:val="0"/>
          <w:numId w:val="5"/>
        </w:numPr>
      </w:pPr>
      <w:r>
        <w:lastRenderedPageBreak/>
        <w:t>Product Development:New items are developed, and old ones are tweaked, in order to meet the needs of the current market. To keep up with shifting customer tastes, local food producers might become creative by developing and releasing novel food items or variants</w:t>
      </w:r>
      <w:r w:rsidR="0027364F" w:rsidRPr="0027364F">
        <w:t>(Dale et al., 2020)</w:t>
      </w:r>
      <w:r>
        <w:t>.</w:t>
      </w:r>
    </w:p>
    <w:p w:rsidR="00674195" w:rsidRDefault="00674195" w:rsidP="002617AD">
      <w:pPr>
        <w:pStyle w:val="ListParagraph"/>
        <w:numPr>
          <w:ilvl w:val="0"/>
          <w:numId w:val="5"/>
        </w:numPr>
      </w:pPr>
      <w:r>
        <w:t>Diversification: To diversify is to go out into unexplored markets with novel offerings. Opportunities in food processing, export markets, and online food delivery services are just a few examples.</w:t>
      </w:r>
    </w:p>
    <w:p w:rsidR="00674195" w:rsidRDefault="00674195" w:rsidP="00674195">
      <w:r>
        <w:t>Quebec food producers may use the Ansoff Matrix to assess their strengths, weaknesses, opportunities, and threats associated with potential growth strategies. It drives their long-term success and resilience in the face of difficulties like the COVID-19 epidemic by assisting them in pinpointing the most appropriate growth plan in alignment with company goals and market circumstances</w:t>
      </w:r>
      <w:r w:rsidR="0027364F" w:rsidRPr="0027364F">
        <w:t>(Conway et al., 2019)</w:t>
      </w:r>
      <w:r>
        <w:t>.</w:t>
      </w:r>
    </w:p>
    <w:p w:rsidR="00723241" w:rsidRDefault="00D63F1B" w:rsidP="00D63F1B">
      <w:pPr>
        <w:pStyle w:val="Heading1"/>
      </w:pPr>
      <w:r w:rsidRPr="00D63F1B">
        <w:t>Implementation of Strategies</w:t>
      </w:r>
    </w:p>
    <w:p w:rsidR="00BB6BB2" w:rsidRDefault="00BB6BB2" w:rsidP="00BB6BB2">
      <w:r>
        <w:t>The term "strategy implementation" describes the steps taken to put a company's selected strategies into action and bring about the intended results. Managing the execution process entails allocating resources wisely, ensuring that strategic ideas are translated into concrete actions, and monitoring progress. During implementation, it's crucial that all involved parties remain in constant contact with one another and on the same page.</w:t>
      </w:r>
    </w:p>
    <w:p w:rsidR="00BB6BB2" w:rsidRDefault="00BB6BB2" w:rsidP="00BB6BB2"/>
    <w:p w:rsidR="00D63F1B" w:rsidRDefault="00BB6BB2" w:rsidP="00D63F1B">
      <w:r>
        <w:t xml:space="preserve">Quebec's local food producers will need to put into action a variety of adaptation techniques in order to meet the difficulties of the COVID-19 epidemic. Products may need to be redistributed, processes streamlined, partnerships formed, agricultural methods modified, and retail locations relocated. Having well-defined goals, KPIs, roles, and responsibilities, as well as a monitoring </w:t>
      </w:r>
      <w:r>
        <w:lastRenderedPageBreak/>
        <w:t>and control system in place, is essential for a successful implementation</w:t>
      </w:r>
      <w:r w:rsidR="0027364F" w:rsidRPr="0027364F">
        <w:t>(Berrang-Ford et al., 2019)</w:t>
      </w:r>
      <w:r>
        <w:t>.It is essential to monitor the methods in place on a regular basis in order to keep tabs on progress, spot any discrepancies, and make any required improvements. This helps keep initiatives on track with the evolving business landscape and brings about the intended results. The capacity of local food producers to weather the storms of uncertainty and keep their businesses afloat is directly correlated to the extent to which they have successfully implemented solutions</w:t>
      </w:r>
      <w:r w:rsidR="00E43C9C" w:rsidRPr="00E43C9C">
        <w:t>(Berrang-Ford et al., 2019)</w:t>
      </w:r>
      <w:r>
        <w:t>.</w:t>
      </w:r>
    </w:p>
    <w:p w:rsidR="00D63F1B" w:rsidRDefault="002467EF" w:rsidP="002467EF">
      <w:pPr>
        <w:pStyle w:val="Heading1"/>
      </w:pPr>
      <w:r w:rsidRPr="002467EF">
        <w:t>Monitoring and Control</w:t>
      </w:r>
    </w:p>
    <w:p w:rsidR="00DE63BC" w:rsidRDefault="00DE63BC" w:rsidP="00DE63BC">
      <w:r>
        <w:t>The term "strategy implementation" describes the steps taken to put a company's selected strategies into action and bring about the intended results. Managing the execution process entails allocating resources wisely, ensuring that strategic ideas are translated into concrete actions, and monitoring progress. During implementation, it's crucial that all involved parties remain in constant contact with one another and on the same page.</w:t>
      </w:r>
    </w:p>
    <w:p w:rsidR="00DE63BC" w:rsidRDefault="00DE63BC" w:rsidP="00DE63BC"/>
    <w:p w:rsidR="00DE63BC" w:rsidRDefault="00DE63BC" w:rsidP="00DE63BC">
      <w:r>
        <w:t xml:space="preserve">Quebec's local food producers will need to put into action a variety of adaptation techniques in order to meet the difficulties of the COVID-19 epidemic. Products may need to be redistributed, processes streamlined, partnerships formed, agricultural methods modified, and retail locations relocated. Having well-defined goals, KPIs, roles, and responsibilities, as well as a monitoring and control system in place, is essential for a successful implementation.It is essential to monitor the methods in place on a regular basis in order to keep tabs on progress, spot any discrepancies, and make any required improvements. This helps keep initiatives on track with the evolving business landscape and brings about the intended results. The capacity of local food producers to weather the storms of uncertainty and keep their businesses afloat is directly correlated to the </w:t>
      </w:r>
      <w:r>
        <w:lastRenderedPageBreak/>
        <w:t>extent to which they have successfully implemented solutions</w:t>
      </w:r>
      <w:r w:rsidR="00E43C9C" w:rsidRPr="00E43C9C">
        <w:t>(Berrang-Ford et al., 2019)</w:t>
      </w:r>
      <w:r>
        <w:t>.</w:t>
      </w:r>
    </w:p>
    <w:p w:rsidR="002467EF" w:rsidRDefault="005E41DB" w:rsidP="005E41DB">
      <w:pPr>
        <w:pStyle w:val="Heading1"/>
      </w:pPr>
      <w:r w:rsidRPr="005E41DB">
        <w:t>Conclusion</w:t>
      </w:r>
    </w:p>
    <w:p w:rsidR="00FC46EE" w:rsidRPr="00FC46EE" w:rsidRDefault="00FC46EE" w:rsidP="00FC46EE">
      <w:r w:rsidRPr="00FC46EE">
        <w:t>In conclusion, this case study demonstrates the resilience and flexibility of local food producers in Quebec through the early stages of the COVID-19 epidemic. These farmers were successful because they used marketing tools like the SWOT analysis, PESTLE analysis, Ansoff Matrix, and environmental scanning to learn about their market, spot problems, and devise solutions. The effectiveness of these tactics relied on constant monitoring and control throughout their deployment. Local food producers in Quebec were able to weather the storm of the pandemic and maintain supply chain stability by playing to their advantages, improving on their shortcomings, seizing opportunities, and reducing risks. This case study highlights the significance of adaptation and proactive strategic planning, and it offers useful lessons and insights for other farmers and enterprises working in comparable circumstances.</w:t>
      </w:r>
    </w:p>
    <w:p w:rsidR="00FC46EE" w:rsidRDefault="00FC46EE">
      <w:pPr>
        <w:widowControl/>
        <w:autoSpaceDE/>
        <w:autoSpaceDN/>
        <w:spacing w:after="160" w:line="259" w:lineRule="auto"/>
        <w:jc w:val="left"/>
      </w:pPr>
      <w:r>
        <w:br w:type="page"/>
      </w:r>
    </w:p>
    <w:p w:rsidR="00742EAC" w:rsidRDefault="007E7378" w:rsidP="007E7378">
      <w:pPr>
        <w:pStyle w:val="Heading1"/>
      </w:pPr>
      <w:r>
        <w:lastRenderedPageBreak/>
        <w:t>References</w:t>
      </w:r>
    </w:p>
    <w:p w:rsidR="00722FD7" w:rsidRDefault="00003408" w:rsidP="005B3DA6">
      <w:pPr>
        <w:pStyle w:val="ListParagraph"/>
        <w:numPr>
          <w:ilvl w:val="0"/>
          <w:numId w:val="6"/>
        </w:numPr>
      </w:pPr>
      <w:r w:rsidRPr="00003408">
        <w:t>Berrang-Ford, L., Biesbroek, R., Ford, J.D., Lesnikowski, A., Tanabe, A., Wang, F.M., Chen, C., Hsu, A., Hellmann, J.J., Pringle, P. and Grecequet, M., 2019. Tracking global climate change adaptation among governments. Nature Climate Change, 9(6), pp.440-449.</w:t>
      </w:r>
    </w:p>
    <w:p w:rsidR="00722FD7" w:rsidRDefault="00722FD7" w:rsidP="005B3DA6">
      <w:pPr>
        <w:pStyle w:val="ListParagraph"/>
        <w:numPr>
          <w:ilvl w:val="0"/>
          <w:numId w:val="6"/>
        </w:numPr>
      </w:pPr>
      <w:r w:rsidRPr="00722FD7">
        <w:t>Conway, D., Nicholls, R.J., Brown, S., Tebboth, M.G., Adger, W.N., Ahmad, B., Biemans, H., Crick, F., Lutz, A.F., De Campos, R.S. and Said, M., 2019. The need for bottom-up assessments of climate risks and adaptation in climate-sensitive regions. Nature Climate Change, 9(7), pp.503-511.</w:t>
      </w:r>
    </w:p>
    <w:p w:rsidR="00003408" w:rsidRDefault="00003408" w:rsidP="005B3DA6">
      <w:pPr>
        <w:pStyle w:val="ListParagraph"/>
        <w:numPr>
          <w:ilvl w:val="0"/>
          <w:numId w:val="6"/>
        </w:numPr>
      </w:pPr>
      <w:r w:rsidRPr="00003408">
        <w:t>Dale, A., Robinson, J., King, L., Burch, S., Newell, R., Shaw, A. and Jost, F., 2020. Meeting the climate change challenge: local government climate action in British Columbia, Canada. Climate Policy, 20(7), pp.866-880.</w:t>
      </w:r>
    </w:p>
    <w:p w:rsidR="00003408" w:rsidRDefault="009E23A8" w:rsidP="005B3DA6">
      <w:pPr>
        <w:pStyle w:val="ListParagraph"/>
        <w:numPr>
          <w:ilvl w:val="0"/>
          <w:numId w:val="6"/>
        </w:numPr>
      </w:pPr>
      <w:r w:rsidRPr="009E23A8">
        <w:t>Longhurst, G.J., Stone, D.M., Dulohery, K., Scully, D., Campbell, T. and Smith, C.F., 2020. Strength, weakness, opportunity, threat (SWOT) analysis of the adaptations to anatomical education in the United Kingdom and Republic of Ireland in response to the Covid‐19 pandemic. Anatomical sciences education, 13(3), pp.301-311.</w:t>
      </w:r>
    </w:p>
    <w:p w:rsidR="009E23A8" w:rsidRDefault="00B71B68" w:rsidP="005B3DA6">
      <w:pPr>
        <w:pStyle w:val="ListParagraph"/>
        <w:numPr>
          <w:ilvl w:val="0"/>
          <w:numId w:val="6"/>
        </w:numPr>
      </w:pPr>
      <w:r w:rsidRPr="00B71B68">
        <w:t>Santos, J.A., Fraga, H., Malheiro, A.C., Moutinho-Pereira, J., Dinis, L.T., Correia, C., Moriondo, M., Leolini, L., Dibari, C., Costafreda-Aumedes, S. and Kartschall, T., 2020. A review of the potential climate change impacts and adaptation options for European viticulture. Applied Sciences, 10(9), p.3092.</w:t>
      </w:r>
    </w:p>
    <w:p w:rsidR="00F7198E" w:rsidRDefault="00F7198E" w:rsidP="005B3DA6">
      <w:pPr>
        <w:pStyle w:val="ListParagraph"/>
        <w:numPr>
          <w:ilvl w:val="0"/>
          <w:numId w:val="6"/>
        </w:numPr>
      </w:pPr>
      <w:r w:rsidRPr="00F7198E">
        <w:t xml:space="preserve">Schreiber, K., Soubry, B., Dove-McFalls, C. and MacDonald, G.K., 2022. Diverse adaptation strategies helped local food producers cope with initial challenges of the </w:t>
      </w:r>
      <w:r w:rsidRPr="00F7198E">
        <w:lastRenderedPageBreak/>
        <w:t>Covid-19 pandemic: Lessons from Québec, Canada. Journal of Rural Studies, 90, pp.124-133.</w:t>
      </w:r>
    </w:p>
    <w:p w:rsidR="00B71B68" w:rsidRPr="007E7378" w:rsidRDefault="00B71B68" w:rsidP="007E7378"/>
    <w:sectPr w:rsidR="00B71B68" w:rsidRPr="007E7378" w:rsidSect="00A26AB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6048C" w:rsidRDefault="0016048C" w:rsidP="00C300C6">
      <w:pPr>
        <w:spacing w:line="240" w:lineRule="auto"/>
      </w:pPr>
      <w:r>
        <w:separator/>
      </w:r>
    </w:p>
  </w:endnote>
  <w:endnote w:type="continuationSeparator" w:id="1">
    <w:p w:rsidR="0016048C" w:rsidRDefault="0016048C" w:rsidP="00C300C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body">
    <w:altName w:val="Cambria"/>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6048C" w:rsidRDefault="0016048C" w:rsidP="00C300C6">
      <w:pPr>
        <w:spacing w:line="240" w:lineRule="auto"/>
      </w:pPr>
      <w:r>
        <w:separator/>
      </w:r>
    </w:p>
  </w:footnote>
  <w:footnote w:type="continuationSeparator" w:id="1">
    <w:p w:rsidR="0016048C" w:rsidRDefault="0016048C" w:rsidP="00C300C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832EF9"/>
    <w:multiLevelType w:val="hybridMultilevel"/>
    <w:tmpl w:val="52980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717826"/>
    <w:multiLevelType w:val="hybridMultilevel"/>
    <w:tmpl w:val="2616A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8511F75"/>
    <w:multiLevelType w:val="hybridMultilevel"/>
    <w:tmpl w:val="F920D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923468"/>
    <w:multiLevelType w:val="hybridMultilevel"/>
    <w:tmpl w:val="59DE3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32440C9"/>
    <w:multiLevelType w:val="hybridMultilevel"/>
    <w:tmpl w:val="47944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7F66E45"/>
    <w:multiLevelType w:val="hybridMultilevel"/>
    <w:tmpl w:val="1526A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5"/>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002B7"/>
    <w:rsid w:val="00003408"/>
    <w:rsid w:val="00136050"/>
    <w:rsid w:val="00153D95"/>
    <w:rsid w:val="0016048C"/>
    <w:rsid w:val="001F6656"/>
    <w:rsid w:val="00225475"/>
    <w:rsid w:val="00231F8C"/>
    <w:rsid w:val="002467EF"/>
    <w:rsid w:val="00247754"/>
    <w:rsid w:val="002617AD"/>
    <w:rsid w:val="0027364F"/>
    <w:rsid w:val="002A74EE"/>
    <w:rsid w:val="00310D53"/>
    <w:rsid w:val="00370096"/>
    <w:rsid w:val="004002B7"/>
    <w:rsid w:val="00404CF1"/>
    <w:rsid w:val="00423780"/>
    <w:rsid w:val="004768B2"/>
    <w:rsid w:val="004C70FF"/>
    <w:rsid w:val="00564CB9"/>
    <w:rsid w:val="005B3DA6"/>
    <w:rsid w:val="005E41DB"/>
    <w:rsid w:val="005F77F8"/>
    <w:rsid w:val="006272F7"/>
    <w:rsid w:val="00644BB5"/>
    <w:rsid w:val="00662A1E"/>
    <w:rsid w:val="00674195"/>
    <w:rsid w:val="006B6F78"/>
    <w:rsid w:val="00722FD7"/>
    <w:rsid w:val="00723241"/>
    <w:rsid w:val="007256EE"/>
    <w:rsid w:val="00742EAC"/>
    <w:rsid w:val="007E7378"/>
    <w:rsid w:val="00807789"/>
    <w:rsid w:val="00837F04"/>
    <w:rsid w:val="0085543E"/>
    <w:rsid w:val="00876D55"/>
    <w:rsid w:val="008A2B83"/>
    <w:rsid w:val="008B41EA"/>
    <w:rsid w:val="008C7B01"/>
    <w:rsid w:val="009A28CF"/>
    <w:rsid w:val="009B2A37"/>
    <w:rsid w:val="009D7A8B"/>
    <w:rsid w:val="009E23A8"/>
    <w:rsid w:val="009E4CEC"/>
    <w:rsid w:val="00A12F71"/>
    <w:rsid w:val="00A26AB2"/>
    <w:rsid w:val="00AD363A"/>
    <w:rsid w:val="00B1191B"/>
    <w:rsid w:val="00B275F9"/>
    <w:rsid w:val="00B44DD0"/>
    <w:rsid w:val="00B71B68"/>
    <w:rsid w:val="00BB6BB2"/>
    <w:rsid w:val="00C06BA4"/>
    <w:rsid w:val="00C12451"/>
    <w:rsid w:val="00C300C6"/>
    <w:rsid w:val="00CA4338"/>
    <w:rsid w:val="00D63F1B"/>
    <w:rsid w:val="00D67D36"/>
    <w:rsid w:val="00DB6E82"/>
    <w:rsid w:val="00DE63BC"/>
    <w:rsid w:val="00E3636A"/>
    <w:rsid w:val="00E37831"/>
    <w:rsid w:val="00E43C9C"/>
    <w:rsid w:val="00EB6A2B"/>
    <w:rsid w:val="00ED0550"/>
    <w:rsid w:val="00F7198E"/>
    <w:rsid w:val="00FB7ADC"/>
    <w:rsid w:val="00FC46EE"/>
    <w:rsid w:val="00FF0A03"/>
    <w:rsid w:val="00FF39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CA4338"/>
    <w:pPr>
      <w:keepNext/>
      <w:keepLines/>
      <w:outlineLvl w:val="0"/>
    </w:pPr>
    <w:rPr>
      <w:rFonts w:eastAsiaTheme="majorEastAsia"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CA4338"/>
    <w:pPr>
      <w:keepNext/>
      <w:keepLines/>
      <w:spacing w:before="40"/>
      <w:outlineLvl w:val="1"/>
    </w:pPr>
    <w:rPr>
      <w:rFonts w:eastAsiaTheme="majorEastAsia" w:cstheme="majorBidi"/>
      <w:b/>
      <w:i/>
      <w:color w:val="2F5496" w:themeColor="accent1" w:themeShade="BF"/>
      <w:sz w:val="26"/>
      <w:szCs w:val="26"/>
    </w:rPr>
  </w:style>
  <w:style w:type="paragraph" w:styleId="Heading3">
    <w:name w:val="heading 3"/>
    <w:basedOn w:val="Normal"/>
    <w:next w:val="Normal"/>
    <w:link w:val="Heading3Char"/>
    <w:uiPriority w:val="9"/>
    <w:unhideWhenUsed/>
    <w:qFormat/>
    <w:rsid w:val="00FB7ADC"/>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338"/>
    <w:rPr>
      <w:rFonts w:ascii="Times New Roman" w:eastAsiaTheme="majorEastAsia" w:hAnsi="Times New Roman" w:cstheme="majorBidi"/>
      <w:b/>
      <w:color w:val="000000" w:themeColor="text1"/>
      <w:sz w:val="28"/>
      <w:szCs w:val="32"/>
      <w:u w:val="single"/>
    </w:rPr>
  </w:style>
  <w:style w:type="character" w:customStyle="1" w:styleId="Heading2Char">
    <w:name w:val="Heading 2 Char"/>
    <w:basedOn w:val="DefaultParagraphFont"/>
    <w:link w:val="Heading2"/>
    <w:uiPriority w:val="9"/>
    <w:rsid w:val="00CA4338"/>
    <w:rPr>
      <w:rFonts w:ascii="Times New Roman" w:eastAsiaTheme="majorEastAsia" w:hAnsi="Times New Roman" w:cstheme="majorBidi"/>
      <w:b/>
      <w:i/>
      <w:color w:val="2F5496" w:themeColor="accent1" w:themeShade="BF"/>
      <w:sz w:val="26"/>
      <w:szCs w:val="26"/>
    </w:rPr>
  </w:style>
  <w:style w:type="paragraph" w:styleId="TOC1">
    <w:name w:val="toc 1"/>
    <w:basedOn w:val="Normal"/>
    <w:next w:val="Normal"/>
    <w:autoRedefine/>
    <w:uiPriority w:val="39"/>
    <w:unhideWhenUsed/>
    <w:rsid w:val="00404CF1"/>
    <w:pPr>
      <w:spacing w:after="100"/>
    </w:pPr>
    <w:rPr>
      <w:b/>
      <w:u w:val="single"/>
    </w:rPr>
  </w:style>
  <w:style w:type="paragraph" w:styleId="TOC2">
    <w:name w:val="toc 2"/>
    <w:basedOn w:val="Normal"/>
    <w:next w:val="Normal"/>
    <w:autoRedefine/>
    <w:uiPriority w:val="39"/>
    <w:unhideWhenUsed/>
    <w:rsid w:val="00404CF1"/>
    <w:pPr>
      <w:spacing w:after="100"/>
      <w:ind w:left="240"/>
    </w:pPr>
    <w:rPr>
      <w:b/>
      <w:i/>
    </w:rPr>
  </w:style>
  <w:style w:type="paragraph" w:styleId="ListParagraph">
    <w:name w:val="List Paragraph"/>
    <w:basedOn w:val="Normal"/>
    <w:uiPriority w:val="34"/>
    <w:qFormat/>
    <w:rsid w:val="008C7B01"/>
    <w:pPr>
      <w:widowControl/>
      <w:autoSpaceDE/>
      <w:autoSpaceDN/>
      <w:ind w:left="720"/>
      <w:contextualSpacing/>
    </w:pPr>
    <w:rPr>
      <w:rFonts w:eastAsiaTheme="minorEastAsia" w:cstheme="minorBidi"/>
      <w:noProof/>
      <w:szCs w:val="24"/>
      <w:lang w:val="en-GB"/>
    </w:rPr>
  </w:style>
  <w:style w:type="character" w:customStyle="1" w:styleId="Heading3Char">
    <w:name w:val="Heading 3 Char"/>
    <w:basedOn w:val="DefaultParagraphFont"/>
    <w:link w:val="Heading3"/>
    <w:uiPriority w:val="9"/>
    <w:rsid w:val="00FB7ADC"/>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564CB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300C6"/>
    <w:pPr>
      <w:tabs>
        <w:tab w:val="center" w:pos="4680"/>
        <w:tab w:val="right" w:pos="9360"/>
      </w:tabs>
      <w:spacing w:line="240" w:lineRule="auto"/>
    </w:pPr>
  </w:style>
  <w:style w:type="character" w:customStyle="1" w:styleId="HeaderChar">
    <w:name w:val="Header Char"/>
    <w:basedOn w:val="DefaultParagraphFont"/>
    <w:link w:val="Header"/>
    <w:uiPriority w:val="99"/>
    <w:rsid w:val="00C300C6"/>
    <w:rPr>
      <w:rFonts w:ascii="Times New Roman" w:hAnsi="Times New Roman" w:cs="Tahoma"/>
      <w:sz w:val="24"/>
    </w:rPr>
  </w:style>
  <w:style w:type="paragraph" w:styleId="Footer">
    <w:name w:val="footer"/>
    <w:basedOn w:val="Normal"/>
    <w:link w:val="FooterChar"/>
    <w:uiPriority w:val="99"/>
    <w:unhideWhenUsed/>
    <w:rsid w:val="00C300C6"/>
    <w:pPr>
      <w:tabs>
        <w:tab w:val="center" w:pos="4680"/>
        <w:tab w:val="right" w:pos="9360"/>
      </w:tabs>
      <w:spacing w:line="240" w:lineRule="auto"/>
    </w:pPr>
  </w:style>
  <w:style w:type="character" w:customStyle="1" w:styleId="FooterChar">
    <w:name w:val="Footer Char"/>
    <w:basedOn w:val="DefaultParagraphFont"/>
    <w:link w:val="Footer"/>
    <w:uiPriority w:val="99"/>
    <w:rsid w:val="00C300C6"/>
    <w:rPr>
      <w:rFonts w:ascii="Times New Roman" w:hAnsi="Times New Roman" w:cs="Tahoma"/>
      <w:sz w:val="24"/>
    </w:rPr>
  </w:style>
</w:styles>
</file>

<file path=word/webSettings.xml><?xml version="1.0" encoding="utf-8"?>
<w:webSettings xmlns:r="http://schemas.openxmlformats.org/officeDocument/2006/relationships" xmlns:w="http://schemas.openxmlformats.org/wordprocessingml/2006/main">
  <w:divs>
    <w:div w:id="671833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11</Pages>
  <Words>1935</Words>
  <Characters>11031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hi!</cp:lastModifiedBy>
  <cp:revision>63</cp:revision>
  <dcterms:created xsi:type="dcterms:W3CDTF">2023-06-22T23:58:00Z</dcterms:created>
  <dcterms:modified xsi:type="dcterms:W3CDTF">2023-06-26T14:18:00Z</dcterms:modified>
</cp:coreProperties>
</file>