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1A613" w14:textId="33493229" w:rsidR="008D221E" w:rsidRDefault="002533CE">
      <w:r>
        <w:t xml:space="preserve">Financial </w:t>
      </w:r>
      <w:r w:rsidR="00966734">
        <w:t xml:space="preserve">Management </w:t>
      </w:r>
      <w:r w:rsidR="00C80377">
        <w:t xml:space="preserve">for the hotel industry </w:t>
      </w:r>
    </w:p>
    <w:p w14:paraId="21C7B36B" w14:textId="77777777" w:rsidR="008D221E" w:rsidRDefault="008D221E"/>
    <w:p w14:paraId="3E2AD38D" w14:textId="4F7DBF5F" w:rsidR="008D221E" w:rsidRDefault="00D821BB">
      <w:r>
        <w:t>(</w:t>
      </w:r>
      <w:r w:rsidR="00DA22EF">
        <w:t>BMH5007</w:t>
      </w:r>
      <w:r>
        <w:t xml:space="preserve">, </w:t>
      </w:r>
      <w:r w:rsidR="00E50046">
        <w:t xml:space="preserve">BMIH5003) </w:t>
      </w:r>
    </w:p>
    <w:p w14:paraId="3C350960" w14:textId="77777777" w:rsidR="00E50046" w:rsidRDefault="00E50046"/>
    <w:p w14:paraId="5B74D877" w14:textId="77777777" w:rsidR="008D221E" w:rsidRDefault="008D221E"/>
    <w:p w14:paraId="41EDFAF7" w14:textId="6B2C5EDE" w:rsidR="008D221E" w:rsidRDefault="00F629E8">
      <w:r>
        <w:t>Lecture :</w:t>
      </w:r>
      <w:r w:rsidR="00683644">
        <w:t xml:space="preserve"> Tristan </w:t>
      </w:r>
      <w:r w:rsidR="00917295">
        <w:t>Hawkins</w:t>
      </w:r>
    </w:p>
    <w:p w14:paraId="558F3747" w14:textId="31EA9745" w:rsidR="00F629E8" w:rsidRDefault="009A14F6">
      <w:r>
        <w:t xml:space="preserve">Student Name: Ionela Lacramioara Balta </w:t>
      </w:r>
    </w:p>
    <w:p w14:paraId="6DBE2817" w14:textId="2E666C4F" w:rsidR="009A14F6" w:rsidRDefault="001C25AC">
      <w:r>
        <w:t xml:space="preserve">Student Id 2208099 </w:t>
      </w:r>
    </w:p>
    <w:p w14:paraId="3AC839AE" w14:textId="4F66632D" w:rsidR="001C25AC" w:rsidRDefault="00E54349">
      <w:r>
        <w:t xml:space="preserve">Date: </w:t>
      </w:r>
      <w:r w:rsidR="0012418A">
        <w:t>10 05 2024</w:t>
      </w:r>
    </w:p>
    <w:p w14:paraId="5C1DA0DE" w14:textId="77777777" w:rsidR="008D221E" w:rsidRDefault="008D221E"/>
    <w:p w14:paraId="68DBEEDE" w14:textId="77777777" w:rsidR="008D221E" w:rsidRDefault="008D221E"/>
    <w:p w14:paraId="1DF9948F" w14:textId="77777777" w:rsidR="008D221E" w:rsidRDefault="008D221E"/>
    <w:p w14:paraId="42BE68F0" w14:textId="77777777" w:rsidR="008D221E" w:rsidRDefault="008D221E"/>
    <w:p w14:paraId="4B3488F1" w14:textId="77777777" w:rsidR="008D221E" w:rsidRDefault="008D221E"/>
    <w:p w14:paraId="0D6A0EAD" w14:textId="77777777" w:rsidR="008D221E" w:rsidRDefault="008D221E"/>
    <w:p w14:paraId="7ACCDC33" w14:textId="77777777" w:rsidR="008D221E" w:rsidRDefault="008D221E"/>
    <w:p w14:paraId="4F2868F9" w14:textId="77777777" w:rsidR="008D221E" w:rsidRDefault="008D221E"/>
    <w:p w14:paraId="03766F1F" w14:textId="77777777" w:rsidR="008D221E" w:rsidRDefault="008D221E"/>
    <w:p w14:paraId="79EF806D" w14:textId="77777777" w:rsidR="008D221E" w:rsidRDefault="008D221E"/>
    <w:p w14:paraId="5EE8A09D" w14:textId="77777777" w:rsidR="008D221E" w:rsidRDefault="008D221E"/>
    <w:p w14:paraId="02818AFF" w14:textId="77777777" w:rsidR="008D221E" w:rsidRDefault="008D221E"/>
    <w:p w14:paraId="1BEF05B2" w14:textId="77777777" w:rsidR="008D221E" w:rsidRDefault="008D221E"/>
    <w:p w14:paraId="71E4D946" w14:textId="77777777" w:rsidR="008D221E" w:rsidRDefault="008D221E"/>
    <w:p w14:paraId="3305B1E1" w14:textId="77777777" w:rsidR="008D221E" w:rsidRDefault="008D221E"/>
    <w:p w14:paraId="3434C268" w14:textId="4A2FF918" w:rsidR="008D221E" w:rsidRDefault="008D221E"/>
    <w:p w14:paraId="5BE9C6D0" w14:textId="77777777" w:rsidR="008D221E" w:rsidRDefault="008D221E"/>
    <w:p w14:paraId="7E75C961" w14:textId="5F8AD8B5" w:rsidR="008D221E" w:rsidRPr="007C1323" w:rsidRDefault="007C1323">
      <w:pPr>
        <w:rPr>
          <w:rFonts w:ascii="Arial" w:hAnsi="Arial" w:cs="Arial"/>
          <w:sz w:val="24"/>
          <w:szCs w:val="24"/>
        </w:rPr>
      </w:pPr>
      <w:r w:rsidRPr="007C1323">
        <w:rPr>
          <w:rFonts w:ascii="Arial" w:hAnsi="Arial" w:cs="Arial"/>
          <w:sz w:val="24"/>
          <w:szCs w:val="24"/>
        </w:rPr>
        <w:t>Word count: 2121</w:t>
      </w:r>
    </w:p>
    <w:p w14:paraId="41B052A9" w14:textId="77777777" w:rsidR="008D221E" w:rsidRDefault="008D221E"/>
    <w:p w14:paraId="0F12BC31" w14:textId="77777777" w:rsidR="008D221E" w:rsidRDefault="008D221E"/>
    <w:p w14:paraId="57D103FE" w14:textId="77777777" w:rsidR="008D221E" w:rsidRDefault="008D221E"/>
    <w:p w14:paraId="0BD2195F" w14:textId="77777777" w:rsidR="008D221E" w:rsidRDefault="008D221E"/>
    <w:p w14:paraId="01B76EDE" w14:textId="77777777" w:rsidR="008D221E" w:rsidRDefault="008D221E"/>
    <w:p w14:paraId="23B93FD9" w14:textId="77777777" w:rsidR="008D221E" w:rsidRDefault="008D221E"/>
    <w:p w14:paraId="01D6F6DC" w14:textId="77777777" w:rsidR="008D221E" w:rsidRDefault="008D221E"/>
    <w:sdt>
      <w:sdtPr>
        <w:rPr>
          <w:rFonts w:asciiTheme="minorHAnsi" w:eastAsiaTheme="minorHAnsi" w:hAnsiTheme="minorHAnsi" w:cstheme="minorBidi"/>
          <w:color w:val="auto"/>
          <w:kern w:val="2"/>
          <w:sz w:val="22"/>
          <w:szCs w:val="22"/>
          <w:lang w:val="en-GB"/>
          <w14:ligatures w14:val="standardContextual"/>
        </w:rPr>
        <w:id w:val="-1212727242"/>
        <w:docPartObj>
          <w:docPartGallery w:val="Table of Contents"/>
          <w:docPartUnique/>
        </w:docPartObj>
      </w:sdtPr>
      <w:sdtEndPr>
        <w:rPr>
          <w:b/>
          <w:bCs/>
          <w:noProof/>
        </w:rPr>
      </w:sdtEndPr>
      <w:sdtContent>
        <w:p w14:paraId="47B49EFB" w14:textId="0FF5982F" w:rsidR="00B5224F" w:rsidRPr="00B5224F" w:rsidRDefault="00B5224F" w:rsidP="00B5224F">
          <w:pPr>
            <w:pStyle w:val="TOCHeading"/>
            <w:spacing w:line="360" w:lineRule="auto"/>
            <w:jc w:val="both"/>
            <w:rPr>
              <w:rFonts w:ascii="Arial" w:hAnsi="Arial" w:cs="Arial"/>
              <w:b/>
              <w:bCs/>
              <w:sz w:val="28"/>
              <w:szCs w:val="28"/>
            </w:rPr>
          </w:pPr>
          <w:r w:rsidRPr="00B5224F">
            <w:rPr>
              <w:rFonts w:ascii="Arial" w:hAnsi="Arial" w:cs="Arial"/>
              <w:b/>
              <w:bCs/>
              <w:sz w:val="28"/>
              <w:szCs w:val="28"/>
            </w:rPr>
            <w:t>Table of Contents</w:t>
          </w:r>
        </w:p>
        <w:p w14:paraId="76E6C513" w14:textId="3DDC356B" w:rsidR="00B5224F" w:rsidRPr="00B5224F" w:rsidRDefault="00B5224F" w:rsidP="00B5224F">
          <w:pPr>
            <w:pStyle w:val="TOC1"/>
            <w:tabs>
              <w:tab w:val="left" w:pos="480"/>
              <w:tab w:val="right" w:leader="dot" w:pos="9016"/>
            </w:tabs>
            <w:spacing w:line="360" w:lineRule="auto"/>
            <w:jc w:val="both"/>
            <w:rPr>
              <w:rFonts w:ascii="Arial" w:hAnsi="Arial" w:cs="Arial"/>
              <w:noProof/>
              <w:sz w:val="24"/>
              <w:szCs w:val="24"/>
            </w:rPr>
          </w:pPr>
          <w:r w:rsidRPr="00B5224F">
            <w:rPr>
              <w:rFonts w:ascii="Arial" w:hAnsi="Arial" w:cs="Arial"/>
              <w:sz w:val="24"/>
              <w:szCs w:val="24"/>
            </w:rPr>
            <w:fldChar w:fldCharType="begin"/>
          </w:r>
          <w:r w:rsidRPr="00B5224F">
            <w:rPr>
              <w:rFonts w:ascii="Arial" w:hAnsi="Arial" w:cs="Arial"/>
              <w:sz w:val="24"/>
              <w:szCs w:val="24"/>
            </w:rPr>
            <w:instrText xml:space="preserve"> TOC \o "1-3" \h \z \u </w:instrText>
          </w:r>
          <w:r w:rsidRPr="00B5224F">
            <w:rPr>
              <w:rFonts w:ascii="Arial" w:hAnsi="Arial" w:cs="Arial"/>
              <w:sz w:val="24"/>
              <w:szCs w:val="24"/>
            </w:rPr>
            <w:fldChar w:fldCharType="separate"/>
          </w:r>
          <w:hyperlink w:anchor="_Toc166179975" w:history="1">
            <w:r w:rsidRPr="00B5224F">
              <w:rPr>
                <w:rStyle w:val="Hyperlink"/>
                <w:rFonts w:ascii="Arial" w:hAnsi="Arial" w:cs="Arial"/>
                <w:noProof/>
                <w:sz w:val="24"/>
                <w:szCs w:val="24"/>
              </w:rPr>
              <w:t>1.</w:t>
            </w:r>
            <w:r w:rsidRPr="00B5224F">
              <w:rPr>
                <w:rFonts w:ascii="Arial" w:hAnsi="Arial" w:cs="Arial"/>
                <w:noProof/>
                <w:sz w:val="24"/>
                <w:szCs w:val="24"/>
              </w:rPr>
              <w:tab/>
            </w:r>
            <w:r w:rsidRPr="00B5224F">
              <w:rPr>
                <w:rStyle w:val="Hyperlink"/>
                <w:rFonts w:ascii="Arial" w:hAnsi="Arial" w:cs="Arial"/>
                <w:noProof/>
                <w:sz w:val="24"/>
                <w:szCs w:val="24"/>
              </w:rPr>
              <w:t>Introduction</w:t>
            </w:r>
            <w:r w:rsidRPr="00B5224F">
              <w:rPr>
                <w:rFonts w:ascii="Arial" w:hAnsi="Arial" w:cs="Arial"/>
                <w:noProof/>
                <w:webHidden/>
                <w:sz w:val="24"/>
                <w:szCs w:val="24"/>
              </w:rPr>
              <w:tab/>
            </w:r>
            <w:r w:rsidRPr="00B5224F">
              <w:rPr>
                <w:rFonts w:ascii="Arial" w:hAnsi="Arial" w:cs="Arial"/>
                <w:noProof/>
                <w:webHidden/>
                <w:sz w:val="24"/>
                <w:szCs w:val="24"/>
              </w:rPr>
              <w:fldChar w:fldCharType="begin"/>
            </w:r>
            <w:r w:rsidRPr="00B5224F">
              <w:rPr>
                <w:rFonts w:ascii="Arial" w:hAnsi="Arial" w:cs="Arial"/>
                <w:noProof/>
                <w:webHidden/>
                <w:sz w:val="24"/>
                <w:szCs w:val="24"/>
              </w:rPr>
              <w:instrText xml:space="preserve"> PAGEREF _Toc166179975 \h </w:instrText>
            </w:r>
            <w:r w:rsidRPr="00B5224F">
              <w:rPr>
                <w:rFonts w:ascii="Arial" w:hAnsi="Arial" w:cs="Arial"/>
                <w:noProof/>
                <w:webHidden/>
                <w:sz w:val="24"/>
                <w:szCs w:val="24"/>
              </w:rPr>
            </w:r>
            <w:r w:rsidRPr="00B5224F">
              <w:rPr>
                <w:rFonts w:ascii="Arial" w:hAnsi="Arial" w:cs="Arial"/>
                <w:noProof/>
                <w:webHidden/>
                <w:sz w:val="24"/>
                <w:szCs w:val="24"/>
              </w:rPr>
              <w:fldChar w:fldCharType="separate"/>
            </w:r>
            <w:r w:rsidR="007C1323">
              <w:rPr>
                <w:rFonts w:ascii="Arial" w:hAnsi="Arial" w:cs="Arial"/>
                <w:noProof/>
                <w:webHidden/>
                <w:sz w:val="24"/>
                <w:szCs w:val="24"/>
              </w:rPr>
              <w:t>3</w:t>
            </w:r>
            <w:r w:rsidRPr="00B5224F">
              <w:rPr>
                <w:rFonts w:ascii="Arial" w:hAnsi="Arial" w:cs="Arial"/>
                <w:noProof/>
                <w:webHidden/>
                <w:sz w:val="24"/>
                <w:szCs w:val="24"/>
              </w:rPr>
              <w:fldChar w:fldCharType="end"/>
            </w:r>
          </w:hyperlink>
        </w:p>
        <w:p w14:paraId="0E234F6F" w14:textId="6C1F46F8"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76" w:history="1">
            <w:r w:rsidR="00B5224F" w:rsidRPr="00B5224F">
              <w:rPr>
                <w:rStyle w:val="Hyperlink"/>
                <w:rFonts w:ascii="Arial" w:eastAsia="Times New Roman" w:hAnsi="Arial" w:cs="Arial"/>
                <w:noProof/>
                <w:sz w:val="24"/>
                <w:szCs w:val="24"/>
              </w:rPr>
              <w:t>2.</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Financial statements</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_Toc166179976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3</w:t>
            </w:r>
            <w:r w:rsidR="00B5224F" w:rsidRPr="00B5224F">
              <w:rPr>
                <w:rFonts w:ascii="Arial" w:hAnsi="Arial" w:cs="Arial"/>
                <w:noProof/>
                <w:webHidden/>
                <w:sz w:val="24"/>
                <w:szCs w:val="24"/>
              </w:rPr>
              <w:fldChar w:fldCharType="end"/>
            </w:r>
          </w:hyperlink>
        </w:p>
        <w:p w14:paraId="7BAB0D98" w14:textId="24398864"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77" w:history="1">
            <w:r w:rsidR="00B5224F" w:rsidRPr="00B5224F">
              <w:rPr>
                <w:rStyle w:val="Hyperlink"/>
                <w:rFonts w:ascii="Arial" w:eastAsia="Times New Roman" w:hAnsi="Arial" w:cs="Arial"/>
                <w:noProof/>
                <w:sz w:val="24"/>
                <w:szCs w:val="24"/>
              </w:rPr>
              <w:t>3.</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Total revenue analysis</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_Toc166179977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4</w:t>
            </w:r>
            <w:r w:rsidR="00B5224F" w:rsidRPr="00B5224F">
              <w:rPr>
                <w:rFonts w:ascii="Arial" w:hAnsi="Arial" w:cs="Arial"/>
                <w:noProof/>
                <w:webHidden/>
                <w:sz w:val="24"/>
                <w:szCs w:val="24"/>
              </w:rPr>
              <w:fldChar w:fldCharType="end"/>
            </w:r>
          </w:hyperlink>
        </w:p>
        <w:p w14:paraId="6C3569DE" w14:textId="73B6A0C5"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78" w:history="1">
            <w:r w:rsidR="00B5224F" w:rsidRPr="00B5224F">
              <w:rPr>
                <w:rStyle w:val="Hyperlink"/>
                <w:rFonts w:ascii="Arial" w:eastAsia="Times New Roman" w:hAnsi="Arial" w:cs="Arial"/>
                <w:noProof/>
                <w:sz w:val="24"/>
                <w:szCs w:val="24"/>
              </w:rPr>
              <w:t>4.</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Market position</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_Toc166179978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5</w:t>
            </w:r>
            <w:r w:rsidR="00B5224F" w:rsidRPr="00B5224F">
              <w:rPr>
                <w:rFonts w:ascii="Arial" w:hAnsi="Arial" w:cs="Arial"/>
                <w:noProof/>
                <w:webHidden/>
                <w:sz w:val="24"/>
                <w:szCs w:val="24"/>
              </w:rPr>
              <w:fldChar w:fldCharType="end"/>
            </w:r>
          </w:hyperlink>
        </w:p>
        <w:p w14:paraId="582B47FB" w14:textId="5848A374"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79" w:history="1">
            <w:r w:rsidR="00B5224F" w:rsidRPr="00B5224F">
              <w:rPr>
                <w:rStyle w:val="Hyperlink"/>
                <w:rFonts w:ascii="Arial" w:eastAsia="Times New Roman" w:hAnsi="Arial" w:cs="Arial"/>
                <w:noProof/>
                <w:sz w:val="24"/>
                <w:szCs w:val="24"/>
              </w:rPr>
              <w:t>5.</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Growth capacity</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_Toc166179979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6</w:t>
            </w:r>
            <w:r w:rsidR="00B5224F" w:rsidRPr="00B5224F">
              <w:rPr>
                <w:rFonts w:ascii="Arial" w:hAnsi="Arial" w:cs="Arial"/>
                <w:noProof/>
                <w:webHidden/>
                <w:sz w:val="24"/>
                <w:szCs w:val="24"/>
              </w:rPr>
              <w:fldChar w:fldCharType="end"/>
            </w:r>
          </w:hyperlink>
        </w:p>
        <w:p w14:paraId="0F755C67" w14:textId="0062F7F4"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80" w:history="1">
            <w:r w:rsidR="00B5224F" w:rsidRPr="00B5224F">
              <w:rPr>
                <w:rStyle w:val="Hyperlink"/>
                <w:rFonts w:ascii="Arial" w:eastAsia="Times New Roman" w:hAnsi="Arial" w:cs="Arial"/>
                <w:noProof/>
                <w:sz w:val="24"/>
                <w:szCs w:val="24"/>
              </w:rPr>
              <w:t>6.</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Financial commitment to CSR</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_Toc166179980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7</w:t>
            </w:r>
            <w:r w:rsidR="00B5224F" w:rsidRPr="00B5224F">
              <w:rPr>
                <w:rFonts w:ascii="Arial" w:hAnsi="Arial" w:cs="Arial"/>
                <w:noProof/>
                <w:webHidden/>
                <w:sz w:val="24"/>
                <w:szCs w:val="24"/>
              </w:rPr>
              <w:fldChar w:fldCharType="end"/>
            </w:r>
          </w:hyperlink>
        </w:p>
        <w:p w14:paraId="24668455" w14:textId="747CA3CB"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81" w:history="1">
            <w:r w:rsidR="00B5224F" w:rsidRPr="00B5224F">
              <w:rPr>
                <w:rStyle w:val="Hyperlink"/>
                <w:rFonts w:ascii="Arial" w:eastAsia="Times New Roman" w:hAnsi="Arial" w:cs="Arial"/>
                <w:noProof/>
                <w:sz w:val="24"/>
                <w:szCs w:val="24"/>
              </w:rPr>
              <w:t>7.</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Conclusion</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_Toc166179981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8</w:t>
            </w:r>
            <w:r w:rsidR="00B5224F" w:rsidRPr="00B5224F">
              <w:rPr>
                <w:rFonts w:ascii="Arial" w:hAnsi="Arial" w:cs="Arial"/>
                <w:noProof/>
                <w:webHidden/>
                <w:sz w:val="24"/>
                <w:szCs w:val="24"/>
              </w:rPr>
              <w:fldChar w:fldCharType="end"/>
            </w:r>
          </w:hyperlink>
        </w:p>
        <w:p w14:paraId="0BEF6B1A" w14:textId="7EC7C72A"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82" w:history="1">
            <w:r w:rsidR="00B5224F" w:rsidRPr="00B5224F">
              <w:rPr>
                <w:rStyle w:val="Hyperlink"/>
                <w:rFonts w:ascii="Arial" w:eastAsia="Times New Roman" w:hAnsi="Arial" w:cs="Arial"/>
                <w:noProof/>
                <w:sz w:val="24"/>
                <w:szCs w:val="24"/>
              </w:rPr>
              <w:t>8.</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Recommendations</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_Toc166179982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8</w:t>
            </w:r>
            <w:r w:rsidR="00B5224F" w:rsidRPr="00B5224F">
              <w:rPr>
                <w:rFonts w:ascii="Arial" w:hAnsi="Arial" w:cs="Arial"/>
                <w:noProof/>
                <w:webHidden/>
                <w:sz w:val="24"/>
                <w:szCs w:val="24"/>
              </w:rPr>
              <w:fldChar w:fldCharType="end"/>
            </w:r>
          </w:hyperlink>
        </w:p>
        <w:p w14:paraId="7AEC7D16" w14:textId="4FFD7F21" w:rsidR="00B5224F" w:rsidRPr="00B5224F" w:rsidRDefault="008344EE" w:rsidP="00B5224F">
          <w:pPr>
            <w:pStyle w:val="TOC1"/>
            <w:tabs>
              <w:tab w:val="left" w:pos="480"/>
              <w:tab w:val="right" w:leader="dot" w:pos="9016"/>
            </w:tabs>
            <w:spacing w:line="360" w:lineRule="auto"/>
            <w:jc w:val="both"/>
            <w:rPr>
              <w:rFonts w:ascii="Arial" w:hAnsi="Arial" w:cs="Arial"/>
              <w:noProof/>
              <w:sz w:val="24"/>
              <w:szCs w:val="24"/>
            </w:rPr>
          </w:pPr>
          <w:hyperlink w:anchor="_Toc166179983" w:history="1">
            <w:r w:rsidR="00B5224F" w:rsidRPr="00B5224F">
              <w:rPr>
                <w:rStyle w:val="Hyperlink"/>
                <w:rFonts w:ascii="Arial" w:eastAsia="Times New Roman" w:hAnsi="Arial" w:cs="Arial"/>
                <w:noProof/>
                <w:sz w:val="24"/>
                <w:szCs w:val="24"/>
              </w:rPr>
              <w:t>9.</w:t>
            </w:r>
            <w:r w:rsidR="00B5224F" w:rsidRPr="00B5224F">
              <w:rPr>
                <w:rFonts w:ascii="Arial" w:hAnsi="Arial" w:cs="Arial"/>
                <w:noProof/>
                <w:sz w:val="24"/>
                <w:szCs w:val="24"/>
              </w:rPr>
              <w:tab/>
            </w:r>
            <w:r w:rsidR="00B5224F" w:rsidRPr="00B5224F">
              <w:rPr>
                <w:rStyle w:val="Hyperlink"/>
                <w:rFonts w:ascii="Arial" w:eastAsia="Times New Roman" w:hAnsi="Arial" w:cs="Arial"/>
                <w:noProof/>
                <w:sz w:val="24"/>
                <w:szCs w:val="24"/>
              </w:rPr>
              <w:t>References</w:t>
            </w:r>
            <w:r w:rsidR="00B5224F" w:rsidRPr="00B5224F">
              <w:rPr>
                <w:rFonts w:ascii="Arial" w:hAnsi="Arial" w:cs="Arial"/>
                <w:noProof/>
                <w:webHidden/>
                <w:sz w:val="24"/>
                <w:szCs w:val="24"/>
              </w:rPr>
              <w:tab/>
            </w:r>
            <w:r w:rsidR="00B5224F" w:rsidRPr="00B5224F">
              <w:rPr>
                <w:rFonts w:ascii="Arial" w:hAnsi="Arial" w:cs="Arial"/>
                <w:noProof/>
                <w:webHidden/>
                <w:sz w:val="24"/>
                <w:szCs w:val="24"/>
              </w:rPr>
              <w:fldChar w:fldCharType="begin"/>
            </w:r>
            <w:r w:rsidR="00B5224F" w:rsidRPr="00B5224F">
              <w:rPr>
                <w:rFonts w:ascii="Arial" w:hAnsi="Arial" w:cs="Arial"/>
                <w:noProof/>
                <w:webHidden/>
                <w:sz w:val="24"/>
                <w:szCs w:val="24"/>
              </w:rPr>
              <w:instrText xml:space="preserve"> PAGEREF _Toc166179983 \h </w:instrText>
            </w:r>
            <w:r w:rsidR="00B5224F" w:rsidRPr="00B5224F">
              <w:rPr>
                <w:rFonts w:ascii="Arial" w:hAnsi="Arial" w:cs="Arial"/>
                <w:noProof/>
                <w:webHidden/>
                <w:sz w:val="24"/>
                <w:szCs w:val="24"/>
              </w:rPr>
            </w:r>
            <w:r w:rsidR="00B5224F" w:rsidRPr="00B5224F">
              <w:rPr>
                <w:rFonts w:ascii="Arial" w:hAnsi="Arial" w:cs="Arial"/>
                <w:noProof/>
                <w:webHidden/>
                <w:sz w:val="24"/>
                <w:szCs w:val="24"/>
              </w:rPr>
              <w:fldChar w:fldCharType="separate"/>
            </w:r>
            <w:r w:rsidR="007C1323">
              <w:rPr>
                <w:rFonts w:ascii="Arial" w:hAnsi="Arial" w:cs="Arial"/>
                <w:noProof/>
                <w:webHidden/>
                <w:sz w:val="24"/>
                <w:szCs w:val="24"/>
              </w:rPr>
              <w:t>10</w:t>
            </w:r>
            <w:r w:rsidR="00B5224F" w:rsidRPr="00B5224F">
              <w:rPr>
                <w:rFonts w:ascii="Arial" w:hAnsi="Arial" w:cs="Arial"/>
                <w:noProof/>
                <w:webHidden/>
                <w:sz w:val="24"/>
                <w:szCs w:val="24"/>
              </w:rPr>
              <w:fldChar w:fldCharType="end"/>
            </w:r>
          </w:hyperlink>
        </w:p>
        <w:p w14:paraId="7743D5FA" w14:textId="48D434AC" w:rsidR="00B5224F" w:rsidRDefault="00B5224F" w:rsidP="00B5224F">
          <w:pPr>
            <w:spacing w:line="360" w:lineRule="auto"/>
            <w:jc w:val="both"/>
          </w:pPr>
          <w:r w:rsidRPr="00B5224F">
            <w:rPr>
              <w:rFonts w:ascii="Arial" w:hAnsi="Arial" w:cs="Arial"/>
              <w:b/>
              <w:bCs/>
              <w:noProof/>
              <w:sz w:val="24"/>
              <w:szCs w:val="24"/>
            </w:rPr>
            <w:fldChar w:fldCharType="end"/>
          </w:r>
        </w:p>
      </w:sdtContent>
    </w:sdt>
    <w:p w14:paraId="6EF0BCF4" w14:textId="77777777" w:rsidR="008D221E" w:rsidRDefault="008D221E"/>
    <w:p w14:paraId="7097C536" w14:textId="77777777" w:rsidR="008D221E" w:rsidRDefault="008D221E"/>
    <w:p w14:paraId="007E81C3" w14:textId="77777777" w:rsidR="008D221E" w:rsidRDefault="008D221E"/>
    <w:p w14:paraId="3BEE82F3" w14:textId="77777777" w:rsidR="008D221E" w:rsidRDefault="008D221E"/>
    <w:p w14:paraId="6EA4C296" w14:textId="77777777" w:rsidR="008D221E" w:rsidRDefault="008D221E"/>
    <w:p w14:paraId="798F7B7F" w14:textId="77777777" w:rsidR="008D221E" w:rsidRDefault="008D221E"/>
    <w:p w14:paraId="5B71B5A1" w14:textId="77777777" w:rsidR="008D221E" w:rsidRDefault="008D221E"/>
    <w:p w14:paraId="41245950" w14:textId="77777777" w:rsidR="008D221E" w:rsidRDefault="008D221E"/>
    <w:p w14:paraId="0637E315" w14:textId="77777777" w:rsidR="008D221E" w:rsidRDefault="008D221E"/>
    <w:p w14:paraId="4DF67128" w14:textId="77777777" w:rsidR="008D221E" w:rsidRDefault="008D221E"/>
    <w:p w14:paraId="36988089" w14:textId="77777777" w:rsidR="008D221E" w:rsidRDefault="008D221E"/>
    <w:p w14:paraId="5C324583" w14:textId="77777777" w:rsidR="008D221E" w:rsidRDefault="008D221E"/>
    <w:p w14:paraId="4743FF37" w14:textId="77777777" w:rsidR="008D221E" w:rsidRDefault="008D221E"/>
    <w:p w14:paraId="7A7BAC41" w14:textId="77777777" w:rsidR="008D221E" w:rsidRDefault="008D221E"/>
    <w:p w14:paraId="1CD5783B" w14:textId="77777777" w:rsidR="008D221E" w:rsidRDefault="008D221E"/>
    <w:p w14:paraId="6BE57CF7" w14:textId="77777777" w:rsidR="008D221E" w:rsidRDefault="008D221E"/>
    <w:p w14:paraId="102659F9" w14:textId="77777777" w:rsidR="008D221E" w:rsidRDefault="008D221E"/>
    <w:p w14:paraId="0E7E3D98" w14:textId="77777777" w:rsidR="008D221E" w:rsidRDefault="008D221E"/>
    <w:p w14:paraId="39752C4A" w14:textId="31318A16" w:rsidR="008D221E" w:rsidRPr="007C1323" w:rsidRDefault="008D221E" w:rsidP="007C1323">
      <w:pPr>
        <w:spacing w:line="360" w:lineRule="auto"/>
        <w:jc w:val="both"/>
        <w:rPr>
          <w:rFonts w:ascii="Arial" w:hAnsi="Arial" w:cs="Arial"/>
          <w:sz w:val="24"/>
          <w:szCs w:val="24"/>
        </w:rPr>
      </w:pPr>
    </w:p>
    <w:p w14:paraId="31E30EC3" w14:textId="658105E4" w:rsidR="004850D9" w:rsidRPr="007C1323" w:rsidRDefault="00B5224F" w:rsidP="007C1323">
      <w:pPr>
        <w:spacing w:line="360" w:lineRule="auto"/>
        <w:jc w:val="center"/>
        <w:rPr>
          <w:rFonts w:ascii="Arial" w:hAnsi="Arial" w:cs="Arial"/>
          <w:b/>
          <w:bCs/>
          <w:sz w:val="24"/>
          <w:szCs w:val="24"/>
        </w:rPr>
      </w:pPr>
      <w:r w:rsidRPr="007C1323">
        <w:rPr>
          <w:rFonts w:ascii="Arial" w:hAnsi="Arial" w:cs="Arial"/>
          <w:b/>
          <w:bCs/>
          <w:sz w:val="24"/>
          <w:szCs w:val="24"/>
        </w:rPr>
        <w:t>Comparison of Two Hospitality Organisations</w:t>
      </w:r>
    </w:p>
    <w:p w14:paraId="6B2F1157" w14:textId="77777777" w:rsidR="00B5224F" w:rsidRPr="007C1323" w:rsidRDefault="00B5224F" w:rsidP="007C1323">
      <w:pPr>
        <w:spacing w:line="360" w:lineRule="auto"/>
        <w:jc w:val="center"/>
        <w:rPr>
          <w:rFonts w:ascii="Arial" w:hAnsi="Arial" w:cs="Arial"/>
          <w:b/>
          <w:bCs/>
          <w:sz w:val="24"/>
          <w:szCs w:val="24"/>
        </w:rPr>
      </w:pPr>
    </w:p>
    <w:p w14:paraId="639038E1" w14:textId="77777777" w:rsidR="00B5224F" w:rsidRPr="007C1323" w:rsidRDefault="00B5224F" w:rsidP="007C1323">
      <w:pPr>
        <w:spacing w:line="360" w:lineRule="auto"/>
        <w:jc w:val="center"/>
        <w:rPr>
          <w:rFonts w:ascii="Arial" w:hAnsi="Arial" w:cs="Arial"/>
          <w:b/>
          <w:bCs/>
          <w:sz w:val="24"/>
          <w:szCs w:val="24"/>
        </w:rPr>
      </w:pPr>
    </w:p>
    <w:p w14:paraId="2599C936" w14:textId="004F33D9" w:rsidR="008D221E" w:rsidRPr="007C1323" w:rsidRDefault="008D221E" w:rsidP="007C1323">
      <w:pPr>
        <w:pStyle w:val="EU"/>
        <w:numPr>
          <w:ilvl w:val="0"/>
          <w:numId w:val="2"/>
        </w:numPr>
        <w:spacing w:line="360" w:lineRule="auto"/>
        <w:rPr>
          <w:color w:val="auto"/>
        </w:rPr>
      </w:pPr>
      <w:bookmarkStart w:id="0" w:name="_Toc166179975"/>
      <w:r w:rsidRPr="007C1323">
        <w:rPr>
          <w:color w:val="auto"/>
        </w:rPr>
        <w:t>Introduction</w:t>
      </w:r>
      <w:bookmarkEnd w:id="0"/>
    </w:p>
    <w:p w14:paraId="508CE37E" w14:textId="04970890" w:rsidR="008D221E" w:rsidRPr="007C1323" w:rsidRDefault="008D221E" w:rsidP="007C1323">
      <w:pPr>
        <w:spacing w:after="0" w:line="360" w:lineRule="auto"/>
        <w:jc w:val="both"/>
        <w:rPr>
          <w:rFonts w:ascii="Arial" w:eastAsia="Times New Roman" w:hAnsi="Arial" w:cs="Arial"/>
          <w:kern w:val="0"/>
          <w:sz w:val="24"/>
          <w:szCs w:val="24"/>
          <w:lang w:eastAsia="en-GB"/>
          <w14:ligatures w14:val="none"/>
        </w:rPr>
      </w:pPr>
      <w:r w:rsidRPr="007C1323">
        <w:rPr>
          <w:rFonts w:ascii="Arial" w:eastAsia="Times New Roman" w:hAnsi="Arial" w:cs="Arial"/>
          <w:kern w:val="0"/>
          <w:sz w:val="24"/>
          <w:szCs w:val="24"/>
          <w:lang w:eastAsia="en-GB"/>
          <w14:ligatures w14:val="none"/>
        </w:rPr>
        <w:t>This paper assesses the financial management approaches used by Shangri-La Hotels and Travelodge Hotels. Founded in 1971 in Singapore, Shangri-La Hotels has expanded to become a prestigious international luxury hotel brand, with a portfolio of over 100 luxury hotels and resorts throughout the globe. Shangri-La is famous for its Asian hospitality and caters to high-end business and leisure travellers. It provides outstanding facilities in excellent city settings and unique vacation spots</w:t>
      </w:r>
      <w:r w:rsidR="0061048F" w:rsidRPr="007C1323">
        <w:rPr>
          <w:rFonts w:ascii="Arial" w:eastAsia="Times New Roman" w:hAnsi="Arial" w:cs="Arial"/>
          <w:kern w:val="0"/>
          <w:sz w:val="24"/>
          <w:szCs w:val="24"/>
          <w:lang w:eastAsia="en-GB"/>
          <w14:ligatures w14:val="none"/>
        </w:rPr>
        <w:t xml:space="preserve"> </w:t>
      </w:r>
      <w:r w:rsidR="0061048F" w:rsidRPr="007C1323">
        <w:rPr>
          <w:rFonts w:ascii="Arial" w:hAnsi="Arial" w:cs="Arial"/>
          <w:sz w:val="24"/>
          <w:szCs w:val="24"/>
          <w:shd w:val="clear" w:color="auto" w:fill="FFFFFF"/>
        </w:rPr>
        <w:t xml:space="preserve">(Shangri-la, 2022). </w:t>
      </w:r>
      <w:r w:rsidRPr="007C1323">
        <w:rPr>
          <w:rFonts w:ascii="Arial" w:eastAsia="Times New Roman" w:hAnsi="Arial" w:cs="Arial"/>
          <w:kern w:val="0"/>
          <w:sz w:val="24"/>
          <w:szCs w:val="24"/>
          <w:lang w:eastAsia="en-GB"/>
          <w14:ligatures w14:val="none"/>
        </w:rPr>
        <w:t>On the other hand, Travelodge Hotels, founded in 1985 in the United Kingdom, mostly works within the budget-friendly industry. Comprising of more than 570 establishments, this company targets  those on a budget throughout the United Kingdom, Ireland, and Spain, with a heavy focus on providing simple yet reasonably priced accommodations</w:t>
      </w:r>
      <w:r w:rsidR="00580EBD" w:rsidRPr="007C1323">
        <w:rPr>
          <w:rFonts w:ascii="Arial" w:eastAsia="Times New Roman" w:hAnsi="Arial" w:cs="Arial"/>
          <w:kern w:val="0"/>
          <w:sz w:val="24"/>
          <w:szCs w:val="24"/>
          <w:lang w:eastAsia="en-GB"/>
          <w14:ligatures w14:val="none"/>
        </w:rPr>
        <w:t xml:space="preserve"> </w:t>
      </w:r>
      <w:r w:rsidR="00580EBD" w:rsidRPr="007C1323">
        <w:rPr>
          <w:rFonts w:ascii="Arial" w:hAnsi="Arial" w:cs="Arial"/>
          <w:sz w:val="24"/>
          <w:szCs w:val="24"/>
          <w:shd w:val="clear" w:color="auto" w:fill="FFFFFF"/>
        </w:rPr>
        <w:t xml:space="preserve">(Travelodge Corporate Website, n.d.). </w:t>
      </w:r>
      <w:r w:rsidRPr="007C1323">
        <w:rPr>
          <w:rFonts w:ascii="Arial" w:eastAsia="Times New Roman" w:hAnsi="Arial" w:cs="Arial"/>
          <w:kern w:val="0"/>
          <w:sz w:val="24"/>
          <w:szCs w:val="24"/>
          <w:lang w:eastAsia="en-GB"/>
          <w14:ligatures w14:val="none"/>
        </w:rPr>
        <w:t>This report will investigate their financial processes, sources of income, market position, prospects for development, and dedication to corporate social responsibility.</w:t>
      </w:r>
    </w:p>
    <w:p w14:paraId="1573B93F" w14:textId="77777777" w:rsidR="008D221E" w:rsidRPr="007C1323" w:rsidRDefault="008D221E" w:rsidP="007C1323">
      <w:pPr>
        <w:spacing w:after="0" w:line="360" w:lineRule="auto"/>
        <w:jc w:val="both"/>
        <w:rPr>
          <w:rFonts w:ascii="Arial" w:eastAsia="Times New Roman" w:hAnsi="Arial" w:cs="Arial"/>
          <w:kern w:val="0"/>
          <w:sz w:val="24"/>
          <w:szCs w:val="24"/>
          <w:lang w:eastAsia="en-GB"/>
          <w14:ligatures w14:val="none"/>
        </w:rPr>
      </w:pPr>
    </w:p>
    <w:p w14:paraId="0E2DA593" w14:textId="6CEE5C15" w:rsidR="008D221E" w:rsidRPr="007C1323" w:rsidRDefault="00EA21CF" w:rsidP="007C1323">
      <w:pPr>
        <w:pStyle w:val="EU"/>
        <w:numPr>
          <w:ilvl w:val="0"/>
          <w:numId w:val="2"/>
        </w:numPr>
        <w:spacing w:line="360" w:lineRule="auto"/>
        <w:rPr>
          <w:rFonts w:eastAsia="Times New Roman"/>
          <w:color w:val="auto"/>
        </w:rPr>
      </w:pPr>
      <w:bookmarkStart w:id="1" w:name="_Toc166179976"/>
      <w:r w:rsidRPr="007C1323">
        <w:rPr>
          <w:rFonts w:eastAsia="Times New Roman"/>
          <w:color w:val="auto"/>
        </w:rPr>
        <w:t>Financial statements</w:t>
      </w:r>
      <w:bookmarkEnd w:id="1"/>
      <w:r w:rsidRPr="007C1323">
        <w:rPr>
          <w:rFonts w:eastAsia="Times New Roman"/>
          <w:color w:val="auto"/>
        </w:rPr>
        <w:t xml:space="preserve"> </w:t>
      </w:r>
    </w:p>
    <w:p w14:paraId="63BDC2CC" w14:textId="3133697C" w:rsidR="00EA21CF" w:rsidRPr="007C1323" w:rsidRDefault="00EA21CF" w:rsidP="007C1323">
      <w:pPr>
        <w:spacing w:after="0" w:line="360" w:lineRule="auto"/>
        <w:jc w:val="both"/>
        <w:rPr>
          <w:rFonts w:ascii="Arial" w:eastAsia="Times New Roman" w:hAnsi="Arial" w:cs="Arial"/>
          <w:kern w:val="0"/>
          <w:sz w:val="24"/>
          <w:szCs w:val="24"/>
          <w:lang w:eastAsia="en-GB"/>
          <w14:ligatures w14:val="none"/>
        </w:rPr>
      </w:pPr>
      <w:r w:rsidRPr="007C1323">
        <w:rPr>
          <w:rFonts w:ascii="Arial" w:eastAsia="Times New Roman" w:hAnsi="Arial" w:cs="Arial"/>
          <w:kern w:val="0"/>
          <w:sz w:val="24"/>
          <w:szCs w:val="24"/>
          <w:lang w:eastAsia="en-GB"/>
          <w14:ligatures w14:val="none"/>
        </w:rPr>
        <w:t>The income statement, sometimes referred to as the profit and loss statement, documents the financial performance of a business by detailing its revenue, costs, and resulting profit within a designated time frame</w:t>
      </w:r>
      <w:r w:rsidR="004B4E44" w:rsidRPr="007C1323">
        <w:rPr>
          <w:rFonts w:ascii="Arial" w:eastAsia="Times New Roman" w:hAnsi="Arial" w:cs="Arial"/>
          <w:kern w:val="0"/>
          <w:sz w:val="24"/>
          <w:szCs w:val="24"/>
          <w:lang w:eastAsia="en-GB"/>
          <w14:ligatures w14:val="none"/>
        </w:rPr>
        <w:t xml:space="preserve"> (Drury, 2021).</w:t>
      </w:r>
      <w:r w:rsidRPr="007C1323">
        <w:rPr>
          <w:rFonts w:ascii="Arial" w:eastAsia="Times New Roman" w:hAnsi="Arial" w:cs="Arial"/>
          <w:kern w:val="0"/>
          <w:sz w:val="24"/>
          <w:szCs w:val="24"/>
          <w:lang w:eastAsia="en-GB"/>
          <w14:ligatures w14:val="none"/>
        </w:rPr>
        <w:t xml:space="preserve"> The financial performance analysis </w:t>
      </w:r>
      <w:r w:rsidR="004B4E44" w:rsidRPr="007C1323">
        <w:rPr>
          <w:rFonts w:ascii="Arial" w:eastAsia="Times New Roman" w:hAnsi="Arial" w:cs="Arial"/>
          <w:kern w:val="0"/>
          <w:sz w:val="24"/>
          <w:szCs w:val="24"/>
          <w:lang w:eastAsia="en-GB"/>
          <w14:ligatures w14:val="none"/>
        </w:rPr>
        <w:t>emphasises</w:t>
      </w:r>
      <w:r w:rsidRPr="007C1323">
        <w:rPr>
          <w:rFonts w:ascii="Arial" w:eastAsia="Times New Roman" w:hAnsi="Arial" w:cs="Arial"/>
          <w:kern w:val="0"/>
          <w:sz w:val="24"/>
          <w:szCs w:val="24"/>
          <w:lang w:eastAsia="en-GB"/>
          <w14:ligatures w14:val="none"/>
        </w:rPr>
        <w:t xml:space="preserve"> a company's capacity to create profits via effective management of revenue streams and expense control. This statement is vital for evaluating the operational effectiveness and financial success of a corporation</w:t>
      </w:r>
      <w:r w:rsidR="00A942DC" w:rsidRPr="007C1323">
        <w:rPr>
          <w:rFonts w:ascii="Arial" w:eastAsia="Times New Roman" w:hAnsi="Arial" w:cs="Arial"/>
          <w:kern w:val="0"/>
          <w:sz w:val="24"/>
          <w:szCs w:val="24"/>
          <w:lang w:eastAsia="en-GB"/>
          <w14:ligatures w14:val="none"/>
        </w:rPr>
        <w:t xml:space="preserve"> (Guilding, 2014).</w:t>
      </w:r>
      <w:r w:rsidRPr="007C1323">
        <w:rPr>
          <w:rFonts w:ascii="Arial" w:eastAsia="Times New Roman" w:hAnsi="Arial" w:cs="Arial"/>
          <w:kern w:val="0"/>
          <w:sz w:val="24"/>
          <w:szCs w:val="24"/>
          <w:lang w:eastAsia="en-GB"/>
          <w14:ligatures w14:val="none"/>
        </w:rPr>
        <w:t xml:space="preserve"> The balance sheet provides a concise overview of a company's financial position at a certain moment in time. The financial statement provides a comprehensive breakdown of the company's assets, liabilities, and shareholders' equity, offering a clear representation of the company's possessions and debts</w:t>
      </w:r>
      <w:r w:rsidR="008E66DE" w:rsidRPr="007C1323">
        <w:rPr>
          <w:rFonts w:ascii="Arial" w:eastAsia="Times New Roman" w:hAnsi="Arial" w:cs="Arial"/>
          <w:kern w:val="0"/>
          <w:sz w:val="24"/>
          <w:szCs w:val="24"/>
          <w:lang w:eastAsia="en-GB"/>
          <w14:ligatures w14:val="none"/>
        </w:rPr>
        <w:t xml:space="preserve"> (Atrill and McLaney, 2021).</w:t>
      </w:r>
      <w:r w:rsidRPr="007C1323">
        <w:rPr>
          <w:rFonts w:ascii="Arial" w:eastAsia="Times New Roman" w:hAnsi="Arial" w:cs="Arial"/>
          <w:kern w:val="0"/>
          <w:sz w:val="24"/>
          <w:szCs w:val="24"/>
          <w:lang w:eastAsia="en-GB"/>
          <w14:ligatures w14:val="none"/>
        </w:rPr>
        <w:t xml:space="preserve"> This statement is crucial for assessing the liquidity, solvency, and capital structure of the organisation, offering valuable insights into its financial strength and stability. The cash flow statement monitors the movement of funds into and out of a firm over a certain timeframe, providing a breakdown of the cash created and used in operational, investment, and finance activities. This statement is crucial for comprehending the efficacy of a company's cash management, emphasising its capacity to create cash for financing its operations, repaying debts, and distributing dividends to shareholders</w:t>
      </w:r>
      <w:r w:rsidR="008E66DE" w:rsidRPr="007C1323">
        <w:rPr>
          <w:rFonts w:ascii="Arial" w:eastAsia="Times New Roman" w:hAnsi="Arial" w:cs="Arial"/>
          <w:kern w:val="0"/>
          <w:sz w:val="24"/>
          <w:szCs w:val="24"/>
          <w:lang w:eastAsia="en-GB"/>
          <w14:ligatures w14:val="none"/>
        </w:rPr>
        <w:t xml:space="preserve"> (Seal, 2019).</w:t>
      </w:r>
      <w:r w:rsidRPr="007C1323">
        <w:rPr>
          <w:rFonts w:ascii="Arial" w:eastAsia="Times New Roman" w:hAnsi="Arial" w:cs="Arial"/>
          <w:kern w:val="0"/>
          <w:sz w:val="24"/>
          <w:szCs w:val="24"/>
          <w:lang w:eastAsia="en-GB"/>
          <w14:ligatures w14:val="none"/>
        </w:rPr>
        <w:t xml:space="preserve"> Collectively, these records provide an accurate and extensive look at a company's financial well-being, assisting stakeholders in making well-informed choices.</w:t>
      </w:r>
    </w:p>
    <w:p w14:paraId="3E7539F8" w14:textId="77777777" w:rsidR="00EA21CF" w:rsidRPr="007C1323" w:rsidRDefault="00EA21CF" w:rsidP="007C1323">
      <w:pPr>
        <w:spacing w:after="0" w:line="360" w:lineRule="auto"/>
        <w:jc w:val="both"/>
        <w:rPr>
          <w:rFonts w:ascii="Arial" w:eastAsia="Times New Roman" w:hAnsi="Arial" w:cs="Arial"/>
          <w:kern w:val="0"/>
          <w:sz w:val="24"/>
          <w:szCs w:val="24"/>
          <w:lang w:eastAsia="en-GB"/>
          <w14:ligatures w14:val="none"/>
        </w:rPr>
      </w:pPr>
    </w:p>
    <w:p w14:paraId="0484FF28" w14:textId="05D81623" w:rsidR="00EA21CF" w:rsidRPr="007C1323" w:rsidRDefault="00EA21CF" w:rsidP="007C1323">
      <w:pPr>
        <w:pStyle w:val="EU"/>
        <w:numPr>
          <w:ilvl w:val="0"/>
          <w:numId w:val="2"/>
        </w:numPr>
        <w:spacing w:line="360" w:lineRule="auto"/>
        <w:rPr>
          <w:rFonts w:eastAsia="Times New Roman"/>
          <w:color w:val="auto"/>
        </w:rPr>
      </w:pPr>
      <w:bookmarkStart w:id="2" w:name="_Toc166179977"/>
      <w:r w:rsidRPr="007C1323">
        <w:rPr>
          <w:rFonts w:eastAsia="Times New Roman"/>
          <w:color w:val="auto"/>
        </w:rPr>
        <w:t>Total revenue analysis</w:t>
      </w:r>
      <w:bookmarkEnd w:id="2"/>
    </w:p>
    <w:p w14:paraId="00829A38" w14:textId="5DEFA453" w:rsidR="0018148B" w:rsidRPr="007C1323" w:rsidRDefault="0018148B" w:rsidP="007C1323">
      <w:pPr>
        <w:spacing w:after="0" w:line="360" w:lineRule="auto"/>
        <w:jc w:val="both"/>
        <w:rPr>
          <w:rFonts w:ascii="Arial" w:eastAsia="Times New Roman" w:hAnsi="Arial" w:cs="Arial"/>
          <w:kern w:val="0"/>
          <w:sz w:val="24"/>
          <w:szCs w:val="24"/>
          <w:lang w:eastAsia="en-GB"/>
          <w14:ligatures w14:val="none"/>
        </w:rPr>
      </w:pPr>
      <w:r w:rsidRPr="0018148B">
        <w:rPr>
          <w:rFonts w:ascii="Arial" w:eastAsia="Times New Roman" w:hAnsi="Arial" w:cs="Arial"/>
          <w:kern w:val="0"/>
          <w:sz w:val="24"/>
          <w:szCs w:val="24"/>
          <w:lang w:eastAsia="en-GB"/>
          <w14:ligatures w14:val="none"/>
        </w:rPr>
        <w:t>Shangri-La Hotels and Travelodge Hotels have shown contrasting but favourable income patterns up to 2023. Shangri-La had a significant surge in revenue, rising from USD 1.46 billion in 2022 to USD 2.1 billion in 2023, indicating a gain of 47%</w:t>
      </w:r>
      <w:r w:rsidR="004B74F9" w:rsidRPr="007C1323">
        <w:rPr>
          <w:rFonts w:ascii="Arial" w:eastAsia="Times New Roman" w:hAnsi="Arial" w:cs="Arial"/>
          <w:kern w:val="0"/>
          <w:sz w:val="24"/>
          <w:szCs w:val="24"/>
          <w:lang w:eastAsia="en-GB"/>
          <w14:ligatures w14:val="none"/>
        </w:rPr>
        <w:t xml:space="preserve"> (Shangri-La, 2022). </w:t>
      </w:r>
      <w:r w:rsidRPr="0018148B">
        <w:rPr>
          <w:rFonts w:ascii="Arial" w:eastAsia="Times New Roman" w:hAnsi="Arial" w:cs="Arial"/>
          <w:kern w:val="0"/>
          <w:sz w:val="24"/>
          <w:szCs w:val="24"/>
          <w:lang w:eastAsia="en-GB"/>
          <w14:ligatures w14:val="none"/>
        </w:rPr>
        <w:t>The rise was driven by a substantial recovery in the Asian markets, particularly in Mainland China, where the brand has a strong market position. The RevPAR for Shangri-La had a significant increase, going from USD 64 to USD 108, indicating the brand's successful rebound in foreign travel and luxury lodgings after the relaxation of COVID-19 limitations</w:t>
      </w:r>
      <w:r w:rsidR="004B74F9" w:rsidRPr="007C1323">
        <w:rPr>
          <w:rFonts w:ascii="Arial" w:eastAsia="Times New Roman" w:hAnsi="Arial" w:cs="Arial"/>
          <w:kern w:val="0"/>
          <w:sz w:val="24"/>
          <w:szCs w:val="24"/>
          <w:lang w:eastAsia="en-GB"/>
          <w14:ligatures w14:val="none"/>
        </w:rPr>
        <w:t xml:space="preserve">  (Shangri-La, 202</w:t>
      </w:r>
      <w:r w:rsidR="00764B5E" w:rsidRPr="007C1323">
        <w:rPr>
          <w:rFonts w:ascii="Arial" w:eastAsia="Times New Roman" w:hAnsi="Arial" w:cs="Arial"/>
          <w:kern w:val="0"/>
          <w:sz w:val="24"/>
          <w:szCs w:val="24"/>
          <w:lang w:eastAsia="en-GB"/>
          <w14:ligatures w14:val="none"/>
        </w:rPr>
        <w:t>3</w:t>
      </w:r>
      <w:r w:rsidR="004B74F9" w:rsidRPr="007C1323">
        <w:rPr>
          <w:rFonts w:ascii="Arial" w:eastAsia="Times New Roman" w:hAnsi="Arial" w:cs="Arial"/>
          <w:kern w:val="0"/>
          <w:sz w:val="24"/>
          <w:szCs w:val="24"/>
          <w:lang w:eastAsia="en-GB"/>
          <w14:ligatures w14:val="none"/>
        </w:rPr>
        <w:t xml:space="preserve">). </w:t>
      </w:r>
      <w:r w:rsidRPr="0018148B">
        <w:rPr>
          <w:rFonts w:ascii="Arial" w:eastAsia="Times New Roman" w:hAnsi="Arial" w:cs="Arial"/>
          <w:kern w:val="0"/>
          <w:sz w:val="24"/>
          <w:szCs w:val="24"/>
          <w:lang w:eastAsia="en-GB"/>
          <w14:ligatures w14:val="none"/>
        </w:rPr>
        <w:t xml:space="preserve"> In contrast, Travelodge, recognised for its affordable accommodations mostly in the United Kingdom, saw a rather moderate rise in sales of 14%</w:t>
      </w:r>
      <w:r w:rsidR="00E95CB7" w:rsidRPr="007C1323">
        <w:rPr>
          <w:rFonts w:ascii="Arial" w:eastAsia="Times New Roman" w:hAnsi="Arial" w:cs="Arial"/>
          <w:kern w:val="0"/>
          <w:sz w:val="24"/>
          <w:szCs w:val="24"/>
          <w:lang w:eastAsia="en-GB"/>
          <w14:ligatures w14:val="none"/>
        </w:rPr>
        <w:t xml:space="preserve"> (Travelodge, 2023).</w:t>
      </w:r>
      <w:r w:rsidRPr="0018148B">
        <w:rPr>
          <w:rFonts w:ascii="Arial" w:eastAsia="Times New Roman" w:hAnsi="Arial" w:cs="Arial"/>
          <w:kern w:val="0"/>
          <w:sz w:val="24"/>
          <w:szCs w:val="24"/>
          <w:lang w:eastAsia="en-GB"/>
          <w14:ligatures w14:val="none"/>
        </w:rPr>
        <w:t xml:space="preserve"> The financial statistics increased from GBP 910.8 million in 2022 to GBP 1,035.2 million in 2023. The expansion was </w:t>
      </w:r>
      <w:r w:rsidR="00E95CB7" w:rsidRPr="007C1323">
        <w:rPr>
          <w:rFonts w:ascii="Arial" w:eastAsia="Times New Roman" w:hAnsi="Arial" w:cs="Arial"/>
          <w:kern w:val="0"/>
          <w:sz w:val="24"/>
          <w:szCs w:val="24"/>
          <w:lang w:eastAsia="en-GB"/>
          <w14:ligatures w14:val="none"/>
        </w:rPr>
        <w:t>driven</w:t>
      </w:r>
      <w:r w:rsidRPr="0018148B">
        <w:rPr>
          <w:rFonts w:ascii="Arial" w:eastAsia="Times New Roman" w:hAnsi="Arial" w:cs="Arial"/>
          <w:kern w:val="0"/>
          <w:sz w:val="24"/>
          <w:szCs w:val="24"/>
          <w:lang w:eastAsia="en-GB"/>
          <w14:ligatures w14:val="none"/>
        </w:rPr>
        <w:t xml:space="preserve"> by an increase in domestic leisure travel and was further supported by successful brand marketing efforts that appealed to cost-conscious travellers</w:t>
      </w:r>
      <w:r w:rsidR="00E95CB7" w:rsidRPr="007C1323">
        <w:rPr>
          <w:rFonts w:ascii="Arial" w:eastAsia="Times New Roman" w:hAnsi="Arial" w:cs="Arial"/>
          <w:kern w:val="0"/>
          <w:sz w:val="24"/>
          <w:szCs w:val="24"/>
          <w:lang w:eastAsia="en-GB"/>
          <w14:ligatures w14:val="none"/>
        </w:rPr>
        <w:t xml:space="preserve"> </w:t>
      </w:r>
      <w:r w:rsidR="00054066" w:rsidRPr="007C1323">
        <w:rPr>
          <w:rFonts w:ascii="Arial" w:eastAsia="Times New Roman" w:hAnsi="Arial" w:cs="Arial"/>
          <w:kern w:val="0"/>
          <w:sz w:val="24"/>
          <w:szCs w:val="24"/>
          <w:lang w:eastAsia="en-GB"/>
          <w14:ligatures w14:val="none"/>
        </w:rPr>
        <w:t>(Travelodge, 2022).</w:t>
      </w:r>
      <w:r w:rsidRPr="0018148B">
        <w:rPr>
          <w:rFonts w:ascii="Arial" w:eastAsia="Times New Roman" w:hAnsi="Arial" w:cs="Arial"/>
          <w:kern w:val="0"/>
          <w:sz w:val="24"/>
          <w:szCs w:val="24"/>
          <w:lang w:eastAsia="en-GB"/>
          <w14:ligatures w14:val="none"/>
        </w:rPr>
        <w:t xml:space="preserve"> Travelodge has successfully navigated cost challenges and economic uncertainty by properly implementing pricing methods to sustain growth</w:t>
      </w:r>
      <w:r w:rsidR="00054066" w:rsidRPr="007C1323">
        <w:rPr>
          <w:rFonts w:ascii="Arial" w:eastAsia="Times New Roman" w:hAnsi="Arial" w:cs="Arial"/>
          <w:kern w:val="0"/>
          <w:sz w:val="24"/>
          <w:szCs w:val="24"/>
          <w:lang w:eastAsia="en-GB"/>
          <w14:ligatures w14:val="none"/>
        </w:rPr>
        <w:t xml:space="preserve"> (Travelodge, 2023)</w:t>
      </w:r>
      <w:r w:rsidR="00B936B7" w:rsidRPr="007C1323">
        <w:rPr>
          <w:rFonts w:ascii="Arial" w:eastAsia="Times New Roman" w:hAnsi="Arial" w:cs="Arial"/>
          <w:kern w:val="0"/>
          <w:sz w:val="24"/>
          <w:szCs w:val="24"/>
          <w:lang w:eastAsia="en-GB"/>
          <w14:ligatures w14:val="none"/>
        </w:rPr>
        <w:t>.</w:t>
      </w:r>
      <w:r w:rsidRPr="0018148B">
        <w:rPr>
          <w:rFonts w:ascii="Arial" w:eastAsia="Times New Roman" w:hAnsi="Arial" w:cs="Arial"/>
          <w:kern w:val="0"/>
          <w:sz w:val="24"/>
          <w:szCs w:val="24"/>
          <w:lang w:eastAsia="en-GB"/>
          <w14:ligatures w14:val="none"/>
        </w:rPr>
        <w:t xml:space="preserve"> Both hotel companies have modified their revenue management techniques to correspond with their unique market sectors</w:t>
      </w:r>
      <w:r w:rsidR="00B936B7" w:rsidRPr="007C1323">
        <w:rPr>
          <w:rFonts w:ascii="Arial" w:eastAsia="Times New Roman" w:hAnsi="Arial" w:cs="Arial"/>
          <w:kern w:val="0"/>
          <w:sz w:val="24"/>
          <w:szCs w:val="24"/>
          <w:lang w:eastAsia="en-GB"/>
          <w14:ligatures w14:val="none"/>
        </w:rPr>
        <w:t>.</w:t>
      </w:r>
      <w:r w:rsidRPr="0018148B">
        <w:rPr>
          <w:rFonts w:ascii="Arial" w:eastAsia="Times New Roman" w:hAnsi="Arial" w:cs="Arial"/>
          <w:kern w:val="0"/>
          <w:sz w:val="24"/>
          <w:szCs w:val="24"/>
          <w:lang w:eastAsia="en-GB"/>
          <w14:ligatures w14:val="none"/>
        </w:rPr>
        <w:t xml:space="preserve"> Shangri-La's luxury positioning enables them to take advantage of premium pricing techniques, optimising income by charging high prices for rooms and providing exceptional service. This approach is especially successful in upscale markets and global tourism, which have had substantial recoveries due to the easing of travel limitations</w:t>
      </w:r>
      <w:r w:rsidR="00B936B7" w:rsidRPr="007C1323">
        <w:rPr>
          <w:rFonts w:ascii="Arial" w:eastAsia="Times New Roman" w:hAnsi="Arial" w:cs="Arial"/>
          <w:kern w:val="0"/>
          <w:sz w:val="24"/>
          <w:szCs w:val="24"/>
          <w:lang w:eastAsia="en-GB"/>
          <w14:ligatures w14:val="none"/>
        </w:rPr>
        <w:t xml:space="preserve"> (Walker, </w:t>
      </w:r>
      <w:r w:rsidR="004D3AC8" w:rsidRPr="007C1323">
        <w:rPr>
          <w:rFonts w:ascii="Arial" w:eastAsia="Times New Roman" w:hAnsi="Arial" w:cs="Arial"/>
          <w:kern w:val="0"/>
          <w:sz w:val="24"/>
          <w:szCs w:val="24"/>
          <w:lang w:eastAsia="en-GB"/>
          <w14:ligatures w14:val="none"/>
        </w:rPr>
        <w:t>2021).</w:t>
      </w:r>
      <w:r w:rsidRPr="0018148B">
        <w:rPr>
          <w:rFonts w:ascii="Arial" w:eastAsia="Times New Roman" w:hAnsi="Arial" w:cs="Arial"/>
          <w:kern w:val="0"/>
          <w:sz w:val="24"/>
          <w:szCs w:val="24"/>
          <w:lang w:eastAsia="en-GB"/>
          <w14:ligatures w14:val="none"/>
        </w:rPr>
        <w:t xml:space="preserve"> Conversely, Travelodge has a pricing strategy centred on value, with the aim of consistently achieving high occupancy rates and appealing to cost-conscious tourists. This technique has shown its efficacy in maintaining the expansion of the chain, even in the face of difficult economic circumstances</w:t>
      </w:r>
      <w:r w:rsidR="004D3AC8" w:rsidRPr="007C1323">
        <w:rPr>
          <w:rFonts w:ascii="Arial" w:eastAsia="Times New Roman" w:hAnsi="Arial" w:cs="Arial"/>
          <w:kern w:val="0"/>
          <w:sz w:val="24"/>
          <w:szCs w:val="24"/>
          <w:lang w:eastAsia="en-GB"/>
          <w14:ligatures w14:val="none"/>
        </w:rPr>
        <w:t xml:space="preserve"> (Travelodge, 2023). </w:t>
      </w:r>
      <w:r w:rsidRPr="0018148B">
        <w:rPr>
          <w:rFonts w:ascii="Arial" w:eastAsia="Times New Roman" w:hAnsi="Arial" w:cs="Arial"/>
          <w:kern w:val="0"/>
          <w:sz w:val="24"/>
          <w:szCs w:val="24"/>
          <w:lang w:eastAsia="en-GB"/>
          <w14:ligatures w14:val="none"/>
        </w:rPr>
        <w:t xml:space="preserve">The main sources of income for Shangri-La and Travelodge are a direct result of their strategic positioning and operational methods. Shangri-La's extensive worldwide presence and high-end services allow them to take advantage of possibilities in global travel markets. Contrarily, Travelodge's emphasis on affordable services attracts domestic travellers in the UK, demonstrating resilience and consistent expansion in travel after the pandemic. The income sources are heavily influenced by trends such as global economic recovery and localised travel preferences. Shangri-La experiences quick recoveries in areas such as China, but Travelodge's performance is strongly influenced by the economic conditions and internal travel trends in the UK. </w:t>
      </w:r>
    </w:p>
    <w:p w14:paraId="32A86CF9" w14:textId="77777777" w:rsidR="0018148B" w:rsidRPr="007C1323" w:rsidRDefault="0018148B" w:rsidP="007C1323">
      <w:pPr>
        <w:spacing w:after="0" w:line="360" w:lineRule="auto"/>
        <w:jc w:val="both"/>
        <w:rPr>
          <w:rFonts w:ascii="Arial" w:eastAsia="Times New Roman" w:hAnsi="Arial" w:cs="Arial"/>
          <w:kern w:val="0"/>
          <w:sz w:val="24"/>
          <w:szCs w:val="24"/>
          <w:lang w:eastAsia="en-GB"/>
          <w14:ligatures w14:val="none"/>
        </w:rPr>
      </w:pPr>
    </w:p>
    <w:p w14:paraId="1CA0D029" w14:textId="15D834E3" w:rsidR="0018148B" w:rsidRPr="007C1323" w:rsidRDefault="0018148B" w:rsidP="007C1323">
      <w:pPr>
        <w:pStyle w:val="EU"/>
        <w:numPr>
          <w:ilvl w:val="0"/>
          <w:numId w:val="2"/>
        </w:numPr>
        <w:spacing w:line="360" w:lineRule="auto"/>
        <w:rPr>
          <w:rFonts w:eastAsia="Times New Roman"/>
          <w:color w:val="auto"/>
        </w:rPr>
      </w:pPr>
      <w:bookmarkStart w:id="3" w:name="_Toc166179978"/>
      <w:r w:rsidRPr="007C1323">
        <w:rPr>
          <w:rFonts w:eastAsia="Times New Roman"/>
          <w:color w:val="auto"/>
        </w:rPr>
        <w:t>Market position</w:t>
      </w:r>
      <w:bookmarkEnd w:id="3"/>
      <w:r w:rsidRPr="007C1323">
        <w:rPr>
          <w:rFonts w:eastAsia="Times New Roman"/>
          <w:color w:val="auto"/>
        </w:rPr>
        <w:t xml:space="preserve"> </w:t>
      </w:r>
    </w:p>
    <w:p w14:paraId="750A6323" w14:textId="5301F959" w:rsidR="00995C9B" w:rsidRPr="007C1323" w:rsidRDefault="00995C9B" w:rsidP="007C1323">
      <w:pPr>
        <w:spacing w:after="0" w:line="360" w:lineRule="auto"/>
        <w:jc w:val="both"/>
        <w:rPr>
          <w:rFonts w:ascii="Arial" w:eastAsia="Times New Roman" w:hAnsi="Arial" w:cs="Arial"/>
          <w:kern w:val="0"/>
          <w:sz w:val="24"/>
          <w:szCs w:val="24"/>
          <w:lang w:eastAsia="en-GB"/>
          <w14:ligatures w14:val="none"/>
        </w:rPr>
      </w:pPr>
      <w:r w:rsidRPr="007C1323">
        <w:rPr>
          <w:rFonts w:ascii="Arial" w:eastAsia="Times New Roman" w:hAnsi="Arial" w:cs="Arial"/>
          <w:kern w:val="0"/>
          <w:sz w:val="24"/>
          <w:szCs w:val="24"/>
          <w:lang w:eastAsia="en-GB"/>
          <w14:ligatures w14:val="none"/>
        </w:rPr>
        <w:t xml:space="preserve">Shangri-La Hotels and Travelodge Hotels use different strategic tactics to attract and serve to their specific market groups, which </w:t>
      </w:r>
      <w:r w:rsidR="004D3AC8" w:rsidRPr="007C1323">
        <w:rPr>
          <w:rFonts w:ascii="Arial" w:eastAsia="Times New Roman" w:hAnsi="Arial" w:cs="Arial"/>
          <w:kern w:val="0"/>
          <w:sz w:val="24"/>
          <w:szCs w:val="24"/>
          <w:lang w:eastAsia="en-GB"/>
          <w14:ligatures w14:val="none"/>
        </w:rPr>
        <w:t>support</w:t>
      </w:r>
      <w:r w:rsidRPr="007C1323">
        <w:rPr>
          <w:rFonts w:ascii="Arial" w:eastAsia="Times New Roman" w:hAnsi="Arial" w:cs="Arial"/>
          <w:kern w:val="0"/>
          <w:sz w:val="24"/>
          <w:szCs w:val="24"/>
          <w:lang w:eastAsia="en-GB"/>
          <w14:ligatures w14:val="none"/>
        </w:rPr>
        <w:t xml:space="preserve"> their various brand perceptions and operating models. Shangri-La and Travelodge target distinct consumer groups, as shown in their revenue management and marketing approaches. Shangri-La emphasises luxury and premium products, whereas Travelodge focuses on providing budget-friendly lodgings. Shangri-La Hotels is well-known for its opulent rooms and outstanding levels of service, catering specifically to affluent business and leisure travellers. The company takes advantage of its dominant position in Asia, namely in China, where it has a substantial portion of the market because to the region's economic success and the growing desire for high-end travel experiences</w:t>
      </w:r>
      <w:r w:rsidR="007D74B0" w:rsidRPr="007C1323">
        <w:rPr>
          <w:rFonts w:ascii="Arial" w:eastAsia="Times New Roman" w:hAnsi="Arial" w:cs="Arial"/>
          <w:kern w:val="0"/>
          <w:sz w:val="24"/>
          <w:szCs w:val="24"/>
          <w:lang w:eastAsia="en-GB"/>
          <w14:ligatures w14:val="none"/>
        </w:rPr>
        <w:t xml:space="preserve"> </w:t>
      </w:r>
      <w:r w:rsidR="007D74B0" w:rsidRPr="007C1323">
        <w:rPr>
          <w:rFonts w:ascii="Arial" w:hAnsi="Arial" w:cs="Arial"/>
          <w:sz w:val="24"/>
          <w:szCs w:val="24"/>
          <w:shd w:val="clear" w:color="auto" w:fill="FFFFFF"/>
        </w:rPr>
        <w:t xml:space="preserve">(Shangri-La Group, 2020). </w:t>
      </w:r>
      <w:r w:rsidRPr="007C1323">
        <w:rPr>
          <w:rFonts w:ascii="Arial" w:eastAsia="Times New Roman" w:hAnsi="Arial" w:cs="Arial"/>
          <w:kern w:val="0"/>
          <w:sz w:val="24"/>
          <w:szCs w:val="24"/>
          <w:lang w:eastAsia="en-GB"/>
          <w14:ligatures w14:val="none"/>
        </w:rPr>
        <w:t xml:space="preserve"> For example, the group's expansions and improvements in service quality are aimed at </w:t>
      </w:r>
      <w:r w:rsidR="00C379C4" w:rsidRPr="007C1323">
        <w:rPr>
          <w:rFonts w:ascii="Arial" w:eastAsia="Times New Roman" w:hAnsi="Arial" w:cs="Arial"/>
          <w:kern w:val="0"/>
          <w:sz w:val="24"/>
          <w:szCs w:val="24"/>
          <w:lang w:eastAsia="en-GB"/>
          <w14:ligatures w14:val="none"/>
        </w:rPr>
        <w:t>improving</w:t>
      </w:r>
      <w:r w:rsidRPr="007C1323">
        <w:rPr>
          <w:rFonts w:ascii="Arial" w:eastAsia="Times New Roman" w:hAnsi="Arial" w:cs="Arial"/>
          <w:kern w:val="0"/>
          <w:sz w:val="24"/>
          <w:szCs w:val="24"/>
          <w:lang w:eastAsia="en-GB"/>
          <w14:ligatures w14:val="none"/>
        </w:rPr>
        <w:t xml:space="preserve"> the experiences of guests, </w:t>
      </w:r>
      <w:r w:rsidR="00C379C4" w:rsidRPr="007C1323">
        <w:rPr>
          <w:rFonts w:ascii="Arial" w:eastAsia="Times New Roman" w:hAnsi="Arial" w:cs="Arial"/>
          <w:kern w:val="0"/>
          <w:sz w:val="24"/>
          <w:szCs w:val="24"/>
          <w:lang w:eastAsia="en-GB"/>
          <w14:ligatures w14:val="none"/>
        </w:rPr>
        <w:t>consequently</w:t>
      </w:r>
      <w:r w:rsidRPr="007C1323">
        <w:rPr>
          <w:rFonts w:ascii="Arial" w:eastAsia="Times New Roman" w:hAnsi="Arial" w:cs="Arial"/>
          <w:kern w:val="0"/>
          <w:sz w:val="24"/>
          <w:szCs w:val="24"/>
          <w:lang w:eastAsia="en-GB"/>
          <w14:ligatures w14:val="none"/>
        </w:rPr>
        <w:t xml:space="preserve"> strengthening its brand as being associated with luxury. The significant increase in Revenue Per Available Room data, rising from USD 64 to USD 108 between 2022 and 2023, highlights the successful implementation of premium pricing techniques to optimise revenue</w:t>
      </w:r>
      <w:r w:rsidR="00DA4638" w:rsidRPr="007C1323">
        <w:rPr>
          <w:rFonts w:ascii="Arial" w:eastAsia="Times New Roman" w:hAnsi="Arial" w:cs="Arial"/>
          <w:kern w:val="0"/>
          <w:sz w:val="24"/>
          <w:szCs w:val="24"/>
          <w:lang w:eastAsia="en-GB"/>
          <w14:ligatures w14:val="none"/>
        </w:rPr>
        <w:t xml:space="preserve"> (Shangri-La, 2023). </w:t>
      </w:r>
      <w:r w:rsidRPr="007C1323">
        <w:rPr>
          <w:rFonts w:ascii="Arial" w:eastAsia="Times New Roman" w:hAnsi="Arial" w:cs="Arial"/>
          <w:kern w:val="0"/>
          <w:sz w:val="24"/>
          <w:szCs w:val="24"/>
          <w:lang w:eastAsia="en-GB"/>
          <w14:ligatures w14:val="none"/>
        </w:rPr>
        <w:t>Travelodge, in contrast, largely operates inside the United Kingdom and focuses on a distinct market niche by providing affordable rooms. The brand primarily targets domestic travellers and budget-conscious business tourists by emphasising pricing and convenient geographical accessibility</w:t>
      </w:r>
      <w:r w:rsidR="0055384A" w:rsidRPr="007C1323">
        <w:rPr>
          <w:rFonts w:ascii="Arial" w:eastAsia="Times New Roman" w:hAnsi="Arial" w:cs="Arial"/>
          <w:kern w:val="0"/>
          <w:sz w:val="24"/>
          <w:szCs w:val="24"/>
          <w:lang w:eastAsia="en-GB"/>
          <w14:ligatures w14:val="none"/>
        </w:rPr>
        <w:t xml:space="preserve"> (Travelodge, 2024).</w:t>
      </w:r>
      <w:r w:rsidRPr="007C1323">
        <w:rPr>
          <w:rFonts w:ascii="Arial" w:eastAsia="Times New Roman" w:hAnsi="Arial" w:cs="Arial"/>
          <w:kern w:val="0"/>
          <w:sz w:val="24"/>
          <w:szCs w:val="24"/>
          <w:lang w:eastAsia="en-GB"/>
          <w14:ligatures w14:val="none"/>
        </w:rPr>
        <w:t xml:space="preserve"> Travelodge's operating approach is primarily focused on cost-efficiency, allowing the company to sustain growth and manage expenses effectively even in challenging economic conditions. In addition, the chain has made investments in marketing campaigns and building refurbishments to improve its market positioning as a leader in providing affordable rooms. As an example, Travelodge's implementation of a significant renovation programme, with the goal of updating 25% of its hotels by the end of 2023, shows its dedication to enhancing customer experience while keeping prices reasonable</w:t>
      </w:r>
      <w:r w:rsidR="00BF2A2F" w:rsidRPr="007C1323">
        <w:rPr>
          <w:rFonts w:ascii="Arial" w:eastAsia="Times New Roman" w:hAnsi="Arial" w:cs="Arial"/>
          <w:kern w:val="0"/>
          <w:sz w:val="24"/>
          <w:szCs w:val="24"/>
          <w:lang w:eastAsia="en-GB"/>
          <w14:ligatures w14:val="none"/>
        </w:rPr>
        <w:t xml:space="preserve"> (Travelodge, 2022). </w:t>
      </w:r>
      <w:r w:rsidRPr="007C1323">
        <w:rPr>
          <w:rFonts w:ascii="Arial" w:eastAsia="Times New Roman" w:hAnsi="Arial" w:cs="Arial"/>
          <w:kern w:val="0"/>
          <w:sz w:val="24"/>
          <w:szCs w:val="24"/>
          <w:lang w:eastAsia="en-GB"/>
          <w14:ligatures w14:val="none"/>
        </w:rPr>
        <w:t xml:space="preserve">This is seen in their recent record-breaking results for 2022. Both chains use dynamic pricing mechanisms, </w:t>
      </w:r>
      <w:r w:rsidR="00BF2A2F" w:rsidRPr="007C1323">
        <w:rPr>
          <w:rFonts w:ascii="Arial" w:eastAsia="Times New Roman" w:hAnsi="Arial" w:cs="Arial"/>
          <w:kern w:val="0"/>
          <w:sz w:val="24"/>
          <w:szCs w:val="24"/>
          <w:lang w:eastAsia="en-GB"/>
          <w14:ligatures w14:val="none"/>
        </w:rPr>
        <w:t>although</w:t>
      </w:r>
      <w:r w:rsidRPr="007C1323">
        <w:rPr>
          <w:rFonts w:ascii="Arial" w:eastAsia="Times New Roman" w:hAnsi="Arial" w:cs="Arial"/>
          <w:kern w:val="0"/>
          <w:sz w:val="24"/>
          <w:szCs w:val="24"/>
          <w:lang w:eastAsia="en-GB"/>
          <w14:ligatures w14:val="none"/>
        </w:rPr>
        <w:t xml:space="preserve"> under significantly different circumstances. Shangri-La employs dynamic pricing strategies to maximise profits by targeting affluent consumers who are prepared to pay more for exceptional experiences and exclusivity. Travelodge employs dynamic pricing to appeal to a large number of cost-conscious consumers, hence maintaining high occupancy rates by giving low prices. The use of pricing models in this manner reflects the brand ideologies and market positioning plans of each different company</w:t>
      </w:r>
      <w:r w:rsidR="00226608" w:rsidRPr="007C1323">
        <w:rPr>
          <w:rFonts w:ascii="Arial" w:eastAsia="Times New Roman" w:hAnsi="Arial" w:cs="Arial"/>
          <w:kern w:val="0"/>
          <w:sz w:val="24"/>
          <w:szCs w:val="24"/>
          <w:lang w:eastAsia="en-GB"/>
          <w14:ligatures w14:val="none"/>
        </w:rPr>
        <w:t xml:space="preserve"> (Mauri, 2016). </w:t>
      </w:r>
      <w:r w:rsidRPr="007C1323">
        <w:rPr>
          <w:rFonts w:ascii="Arial" w:eastAsia="Times New Roman" w:hAnsi="Arial" w:cs="Arial"/>
          <w:kern w:val="0"/>
          <w:sz w:val="24"/>
          <w:szCs w:val="24"/>
          <w:lang w:eastAsia="en-GB"/>
          <w14:ligatures w14:val="none"/>
        </w:rPr>
        <w:t xml:space="preserve"> Furthermore, the market's view of each brand strongly corresponds to their operational plans. Shangri-La is seen as a representation of extreme wealth and individualised attention, drawing worldwide recognition and a customer base that actively pursues extravagance. Travelodge is widely regarded as a pragmatic and dependable hotel chain, prioritising client contentment and cost-effectiveness. This makes it attractive to a diverse range of individuals seeking affordable accommodations without sacrificing essential conveniences.</w:t>
      </w:r>
    </w:p>
    <w:p w14:paraId="5954CB4C" w14:textId="77777777" w:rsidR="00995C9B" w:rsidRPr="007C1323" w:rsidRDefault="00995C9B" w:rsidP="007C1323">
      <w:pPr>
        <w:spacing w:after="0" w:line="360" w:lineRule="auto"/>
        <w:jc w:val="both"/>
        <w:rPr>
          <w:rFonts w:ascii="Arial" w:eastAsia="Times New Roman" w:hAnsi="Arial" w:cs="Arial"/>
          <w:kern w:val="0"/>
          <w:sz w:val="24"/>
          <w:szCs w:val="24"/>
          <w:lang w:eastAsia="en-GB"/>
          <w14:ligatures w14:val="none"/>
        </w:rPr>
      </w:pPr>
    </w:p>
    <w:p w14:paraId="3E725931" w14:textId="0D15CCF6" w:rsidR="00995C9B" w:rsidRPr="007C1323" w:rsidRDefault="00995C9B" w:rsidP="007C1323">
      <w:pPr>
        <w:pStyle w:val="EU"/>
        <w:numPr>
          <w:ilvl w:val="0"/>
          <w:numId w:val="2"/>
        </w:numPr>
        <w:spacing w:line="360" w:lineRule="auto"/>
        <w:rPr>
          <w:rFonts w:eastAsia="Times New Roman"/>
          <w:color w:val="auto"/>
        </w:rPr>
      </w:pPr>
      <w:bookmarkStart w:id="4" w:name="_Toc166179979"/>
      <w:r w:rsidRPr="007C1323">
        <w:rPr>
          <w:rFonts w:eastAsia="Times New Roman"/>
          <w:color w:val="auto"/>
        </w:rPr>
        <w:t xml:space="preserve">Growth </w:t>
      </w:r>
      <w:r w:rsidR="008D4848" w:rsidRPr="007C1323">
        <w:rPr>
          <w:rFonts w:eastAsia="Times New Roman"/>
          <w:color w:val="auto"/>
        </w:rPr>
        <w:t>capacity</w:t>
      </w:r>
      <w:bookmarkEnd w:id="4"/>
    </w:p>
    <w:p w14:paraId="6A20AD46" w14:textId="6CCC9B3B" w:rsidR="00891F96" w:rsidRPr="007C1323" w:rsidRDefault="00891F96" w:rsidP="007C1323">
      <w:pPr>
        <w:spacing w:after="0" w:line="360" w:lineRule="auto"/>
        <w:jc w:val="both"/>
        <w:rPr>
          <w:rFonts w:ascii="Arial" w:eastAsia="Times New Roman" w:hAnsi="Arial" w:cs="Arial"/>
          <w:kern w:val="0"/>
          <w:sz w:val="24"/>
          <w:szCs w:val="24"/>
          <w:lang w:eastAsia="en-GB"/>
          <w14:ligatures w14:val="none"/>
        </w:rPr>
      </w:pPr>
      <w:r w:rsidRPr="007C1323">
        <w:rPr>
          <w:rFonts w:ascii="Arial" w:eastAsia="Times New Roman" w:hAnsi="Arial" w:cs="Arial"/>
          <w:kern w:val="0"/>
          <w:sz w:val="24"/>
          <w:szCs w:val="24"/>
          <w:lang w:eastAsia="en-GB"/>
          <w14:ligatures w14:val="none"/>
        </w:rPr>
        <w:t>Shangri-La Hotels and Travelodge have distinct expansion plans that reflect their contrasting market positions and approaches to scaling and growth. Shangri-La places a strong emphasis on providing high-end and comprehensive services, with a particular focus on Asia. They have made major investments in the region, including the building of new properties such as JEN Kunming and Shangri-La Nanshan, Shenzhen</w:t>
      </w:r>
      <w:r w:rsidR="00F0280E" w:rsidRPr="007C1323">
        <w:rPr>
          <w:rFonts w:ascii="Arial" w:eastAsia="Times New Roman" w:hAnsi="Arial" w:cs="Arial"/>
          <w:kern w:val="0"/>
          <w:sz w:val="24"/>
          <w:szCs w:val="24"/>
          <w:lang w:eastAsia="en-GB"/>
          <w14:ligatures w14:val="none"/>
        </w:rPr>
        <w:t xml:space="preserve"> (Shangri-La, 2023</w:t>
      </w:r>
      <w:r w:rsidRPr="007C1323">
        <w:rPr>
          <w:rFonts w:ascii="Arial" w:eastAsia="Times New Roman" w:hAnsi="Arial" w:cs="Arial"/>
          <w:kern w:val="0"/>
          <w:sz w:val="24"/>
          <w:szCs w:val="24"/>
          <w:lang w:eastAsia="en-GB"/>
          <w14:ligatures w14:val="none"/>
        </w:rPr>
        <w:t xml:space="preserve">). In contrast, Travelodge, which </w:t>
      </w:r>
      <w:r w:rsidR="00517676" w:rsidRPr="007C1323">
        <w:rPr>
          <w:rFonts w:ascii="Arial" w:eastAsia="Times New Roman" w:hAnsi="Arial" w:cs="Arial"/>
          <w:kern w:val="0"/>
          <w:sz w:val="24"/>
          <w:szCs w:val="24"/>
          <w:lang w:eastAsia="en-GB"/>
          <w14:ligatures w14:val="none"/>
        </w:rPr>
        <w:t>operates</w:t>
      </w:r>
      <w:r w:rsidRPr="007C1323">
        <w:rPr>
          <w:rFonts w:ascii="Arial" w:eastAsia="Times New Roman" w:hAnsi="Arial" w:cs="Arial"/>
          <w:kern w:val="0"/>
          <w:sz w:val="24"/>
          <w:szCs w:val="24"/>
          <w:lang w:eastAsia="en-GB"/>
          <w14:ligatures w14:val="none"/>
        </w:rPr>
        <w:t xml:space="preserve"> in the </w:t>
      </w:r>
      <w:r w:rsidR="00517676" w:rsidRPr="007C1323">
        <w:rPr>
          <w:rFonts w:ascii="Arial" w:eastAsia="Times New Roman" w:hAnsi="Arial" w:cs="Arial"/>
          <w:kern w:val="0"/>
          <w:sz w:val="24"/>
          <w:szCs w:val="24"/>
          <w:lang w:eastAsia="en-GB"/>
          <w14:ligatures w14:val="none"/>
        </w:rPr>
        <w:t>economical</w:t>
      </w:r>
      <w:r w:rsidRPr="007C1323">
        <w:rPr>
          <w:rFonts w:ascii="Arial" w:eastAsia="Times New Roman" w:hAnsi="Arial" w:cs="Arial"/>
          <w:kern w:val="0"/>
          <w:sz w:val="24"/>
          <w:szCs w:val="24"/>
          <w:lang w:eastAsia="en-GB"/>
          <w14:ligatures w14:val="none"/>
        </w:rPr>
        <w:t xml:space="preserve"> sector, has set its sights on ambitious growth inside the UK by planning to add 15-20 new hotels per year. Their main strategy is capitalising on current real estate trends, renovating and adapting buildings to suit their business model, and taking advantage of the declining number of independent hotels to grow their presence</w:t>
      </w:r>
      <w:r w:rsidR="00517676" w:rsidRPr="007C1323">
        <w:rPr>
          <w:rFonts w:ascii="Arial" w:eastAsia="Times New Roman" w:hAnsi="Arial" w:cs="Arial"/>
          <w:kern w:val="0"/>
          <w:sz w:val="24"/>
          <w:szCs w:val="24"/>
          <w:lang w:eastAsia="en-GB"/>
          <w14:ligatures w14:val="none"/>
        </w:rPr>
        <w:t xml:space="preserve"> (Travelodge, 202</w:t>
      </w:r>
      <w:r w:rsidR="005009A7" w:rsidRPr="007C1323">
        <w:rPr>
          <w:rFonts w:ascii="Arial" w:eastAsia="Times New Roman" w:hAnsi="Arial" w:cs="Arial"/>
          <w:kern w:val="0"/>
          <w:sz w:val="24"/>
          <w:szCs w:val="24"/>
          <w:lang w:eastAsia="en-GB"/>
          <w14:ligatures w14:val="none"/>
        </w:rPr>
        <w:t>2</w:t>
      </w:r>
      <w:r w:rsidR="00517676" w:rsidRPr="007C1323">
        <w:rPr>
          <w:rFonts w:ascii="Arial" w:eastAsia="Times New Roman" w:hAnsi="Arial" w:cs="Arial"/>
          <w:kern w:val="0"/>
          <w:sz w:val="24"/>
          <w:szCs w:val="24"/>
          <w:lang w:eastAsia="en-GB"/>
          <w14:ligatures w14:val="none"/>
        </w:rPr>
        <w:t xml:space="preserve">). </w:t>
      </w:r>
      <w:r w:rsidRPr="007C1323">
        <w:rPr>
          <w:rFonts w:ascii="Arial" w:eastAsia="Times New Roman" w:hAnsi="Arial" w:cs="Arial"/>
          <w:kern w:val="0"/>
          <w:sz w:val="24"/>
          <w:szCs w:val="24"/>
          <w:lang w:eastAsia="en-GB"/>
          <w14:ligatures w14:val="none"/>
        </w:rPr>
        <w:t>Travelodge demonstrates a deep comprehension of market dynamics by using a strong direct distribution strategy and a prominent presence in the local market to achieve consistent development. This is shown by the signing of a contract between Thame and London Limited for the fiscal year 2023</w:t>
      </w:r>
      <w:r w:rsidR="005009A7" w:rsidRPr="007C1323">
        <w:rPr>
          <w:rFonts w:ascii="Arial" w:eastAsia="Times New Roman" w:hAnsi="Arial" w:cs="Arial"/>
          <w:kern w:val="0"/>
          <w:sz w:val="24"/>
          <w:szCs w:val="24"/>
          <w:lang w:eastAsia="en-GB"/>
          <w14:ligatures w14:val="none"/>
        </w:rPr>
        <w:t xml:space="preserve"> (Travelodge, 2023). </w:t>
      </w:r>
      <w:r w:rsidRPr="007C1323">
        <w:rPr>
          <w:rFonts w:ascii="Arial" w:eastAsia="Times New Roman" w:hAnsi="Arial" w:cs="Arial"/>
          <w:kern w:val="0"/>
          <w:sz w:val="24"/>
          <w:szCs w:val="24"/>
          <w:lang w:eastAsia="en-GB"/>
          <w14:ligatures w14:val="none"/>
        </w:rPr>
        <w:t>Shangri-La's approach capitalises on the elasticity of demand in luxury markets by delivering distinctive products and high-quality service</w:t>
      </w:r>
      <w:r w:rsidR="006F5504" w:rsidRPr="007C1323">
        <w:rPr>
          <w:rFonts w:ascii="Arial" w:eastAsia="Times New Roman" w:hAnsi="Arial" w:cs="Arial"/>
          <w:kern w:val="0"/>
          <w:sz w:val="24"/>
          <w:szCs w:val="24"/>
          <w:lang w:eastAsia="en-GB"/>
          <w14:ligatures w14:val="none"/>
        </w:rPr>
        <w:t xml:space="preserve"> (Kotler, 2011). </w:t>
      </w:r>
      <w:r w:rsidRPr="007C1323">
        <w:rPr>
          <w:rFonts w:ascii="Arial" w:eastAsia="Times New Roman" w:hAnsi="Arial" w:cs="Arial"/>
          <w:kern w:val="0"/>
          <w:sz w:val="24"/>
          <w:szCs w:val="24"/>
          <w:lang w:eastAsia="en-GB"/>
          <w14:ligatures w14:val="none"/>
        </w:rPr>
        <w:t xml:space="preserve"> This aligns with their substantial investments in property and services, which aim to enhance the perceived value of their goods. On the other hand, Travelodge employs a strategy that is more responsive to changes in price, concentrating on generating higher sales volume and offering affordable options. This approach is designed to attract a wider range of customers who are more sensitive to price variations</w:t>
      </w:r>
      <w:r w:rsidR="00EA5219" w:rsidRPr="007C1323">
        <w:rPr>
          <w:rFonts w:ascii="Arial" w:eastAsia="Times New Roman" w:hAnsi="Arial" w:cs="Arial"/>
          <w:kern w:val="0"/>
          <w:sz w:val="24"/>
          <w:szCs w:val="24"/>
          <w:lang w:eastAsia="en-GB"/>
          <w14:ligatures w14:val="none"/>
        </w:rPr>
        <w:t xml:space="preserve"> (</w:t>
      </w:r>
      <w:r w:rsidR="000C0D05" w:rsidRPr="007C1323">
        <w:rPr>
          <w:rFonts w:ascii="Arial" w:eastAsia="Times New Roman" w:hAnsi="Arial" w:cs="Arial"/>
          <w:kern w:val="0"/>
          <w:sz w:val="24"/>
          <w:szCs w:val="24"/>
          <w:lang w:eastAsia="en-GB"/>
          <w14:ligatures w14:val="none"/>
        </w:rPr>
        <w:t>Nagle</w:t>
      </w:r>
      <w:r w:rsidR="00EA5219" w:rsidRPr="007C1323">
        <w:rPr>
          <w:rFonts w:ascii="Arial" w:eastAsia="Times New Roman" w:hAnsi="Arial" w:cs="Arial"/>
          <w:kern w:val="0"/>
          <w:sz w:val="24"/>
          <w:szCs w:val="24"/>
          <w:lang w:eastAsia="en-GB"/>
          <w14:ligatures w14:val="none"/>
        </w:rPr>
        <w:t xml:space="preserve"> and </w:t>
      </w:r>
      <w:r w:rsidR="000C0D05" w:rsidRPr="007C1323">
        <w:rPr>
          <w:rFonts w:ascii="Arial" w:eastAsia="Times New Roman" w:hAnsi="Arial" w:cs="Arial"/>
          <w:kern w:val="0"/>
          <w:sz w:val="24"/>
          <w:szCs w:val="24"/>
          <w:lang w:eastAsia="en-GB"/>
          <w14:ligatures w14:val="none"/>
        </w:rPr>
        <w:t>Muller</w:t>
      </w:r>
      <w:r w:rsidR="00EA5219" w:rsidRPr="007C1323">
        <w:rPr>
          <w:rFonts w:ascii="Arial" w:eastAsia="Times New Roman" w:hAnsi="Arial" w:cs="Arial"/>
          <w:kern w:val="0"/>
          <w:sz w:val="24"/>
          <w:szCs w:val="24"/>
          <w:lang w:eastAsia="en-GB"/>
          <w14:ligatures w14:val="none"/>
        </w:rPr>
        <w:t>, 20</w:t>
      </w:r>
      <w:r w:rsidR="000C0D05" w:rsidRPr="007C1323">
        <w:rPr>
          <w:rFonts w:ascii="Arial" w:eastAsia="Times New Roman" w:hAnsi="Arial" w:cs="Arial"/>
          <w:kern w:val="0"/>
          <w:sz w:val="24"/>
          <w:szCs w:val="24"/>
          <w:lang w:eastAsia="en-GB"/>
          <w14:ligatures w14:val="none"/>
        </w:rPr>
        <w:t xml:space="preserve">17). </w:t>
      </w:r>
      <w:r w:rsidRPr="007C1323">
        <w:rPr>
          <w:rFonts w:ascii="Arial" w:eastAsia="Times New Roman" w:hAnsi="Arial" w:cs="Arial"/>
          <w:kern w:val="0"/>
          <w:sz w:val="24"/>
          <w:szCs w:val="24"/>
          <w:lang w:eastAsia="en-GB"/>
          <w14:ligatures w14:val="none"/>
        </w:rPr>
        <w:t>These strategies exemplify various uses of the market equilibrium concept. Shangri-La aims to develop a unique product that can be sold at a higher price, while Travelodge focuses on maximising occupancy and turnover rates by offering competitive prices and strategically selecting locations. The development potentials of both chains differ due to their strategy choices to either increase their presence in the luxury market or extend their budget accommodation offerings, targeting certain market dynamics and consumer demographics.</w:t>
      </w:r>
    </w:p>
    <w:p w14:paraId="271EBACA" w14:textId="77777777" w:rsidR="00AA2DDB" w:rsidRPr="007C1323" w:rsidRDefault="00AA2DDB" w:rsidP="007C1323">
      <w:pPr>
        <w:spacing w:after="0" w:line="360" w:lineRule="auto"/>
        <w:jc w:val="both"/>
        <w:rPr>
          <w:rFonts w:ascii="Arial" w:eastAsia="Times New Roman" w:hAnsi="Arial" w:cs="Arial"/>
          <w:kern w:val="0"/>
          <w:sz w:val="24"/>
          <w:szCs w:val="24"/>
          <w:lang w:eastAsia="en-GB"/>
          <w14:ligatures w14:val="none"/>
        </w:rPr>
      </w:pPr>
    </w:p>
    <w:p w14:paraId="09538859" w14:textId="784372B7" w:rsidR="00AA2DDB" w:rsidRPr="007C1323" w:rsidRDefault="00C16771" w:rsidP="007C1323">
      <w:pPr>
        <w:pStyle w:val="EU"/>
        <w:numPr>
          <w:ilvl w:val="0"/>
          <w:numId w:val="2"/>
        </w:numPr>
        <w:spacing w:line="360" w:lineRule="auto"/>
        <w:rPr>
          <w:rFonts w:eastAsia="Times New Roman"/>
          <w:color w:val="auto"/>
        </w:rPr>
      </w:pPr>
      <w:bookmarkStart w:id="5" w:name="_Toc166179980"/>
      <w:r w:rsidRPr="007C1323">
        <w:rPr>
          <w:rFonts w:eastAsia="Times New Roman"/>
          <w:color w:val="auto"/>
        </w:rPr>
        <w:t>Financial commitment to CSR</w:t>
      </w:r>
      <w:bookmarkEnd w:id="5"/>
    </w:p>
    <w:p w14:paraId="61804F0E" w14:textId="64EE5648" w:rsidR="00B137B9" w:rsidRPr="007C1323" w:rsidRDefault="00B137B9" w:rsidP="007C1323">
      <w:pPr>
        <w:spacing w:after="0" w:line="360" w:lineRule="auto"/>
        <w:jc w:val="both"/>
        <w:rPr>
          <w:rFonts w:ascii="Arial" w:eastAsia="Times New Roman" w:hAnsi="Arial" w:cs="Arial"/>
          <w:kern w:val="0"/>
          <w:sz w:val="24"/>
          <w:szCs w:val="24"/>
          <w:lang w:eastAsia="en-GB"/>
          <w14:ligatures w14:val="none"/>
        </w:rPr>
      </w:pPr>
      <w:r w:rsidRPr="007C1323">
        <w:rPr>
          <w:rFonts w:ascii="Arial" w:eastAsia="Times New Roman" w:hAnsi="Arial" w:cs="Arial"/>
          <w:kern w:val="0"/>
          <w:sz w:val="24"/>
          <w:szCs w:val="24"/>
          <w:lang w:eastAsia="en-GB"/>
          <w14:ligatures w14:val="none"/>
        </w:rPr>
        <w:t>Shangri-La Hotels has fully incorporated business social responsibility into its operational and business strategy, with a strong emphasis on environmental sustainability and active involvement in the community. In 2022, they made important progress in their sustainability initiatives by significantly reducing the use of single-use plastics in all their properties</w:t>
      </w:r>
      <w:r w:rsidR="008A2B86" w:rsidRPr="007C1323">
        <w:rPr>
          <w:rFonts w:ascii="Arial" w:eastAsia="Times New Roman" w:hAnsi="Arial" w:cs="Arial"/>
          <w:kern w:val="0"/>
          <w:sz w:val="24"/>
          <w:szCs w:val="24"/>
          <w:lang w:eastAsia="en-GB"/>
          <w14:ligatures w14:val="none"/>
        </w:rPr>
        <w:t xml:space="preserve"> (Shangri-La Sustainability, 2022). </w:t>
      </w:r>
      <w:r w:rsidRPr="007C1323">
        <w:rPr>
          <w:rFonts w:ascii="Arial" w:eastAsia="Times New Roman" w:hAnsi="Arial" w:cs="Arial"/>
          <w:kern w:val="0"/>
          <w:sz w:val="24"/>
          <w:szCs w:val="24"/>
          <w:lang w:eastAsia="en-GB"/>
          <w14:ligatures w14:val="none"/>
        </w:rPr>
        <w:t>They successfully eliminated the use of plastic takeaway containers, cutleries, and bags, and achieved a substantial decrease in CO2 emissions and water consumption per occupied room</w:t>
      </w:r>
      <w:r w:rsidR="00730160" w:rsidRPr="007C1323">
        <w:rPr>
          <w:rFonts w:ascii="Arial" w:eastAsia="Times New Roman" w:hAnsi="Arial" w:cs="Arial"/>
          <w:kern w:val="0"/>
          <w:sz w:val="24"/>
          <w:szCs w:val="24"/>
          <w:lang w:eastAsia="en-GB"/>
          <w14:ligatures w14:val="none"/>
        </w:rPr>
        <w:t xml:space="preserve"> (Shangri-La </w:t>
      </w:r>
      <w:r w:rsidR="009E0561" w:rsidRPr="007C1323">
        <w:rPr>
          <w:rFonts w:ascii="Arial" w:eastAsia="Times New Roman" w:hAnsi="Arial" w:cs="Arial"/>
          <w:kern w:val="0"/>
          <w:sz w:val="24"/>
          <w:szCs w:val="24"/>
          <w:lang w:eastAsia="en-GB"/>
          <w14:ligatures w14:val="none"/>
        </w:rPr>
        <w:t xml:space="preserve">Sustainability, 2023). </w:t>
      </w:r>
      <w:r w:rsidRPr="007C1323">
        <w:rPr>
          <w:rFonts w:ascii="Arial" w:eastAsia="Times New Roman" w:hAnsi="Arial" w:cs="Arial"/>
          <w:kern w:val="0"/>
          <w:sz w:val="24"/>
          <w:szCs w:val="24"/>
          <w:lang w:eastAsia="en-GB"/>
          <w14:ligatures w14:val="none"/>
        </w:rPr>
        <w:t>These environmental pledges not only bolster Shangri-La's reputation as an environmentally aware and socially responsible corporation, but also conform to worldwide sustainability patterns, appealing to visitors who prioritise environmental stewardship. This might result in heightened customer loyalty and higher income</w:t>
      </w:r>
      <w:r w:rsidR="009E0561" w:rsidRPr="007C1323">
        <w:rPr>
          <w:rFonts w:ascii="Arial" w:eastAsia="Times New Roman" w:hAnsi="Arial" w:cs="Arial"/>
          <w:kern w:val="0"/>
          <w:sz w:val="24"/>
          <w:szCs w:val="24"/>
          <w:lang w:eastAsia="en-GB"/>
          <w14:ligatures w14:val="none"/>
        </w:rPr>
        <w:t xml:space="preserve"> (Walker, 2021). </w:t>
      </w:r>
      <w:r w:rsidRPr="007C1323">
        <w:rPr>
          <w:rFonts w:ascii="Arial" w:eastAsia="Times New Roman" w:hAnsi="Arial" w:cs="Arial"/>
          <w:kern w:val="0"/>
          <w:sz w:val="24"/>
          <w:szCs w:val="24"/>
          <w:lang w:eastAsia="en-GB"/>
          <w14:ligatures w14:val="none"/>
        </w:rPr>
        <w:t>Contrarily, Travelodge has synchronised its corporate social responsibility endeavours with its cost-effective brand identity, concentrating on energy efficiency and diminishing operational effects. Travelodge has implemented several measures to reduce energy usage in its properties. These measures include the installation of LED lighting and smart heating and cooling controls</w:t>
      </w:r>
      <w:r w:rsidR="00CF0C88" w:rsidRPr="007C1323">
        <w:rPr>
          <w:rFonts w:ascii="Arial" w:eastAsia="Times New Roman" w:hAnsi="Arial" w:cs="Arial"/>
          <w:kern w:val="0"/>
          <w:sz w:val="24"/>
          <w:szCs w:val="24"/>
          <w:lang w:eastAsia="en-GB"/>
          <w14:ligatures w14:val="none"/>
        </w:rPr>
        <w:t xml:space="preserve"> (Travelodge, 2023).</w:t>
      </w:r>
      <w:r w:rsidRPr="007C1323">
        <w:rPr>
          <w:rFonts w:ascii="Arial" w:eastAsia="Times New Roman" w:hAnsi="Arial" w:cs="Arial"/>
          <w:kern w:val="0"/>
          <w:sz w:val="24"/>
          <w:szCs w:val="24"/>
          <w:lang w:eastAsia="en-GB"/>
          <w14:ligatures w14:val="none"/>
        </w:rPr>
        <w:t xml:space="preserve"> These solutions not only save expenses but also attract customers who are concerned about the environment. By 2022, Travelodge had made considerable strides towards achieving its goal of being a net zero operator by 2050. This included making huge reductions in direct emissions, which not only helped in controlling operating expenses but also enhanced its reputation as a sustainable brand</w:t>
      </w:r>
      <w:r w:rsidR="00CF0C88" w:rsidRPr="007C1323">
        <w:rPr>
          <w:rFonts w:ascii="Arial" w:eastAsia="Times New Roman" w:hAnsi="Arial" w:cs="Arial"/>
          <w:kern w:val="0"/>
          <w:sz w:val="24"/>
          <w:szCs w:val="24"/>
          <w:lang w:eastAsia="en-GB"/>
          <w14:ligatures w14:val="none"/>
        </w:rPr>
        <w:t xml:space="preserve"> (Travelodge, 2022). </w:t>
      </w:r>
    </w:p>
    <w:p w14:paraId="09A5387A" w14:textId="77777777" w:rsidR="00214C85" w:rsidRPr="007C1323" w:rsidRDefault="00214C85" w:rsidP="007C1323">
      <w:pPr>
        <w:spacing w:after="0" w:line="360" w:lineRule="auto"/>
        <w:jc w:val="both"/>
        <w:rPr>
          <w:rFonts w:ascii="Arial" w:eastAsia="Times New Roman" w:hAnsi="Arial" w:cs="Arial"/>
          <w:kern w:val="0"/>
          <w:sz w:val="24"/>
          <w:szCs w:val="24"/>
          <w:lang w:eastAsia="en-GB"/>
          <w14:ligatures w14:val="none"/>
        </w:rPr>
      </w:pPr>
    </w:p>
    <w:p w14:paraId="64AB402D" w14:textId="74778D5F" w:rsidR="00214C85" w:rsidRPr="007C1323" w:rsidRDefault="007A216B" w:rsidP="007C1323">
      <w:pPr>
        <w:pStyle w:val="EU"/>
        <w:numPr>
          <w:ilvl w:val="0"/>
          <w:numId w:val="2"/>
        </w:numPr>
        <w:spacing w:line="360" w:lineRule="auto"/>
        <w:rPr>
          <w:rFonts w:eastAsia="Times New Roman"/>
          <w:color w:val="auto"/>
        </w:rPr>
      </w:pPr>
      <w:bookmarkStart w:id="6" w:name="_Toc166179981"/>
      <w:r w:rsidRPr="007C1323">
        <w:rPr>
          <w:rFonts w:eastAsia="Times New Roman"/>
          <w:color w:val="auto"/>
        </w:rPr>
        <w:t>Conclusion</w:t>
      </w:r>
      <w:bookmarkEnd w:id="6"/>
      <w:r w:rsidRPr="007C1323">
        <w:rPr>
          <w:rFonts w:eastAsia="Times New Roman"/>
          <w:color w:val="auto"/>
        </w:rPr>
        <w:t xml:space="preserve"> </w:t>
      </w:r>
    </w:p>
    <w:p w14:paraId="021A5826" w14:textId="5B0E2C7C" w:rsidR="00C05CD6" w:rsidRPr="007C1323" w:rsidRDefault="00C05CD6" w:rsidP="007C1323">
      <w:pPr>
        <w:spacing w:line="360" w:lineRule="auto"/>
        <w:jc w:val="both"/>
        <w:rPr>
          <w:rFonts w:ascii="Arial" w:eastAsia="Times New Roman" w:hAnsi="Arial" w:cs="Arial"/>
          <w:kern w:val="0"/>
          <w:sz w:val="24"/>
          <w:szCs w:val="24"/>
          <w:lang w:eastAsia="en-GB"/>
          <w14:ligatures w14:val="none"/>
        </w:rPr>
      </w:pPr>
      <w:r w:rsidRPr="007C1323">
        <w:rPr>
          <w:rFonts w:ascii="Arial" w:hAnsi="Arial" w:cs="Arial"/>
          <w:sz w:val="24"/>
          <w:szCs w:val="24"/>
        </w:rPr>
        <w:t xml:space="preserve">To conclude, </w:t>
      </w:r>
      <w:r w:rsidRPr="007C1323">
        <w:rPr>
          <w:rFonts w:ascii="Arial" w:eastAsia="Times New Roman" w:hAnsi="Arial" w:cs="Arial"/>
          <w:kern w:val="0"/>
          <w:sz w:val="24"/>
          <w:szCs w:val="24"/>
          <w:lang w:eastAsia="en-GB"/>
          <w14:ligatures w14:val="none"/>
        </w:rPr>
        <w:t xml:space="preserve">the financial management techniques of Shangri-La Hotels and Travelodge Hotels </w:t>
      </w:r>
      <w:r w:rsidR="003D7E86" w:rsidRPr="007C1323">
        <w:rPr>
          <w:rFonts w:ascii="Arial" w:eastAsia="Times New Roman" w:hAnsi="Arial" w:cs="Arial"/>
          <w:kern w:val="0"/>
          <w:sz w:val="24"/>
          <w:szCs w:val="24"/>
          <w:lang w:eastAsia="en-GB"/>
          <w14:ligatures w14:val="none"/>
        </w:rPr>
        <w:t>exhibit</w:t>
      </w:r>
      <w:r w:rsidRPr="007C1323">
        <w:rPr>
          <w:rFonts w:ascii="Arial" w:eastAsia="Times New Roman" w:hAnsi="Arial" w:cs="Arial"/>
          <w:kern w:val="0"/>
          <w:sz w:val="24"/>
          <w:szCs w:val="24"/>
          <w:lang w:eastAsia="en-GB"/>
          <w14:ligatures w14:val="none"/>
        </w:rPr>
        <w:t xml:space="preserve"> their unique market positioning and operational approaches within the hospitality business. Shangri-La has effectively executed initiatives that boost its worldwide footprint and attract wealthy travellers by prioritising luxury and high-quality services. The company's dedication to delivering outstanding services in highly desirable areas has enabled it to successfully use premium pricing tactics, resulting in substantial revenue growth and a strong market position. In contrast, Travelodge specifically caters to the budget lodging market, customising its offerings for cost-conscious individuals who prioritise value. The company's planned development plans in the UK, along with its emphasis on cost-effective operating techniques, have allowed it to both retain competitive pricing and increase its market share. Both hotel chains exhibit a robust dedication to corporate social responsibility</w:t>
      </w:r>
      <w:r w:rsidR="003D7E86" w:rsidRPr="007C1323">
        <w:rPr>
          <w:rFonts w:ascii="Arial" w:eastAsia="Times New Roman" w:hAnsi="Arial" w:cs="Arial"/>
          <w:kern w:val="0"/>
          <w:sz w:val="24"/>
          <w:szCs w:val="24"/>
          <w:lang w:eastAsia="en-GB"/>
          <w14:ligatures w14:val="none"/>
        </w:rPr>
        <w:t xml:space="preserve">, </w:t>
      </w:r>
      <w:r w:rsidRPr="007C1323">
        <w:rPr>
          <w:rFonts w:ascii="Arial" w:eastAsia="Times New Roman" w:hAnsi="Arial" w:cs="Arial"/>
          <w:kern w:val="0"/>
          <w:sz w:val="24"/>
          <w:szCs w:val="24"/>
          <w:lang w:eastAsia="en-GB"/>
          <w14:ligatures w14:val="none"/>
        </w:rPr>
        <w:t xml:space="preserve">by integrating their activities with their brand values and operational objectives. This not only improves their corporate image but also favourably impacts their financial sustainability. </w:t>
      </w:r>
    </w:p>
    <w:p w14:paraId="76802EDA" w14:textId="77777777" w:rsidR="004850D9" w:rsidRPr="007C1323" w:rsidRDefault="004850D9" w:rsidP="007C1323">
      <w:pPr>
        <w:spacing w:line="360" w:lineRule="auto"/>
        <w:jc w:val="both"/>
        <w:rPr>
          <w:rFonts w:ascii="Arial" w:eastAsia="Times New Roman" w:hAnsi="Arial" w:cs="Arial"/>
          <w:b/>
          <w:bCs/>
          <w:kern w:val="0"/>
          <w:sz w:val="24"/>
          <w:szCs w:val="24"/>
          <w:lang w:eastAsia="en-GB"/>
          <w14:ligatures w14:val="none"/>
        </w:rPr>
      </w:pPr>
    </w:p>
    <w:p w14:paraId="40C09707" w14:textId="5E123668" w:rsidR="004850D9" w:rsidRPr="007C1323" w:rsidRDefault="004850D9" w:rsidP="007C1323">
      <w:pPr>
        <w:pStyle w:val="EU"/>
        <w:numPr>
          <w:ilvl w:val="0"/>
          <w:numId w:val="2"/>
        </w:numPr>
        <w:spacing w:line="360" w:lineRule="auto"/>
        <w:rPr>
          <w:rFonts w:eastAsia="Times New Roman"/>
          <w:color w:val="auto"/>
        </w:rPr>
      </w:pPr>
      <w:bookmarkStart w:id="7" w:name="_Toc166179982"/>
      <w:r w:rsidRPr="007C1323">
        <w:rPr>
          <w:rFonts w:eastAsia="Times New Roman"/>
          <w:color w:val="auto"/>
        </w:rPr>
        <w:t>Recommendations</w:t>
      </w:r>
      <w:bookmarkEnd w:id="7"/>
    </w:p>
    <w:p w14:paraId="402A3274" w14:textId="02B81121" w:rsidR="004850D9" w:rsidRPr="007C1323" w:rsidRDefault="004850D9" w:rsidP="007C1323">
      <w:pPr>
        <w:spacing w:after="0" w:line="360" w:lineRule="auto"/>
        <w:jc w:val="both"/>
        <w:rPr>
          <w:rFonts w:ascii="Arial" w:eastAsia="Times New Roman" w:hAnsi="Arial" w:cs="Arial"/>
          <w:kern w:val="0"/>
          <w:sz w:val="24"/>
          <w:szCs w:val="24"/>
          <w:lang w:eastAsia="en-GB"/>
          <w14:ligatures w14:val="none"/>
        </w:rPr>
      </w:pPr>
      <w:r w:rsidRPr="007C1323">
        <w:rPr>
          <w:rFonts w:ascii="Arial" w:eastAsia="Times New Roman" w:hAnsi="Arial" w:cs="Arial"/>
          <w:kern w:val="0"/>
          <w:sz w:val="24"/>
          <w:szCs w:val="24"/>
          <w:lang w:eastAsia="en-GB"/>
          <w14:ligatures w14:val="none"/>
        </w:rPr>
        <w:t xml:space="preserve">After examining Shangri-La Hotels and Travelodge Hotels, it becomes noticeable that there are certain areas in their strategies that might be improved in order to promote their development and long-term viability. Shangri-La, while it has been effective in using its high-end reputation, might enhance its geographical reach to reduce the potential negative impacts of economic downturns in Asia, particularly in China, where it strongly depends on market stability. The suggestion is to pursue a more assertive approach in entering new luxury markets in Africa and the Middle East, where there is a growing demand for luxury travel. Kim and Mauborgne's Blue Ocean Strategy suggests that by entering industries with less competition, companies may decrease rivalry and achieve more profitability (Kim </w:t>
      </w:r>
      <w:r w:rsidR="00B50677" w:rsidRPr="007C1323">
        <w:rPr>
          <w:rFonts w:ascii="Arial" w:eastAsia="Times New Roman" w:hAnsi="Arial" w:cs="Arial"/>
          <w:kern w:val="0"/>
          <w:sz w:val="24"/>
          <w:szCs w:val="24"/>
          <w:lang w:eastAsia="en-GB"/>
          <w14:ligatures w14:val="none"/>
        </w:rPr>
        <w:t>and</w:t>
      </w:r>
      <w:r w:rsidRPr="007C1323">
        <w:rPr>
          <w:rFonts w:ascii="Arial" w:eastAsia="Times New Roman" w:hAnsi="Arial" w:cs="Arial"/>
          <w:kern w:val="0"/>
          <w:sz w:val="24"/>
          <w:szCs w:val="24"/>
          <w:lang w:eastAsia="en-GB"/>
          <w14:ligatures w14:val="none"/>
        </w:rPr>
        <w:t xml:space="preserve"> Mauborgne, 2014). While Travelodge has robust success in the budget market in the UK, it is not as globally prominent as its rivals. </w:t>
      </w:r>
      <w:r w:rsidR="00B50677" w:rsidRPr="007C1323">
        <w:rPr>
          <w:rFonts w:ascii="Arial" w:eastAsia="Times New Roman" w:hAnsi="Arial" w:cs="Arial"/>
          <w:kern w:val="0"/>
          <w:sz w:val="24"/>
          <w:szCs w:val="24"/>
          <w:lang w:eastAsia="en-GB"/>
          <w14:ligatures w14:val="none"/>
        </w:rPr>
        <w:t>To</w:t>
      </w:r>
      <w:r w:rsidRPr="007C1323">
        <w:rPr>
          <w:rFonts w:ascii="Arial" w:eastAsia="Times New Roman" w:hAnsi="Arial" w:cs="Arial"/>
          <w:kern w:val="0"/>
          <w:sz w:val="24"/>
          <w:szCs w:val="24"/>
          <w:lang w:eastAsia="en-GB"/>
          <w14:ligatures w14:val="none"/>
        </w:rPr>
        <w:t xml:space="preserve"> take advantage of the expanding global budget travel industry, it is advisable for Travelodge to investigate strategic alliances or purchases of budget hotel chains in North America and Asia. This expansion might implement Porter's Generic Strategies by emphasising cost leadership on a broader international level, hence attaining a competitive edge in untapped markets (Porter, </w:t>
      </w:r>
      <w:r w:rsidR="001C47F5" w:rsidRPr="007C1323">
        <w:rPr>
          <w:rFonts w:ascii="Arial" w:eastAsia="Times New Roman" w:hAnsi="Arial" w:cs="Arial"/>
          <w:kern w:val="0"/>
          <w:sz w:val="24"/>
          <w:szCs w:val="24"/>
          <w:lang w:eastAsia="en-GB"/>
          <w14:ligatures w14:val="none"/>
        </w:rPr>
        <w:t>2011</w:t>
      </w:r>
      <w:r w:rsidRPr="007C1323">
        <w:rPr>
          <w:rFonts w:ascii="Arial" w:eastAsia="Times New Roman" w:hAnsi="Arial" w:cs="Arial"/>
          <w:kern w:val="0"/>
          <w:sz w:val="24"/>
          <w:szCs w:val="24"/>
          <w:lang w:eastAsia="en-GB"/>
          <w14:ligatures w14:val="none"/>
        </w:rPr>
        <w:t>).</w:t>
      </w:r>
    </w:p>
    <w:p w14:paraId="66D7D3CC" w14:textId="77777777" w:rsidR="004850D9" w:rsidRPr="007C1323" w:rsidRDefault="004850D9" w:rsidP="004850D9">
      <w:pPr>
        <w:spacing w:after="0" w:line="360" w:lineRule="auto"/>
        <w:jc w:val="both"/>
        <w:rPr>
          <w:rFonts w:ascii="Arial" w:eastAsia="Times New Roman" w:hAnsi="Arial" w:cs="Arial"/>
          <w:kern w:val="0"/>
          <w:sz w:val="24"/>
          <w:szCs w:val="24"/>
          <w:lang w:eastAsia="en-GB"/>
          <w14:ligatures w14:val="none"/>
        </w:rPr>
      </w:pPr>
    </w:p>
    <w:p w14:paraId="72E619FA" w14:textId="77777777" w:rsidR="004850D9" w:rsidRPr="007C1323" w:rsidRDefault="004850D9" w:rsidP="004850D9">
      <w:pPr>
        <w:spacing w:after="0" w:line="360" w:lineRule="auto"/>
        <w:jc w:val="both"/>
        <w:rPr>
          <w:rFonts w:ascii="Arial" w:eastAsia="Times New Roman" w:hAnsi="Arial" w:cs="Arial"/>
          <w:kern w:val="0"/>
          <w:sz w:val="24"/>
          <w:szCs w:val="24"/>
          <w:lang w:eastAsia="en-GB"/>
          <w14:ligatures w14:val="none"/>
        </w:rPr>
      </w:pPr>
    </w:p>
    <w:p w14:paraId="351802E7"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6BF5F8B6"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5584967C"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150FCC3F"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2574FF72"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6F0B8ABE"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491F93A5"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7430A297"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3E73B9DB"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43A0028B"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2DB5C362"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1872CB25"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0E4CA34E"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7BC1804D"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1EDE66FA"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7614F1CE"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7703BE22"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18AE9193"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0EB31DDB"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376DD4D1" w14:textId="77777777" w:rsidR="004850D9" w:rsidRPr="00B5224F" w:rsidRDefault="004850D9" w:rsidP="004850D9">
      <w:pPr>
        <w:spacing w:after="0" w:line="360" w:lineRule="auto"/>
        <w:jc w:val="both"/>
        <w:rPr>
          <w:rFonts w:ascii="Arial" w:eastAsia="Times New Roman" w:hAnsi="Arial" w:cs="Arial"/>
          <w:kern w:val="0"/>
          <w:sz w:val="24"/>
          <w:szCs w:val="24"/>
          <w:lang w:eastAsia="en-GB"/>
          <w14:ligatures w14:val="none"/>
        </w:rPr>
      </w:pPr>
    </w:p>
    <w:p w14:paraId="50DE3249" w14:textId="5AAC00EB" w:rsidR="004850D9" w:rsidRPr="007C1323" w:rsidRDefault="004850D9" w:rsidP="007C1323">
      <w:pPr>
        <w:pStyle w:val="EU"/>
        <w:numPr>
          <w:ilvl w:val="0"/>
          <w:numId w:val="2"/>
        </w:numPr>
        <w:spacing w:line="360" w:lineRule="auto"/>
        <w:rPr>
          <w:rFonts w:eastAsia="Times New Roman"/>
          <w:color w:val="auto"/>
        </w:rPr>
      </w:pPr>
      <w:bookmarkStart w:id="8" w:name="_Toc166179983"/>
      <w:r w:rsidRPr="007C1323">
        <w:rPr>
          <w:rFonts w:eastAsia="Times New Roman"/>
          <w:color w:val="auto"/>
        </w:rPr>
        <w:t>References</w:t>
      </w:r>
      <w:bookmarkEnd w:id="8"/>
      <w:r w:rsidRPr="007C1323">
        <w:rPr>
          <w:rFonts w:eastAsia="Times New Roman"/>
          <w:color w:val="auto"/>
        </w:rPr>
        <w:t xml:space="preserve"> </w:t>
      </w:r>
    </w:p>
    <w:p w14:paraId="7EC6AAC8" w14:textId="77777777" w:rsidR="004850D9" w:rsidRPr="007C1323" w:rsidRDefault="004850D9" w:rsidP="007C1323">
      <w:pPr>
        <w:spacing w:line="360" w:lineRule="auto"/>
        <w:jc w:val="both"/>
        <w:rPr>
          <w:rFonts w:ascii="Arial" w:eastAsia="Times New Roman" w:hAnsi="Arial" w:cs="Arial"/>
          <w:bCs/>
          <w:kern w:val="0"/>
          <w:sz w:val="24"/>
          <w:szCs w:val="24"/>
          <w:lang w:eastAsia="en-GB"/>
          <w14:ligatures w14:val="none"/>
        </w:rPr>
      </w:pPr>
    </w:p>
    <w:p w14:paraId="5394B84F" w14:textId="77777777" w:rsidR="0046462D" w:rsidRPr="007C1323" w:rsidRDefault="0046462D"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Atrill P, McLaney E (2021) Management Accounting for Decision Makers, FT Prentice Hall</w:t>
      </w:r>
    </w:p>
    <w:p w14:paraId="528AD425" w14:textId="77777777" w:rsidR="0046462D" w:rsidRPr="007C1323" w:rsidRDefault="0046462D" w:rsidP="007C1323">
      <w:pPr>
        <w:pStyle w:val="NormalWeb"/>
        <w:spacing w:before="0" w:beforeAutospacing="0" w:after="0" w:afterAutospacing="0" w:line="360" w:lineRule="auto"/>
        <w:jc w:val="both"/>
        <w:rPr>
          <w:rFonts w:ascii="Arial" w:hAnsi="Arial" w:cs="Arial"/>
          <w:bCs/>
        </w:rPr>
      </w:pPr>
    </w:p>
    <w:p w14:paraId="1B8D9575" w14:textId="0B6F93EE" w:rsidR="008A300F" w:rsidRPr="007C1323" w:rsidRDefault="008A300F"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Drury C (2021) (11th Ed) Management and Cost Accounting, London, Prentice Hall</w:t>
      </w:r>
    </w:p>
    <w:p w14:paraId="48B73CCC" w14:textId="77777777" w:rsidR="008A300F" w:rsidRPr="007C1323" w:rsidRDefault="008A300F" w:rsidP="007C1323">
      <w:pPr>
        <w:pStyle w:val="NormalWeb"/>
        <w:spacing w:before="0" w:beforeAutospacing="0" w:after="0" w:afterAutospacing="0" w:line="360" w:lineRule="auto"/>
        <w:jc w:val="both"/>
        <w:rPr>
          <w:rFonts w:ascii="Arial" w:hAnsi="Arial" w:cs="Arial"/>
          <w:bCs/>
        </w:rPr>
      </w:pPr>
    </w:p>
    <w:p w14:paraId="0FB56EEF" w14:textId="6381A3B6" w:rsidR="008A300F" w:rsidRPr="007C1323" w:rsidRDefault="008A300F"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Guilding,C.(2014) (3rd Edition) Accounting Essentials for Hospitality Managers, London, Routledge</w:t>
      </w:r>
    </w:p>
    <w:p w14:paraId="45AD9FC5" w14:textId="77777777" w:rsidR="008A300F" w:rsidRPr="007C1323" w:rsidRDefault="008A300F" w:rsidP="007C1323">
      <w:pPr>
        <w:pStyle w:val="NormalWeb"/>
        <w:spacing w:before="0" w:beforeAutospacing="0" w:after="0" w:afterAutospacing="0" w:line="360" w:lineRule="auto"/>
        <w:jc w:val="both"/>
        <w:rPr>
          <w:rFonts w:ascii="Arial" w:hAnsi="Arial" w:cs="Arial"/>
          <w:bCs/>
        </w:rPr>
      </w:pPr>
    </w:p>
    <w:p w14:paraId="4F5DCB60" w14:textId="21AB5A22" w:rsidR="00B50677" w:rsidRPr="007C1323" w:rsidRDefault="00B50677"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 xml:space="preserve">Kim, W.C. and Mauborgne, R. (2014). Blue Ocean Strategy, Expanded Edition: How to Create Uncontested Market Space and Make the Competition Irrelevant. [online] Google Books. Harvard Business Review Press. Available at: </w:t>
      </w:r>
      <w:hyperlink r:id="rId7" w:history="1">
        <w:r w:rsidR="001C47F5" w:rsidRPr="007C1323">
          <w:rPr>
            <w:rStyle w:val="Hyperlink"/>
            <w:rFonts w:ascii="Arial" w:hAnsi="Arial" w:cs="Arial"/>
            <w:bCs/>
            <w:color w:val="auto"/>
          </w:rPr>
          <w:t>https://www.google.co.uk/books/edition/Blue_Ocean_Strategy_Expanded_Edition/gwypBQAAQBAJ?hl=en&amp;gbpv=1&amp;dq=Kim</w:t>
        </w:r>
      </w:hyperlink>
      <w:r w:rsidRPr="007C1323">
        <w:rPr>
          <w:rFonts w:ascii="Arial" w:hAnsi="Arial" w:cs="Arial"/>
          <w:bCs/>
        </w:rPr>
        <w:t>.</w:t>
      </w:r>
    </w:p>
    <w:p w14:paraId="417F7EFB" w14:textId="77777777" w:rsidR="00226608" w:rsidRPr="007C1323" w:rsidRDefault="00226608" w:rsidP="007C1323">
      <w:pPr>
        <w:pStyle w:val="NormalWeb"/>
        <w:spacing w:before="0" w:beforeAutospacing="0" w:after="0" w:afterAutospacing="0" w:line="360" w:lineRule="auto"/>
        <w:jc w:val="both"/>
        <w:rPr>
          <w:rFonts w:ascii="Arial" w:hAnsi="Arial" w:cs="Arial"/>
          <w:bCs/>
        </w:rPr>
      </w:pPr>
    </w:p>
    <w:p w14:paraId="092CE0DB" w14:textId="3252C8B7" w:rsidR="00226608" w:rsidRPr="007C1323" w:rsidRDefault="00226608" w:rsidP="007C1323">
      <w:pPr>
        <w:pStyle w:val="NormalWeb"/>
        <w:spacing w:before="0" w:beforeAutospacing="0" w:after="0" w:afterAutospacing="0" w:line="360" w:lineRule="auto"/>
        <w:jc w:val="both"/>
        <w:rPr>
          <w:rFonts w:ascii="Arial" w:hAnsi="Arial" w:cs="Arial"/>
          <w:bCs/>
        </w:rPr>
      </w:pPr>
      <w:r w:rsidRPr="007C1323">
        <w:rPr>
          <w:rFonts w:ascii="Arial" w:hAnsi="Arial" w:cs="Arial"/>
          <w:bCs/>
          <w:shd w:val="clear" w:color="auto" w:fill="FFFFFF"/>
        </w:rPr>
        <w:t>Mauri, A.G., 2016. Pricing and revenue management in hotel chains. In The Routledge handbook of hotel chain management (pp. 262-273). Routledge.</w:t>
      </w:r>
    </w:p>
    <w:p w14:paraId="477395BF" w14:textId="77777777" w:rsidR="001C47F5" w:rsidRPr="007C1323" w:rsidRDefault="001C47F5" w:rsidP="007C1323">
      <w:pPr>
        <w:pStyle w:val="NormalWeb"/>
        <w:spacing w:before="0" w:beforeAutospacing="0" w:after="0" w:afterAutospacing="0" w:line="360" w:lineRule="auto"/>
        <w:jc w:val="both"/>
        <w:rPr>
          <w:rFonts w:ascii="Arial" w:hAnsi="Arial" w:cs="Arial"/>
          <w:bCs/>
        </w:rPr>
      </w:pPr>
    </w:p>
    <w:p w14:paraId="4F04D91E" w14:textId="10AFAC68" w:rsidR="000C0D05" w:rsidRPr="007C1323" w:rsidRDefault="000C0D05" w:rsidP="007C1323">
      <w:pPr>
        <w:pStyle w:val="NormalWeb"/>
        <w:spacing w:before="0" w:beforeAutospacing="0" w:after="0" w:afterAutospacing="0" w:line="360" w:lineRule="auto"/>
        <w:jc w:val="both"/>
        <w:rPr>
          <w:rFonts w:ascii="Arial" w:hAnsi="Arial" w:cs="Arial"/>
          <w:bCs/>
          <w:shd w:val="clear" w:color="auto" w:fill="FFFFFF"/>
        </w:rPr>
      </w:pPr>
      <w:r w:rsidRPr="007C1323">
        <w:rPr>
          <w:rFonts w:ascii="Arial" w:hAnsi="Arial" w:cs="Arial"/>
          <w:bCs/>
          <w:shd w:val="clear" w:color="auto" w:fill="FFFFFF"/>
        </w:rPr>
        <w:t>Nagle, T.T. and Müller, G., 2017. The strategy and tactics of pricing: A guide to growing more profitably. Routledge.</w:t>
      </w:r>
    </w:p>
    <w:p w14:paraId="595F2294" w14:textId="77777777" w:rsidR="000C0D05" w:rsidRPr="007C1323" w:rsidRDefault="000C0D05" w:rsidP="007C1323">
      <w:pPr>
        <w:pStyle w:val="NormalWeb"/>
        <w:spacing w:before="0" w:beforeAutospacing="0" w:after="0" w:afterAutospacing="0" w:line="360" w:lineRule="auto"/>
        <w:jc w:val="both"/>
        <w:rPr>
          <w:rFonts w:ascii="Arial" w:hAnsi="Arial" w:cs="Arial"/>
          <w:bCs/>
        </w:rPr>
      </w:pPr>
    </w:p>
    <w:p w14:paraId="6194C7DB" w14:textId="20488FDF" w:rsidR="001C47F5" w:rsidRPr="007C1323" w:rsidRDefault="001C47F5" w:rsidP="007C1323">
      <w:pPr>
        <w:pStyle w:val="NormalWeb"/>
        <w:spacing w:before="0" w:beforeAutospacing="0" w:after="0" w:afterAutospacing="0" w:line="360" w:lineRule="auto"/>
        <w:jc w:val="both"/>
        <w:rPr>
          <w:rFonts w:ascii="Arial" w:hAnsi="Arial" w:cs="Arial"/>
          <w:bCs/>
          <w:shd w:val="clear" w:color="auto" w:fill="FFFFFF"/>
        </w:rPr>
      </w:pPr>
      <w:r w:rsidRPr="007C1323">
        <w:rPr>
          <w:rFonts w:ascii="Arial" w:hAnsi="Arial" w:cs="Arial"/>
          <w:bCs/>
          <w:shd w:val="clear" w:color="auto" w:fill="FFFFFF"/>
        </w:rPr>
        <w:t>Porter, M.E., 2011. Competitive advantage of nations: creating and sustaining superior performance. simon and schuster.</w:t>
      </w:r>
    </w:p>
    <w:p w14:paraId="2914551E" w14:textId="77777777" w:rsidR="0046462D" w:rsidRPr="007C1323" w:rsidRDefault="0046462D" w:rsidP="007C1323">
      <w:pPr>
        <w:pStyle w:val="NormalWeb"/>
        <w:spacing w:before="0" w:beforeAutospacing="0" w:after="0" w:afterAutospacing="0" w:line="360" w:lineRule="auto"/>
        <w:jc w:val="both"/>
        <w:rPr>
          <w:rFonts w:ascii="Arial" w:hAnsi="Arial" w:cs="Arial"/>
          <w:bCs/>
          <w:shd w:val="clear" w:color="auto" w:fill="FFFFFF"/>
        </w:rPr>
      </w:pPr>
    </w:p>
    <w:p w14:paraId="30666E8B" w14:textId="406A5572" w:rsidR="0046462D" w:rsidRPr="007C1323" w:rsidRDefault="0046462D"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Seal W (2019) (6th Ed) Management Accounting, London, McGraw Hill</w:t>
      </w:r>
    </w:p>
    <w:p w14:paraId="259D1A1E" w14:textId="63880628" w:rsidR="009D741D" w:rsidRPr="007C1323" w:rsidRDefault="00B50677" w:rsidP="007C1323">
      <w:pPr>
        <w:pStyle w:val="NormalWeb"/>
        <w:spacing w:line="360" w:lineRule="auto"/>
        <w:jc w:val="both"/>
        <w:rPr>
          <w:rFonts w:ascii="Arial" w:hAnsi="Arial" w:cs="Arial"/>
          <w:bCs/>
        </w:rPr>
      </w:pPr>
      <w:r w:rsidRPr="007C1323">
        <w:rPr>
          <w:rFonts w:ascii="Arial" w:hAnsi="Arial" w:cs="Arial"/>
          <w:bCs/>
        </w:rPr>
        <w:t>‌</w:t>
      </w:r>
      <w:r w:rsidR="009D741D" w:rsidRPr="007C1323">
        <w:rPr>
          <w:rFonts w:ascii="Arial" w:hAnsi="Arial" w:cs="Arial"/>
          <w:bCs/>
        </w:rPr>
        <w:t xml:space="preserve">Shangri-la (2022). Luxury Hotels and Resorts | Official Site Shangri-La Hotels and Resorts. [online] Available at: </w:t>
      </w:r>
      <w:hyperlink r:id="rId8" w:history="1">
        <w:r w:rsidR="00C379C4" w:rsidRPr="007C1323">
          <w:rPr>
            <w:rStyle w:val="Hyperlink"/>
            <w:rFonts w:ascii="Arial" w:hAnsi="Arial" w:cs="Arial"/>
            <w:bCs/>
            <w:color w:val="auto"/>
          </w:rPr>
          <w:t>https://www.shangri-la.com/brand/</w:t>
        </w:r>
      </w:hyperlink>
      <w:r w:rsidR="009D741D" w:rsidRPr="007C1323">
        <w:rPr>
          <w:rFonts w:ascii="Arial" w:hAnsi="Arial" w:cs="Arial"/>
          <w:bCs/>
        </w:rPr>
        <w:t>.</w:t>
      </w:r>
    </w:p>
    <w:p w14:paraId="6FA62425" w14:textId="6796EC00" w:rsidR="00265D83" w:rsidRPr="007C1323" w:rsidRDefault="00265D83"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Shangri-La (2022).</w:t>
      </w:r>
      <w:r w:rsidR="00366CD9" w:rsidRPr="007C1323">
        <w:rPr>
          <w:rFonts w:ascii="Arial" w:hAnsi="Arial" w:cs="Arial"/>
          <w:bCs/>
        </w:rPr>
        <w:t xml:space="preserve"> Annual Report 2022. Available at: </w:t>
      </w:r>
      <w:hyperlink r:id="rId9" w:history="1">
        <w:r w:rsidR="00435D8D" w:rsidRPr="007C1323">
          <w:rPr>
            <w:rStyle w:val="Hyperlink"/>
            <w:rFonts w:ascii="Arial" w:hAnsi="Arial" w:cs="Arial"/>
            <w:bCs/>
            <w:color w:val="auto"/>
          </w:rPr>
          <w:t>https://sitecore-cd.shangri-la.com/-/media/Project/Shangri-La-Group/Investor/Files/Public-Disclosures/Latest-Top-Publications/e0069_230418_AR.pdf</w:t>
        </w:r>
      </w:hyperlink>
      <w:r w:rsidR="00366CD9" w:rsidRPr="007C1323">
        <w:rPr>
          <w:rFonts w:ascii="Arial" w:hAnsi="Arial" w:cs="Arial"/>
          <w:bCs/>
        </w:rPr>
        <w:t>.</w:t>
      </w:r>
    </w:p>
    <w:p w14:paraId="6EB173BC" w14:textId="77777777" w:rsidR="00435D8D" w:rsidRPr="007C1323" w:rsidRDefault="00435D8D" w:rsidP="007C1323">
      <w:pPr>
        <w:pStyle w:val="NormalWeb"/>
        <w:spacing w:before="0" w:beforeAutospacing="0" w:after="0" w:afterAutospacing="0" w:line="360" w:lineRule="auto"/>
        <w:jc w:val="both"/>
        <w:rPr>
          <w:rFonts w:ascii="Arial" w:hAnsi="Arial" w:cs="Arial"/>
          <w:bCs/>
        </w:rPr>
      </w:pPr>
    </w:p>
    <w:p w14:paraId="290632AF" w14:textId="5CED387B" w:rsidR="00265D83" w:rsidRDefault="00265D83"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Shangri-La (2023)</w:t>
      </w:r>
      <w:r w:rsidR="00AA16C4" w:rsidRPr="007C1323">
        <w:rPr>
          <w:rFonts w:ascii="Arial" w:hAnsi="Arial" w:cs="Arial"/>
          <w:bCs/>
        </w:rPr>
        <w:t xml:space="preserve"> Annual Report 2023. [online] Available at: </w:t>
      </w:r>
      <w:hyperlink r:id="rId10" w:history="1">
        <w:r w:rsidR="007C1323" w:rsidRPr="00443B08">
          <w:rPr>
            <w:rStyle w:val="Hyperlink"/>
            <w:rFonts w:ascii="Arial" w:hAnsi="Arial" w:cs="Arial"/>
            <w:bCs/>
          </w:rPr>
          <w:t>https://www.shangri-la.com/group/investors/public-disclosures</w:t>
        </w:r>
      </w:hyperlink>
      <w:r w:rsidR="00AA16C4" w:rsidRPr="007C1323">
        <w:rPr>
          <w:rFonts w:ascii="Arial" w:hAnsi="Arial" w:cs="Arial"/>
          <w:bCs/>
        </w:rPr>
        <w:t>.</w:t>
      </w:r>
    </w:p>
    <w:p w14:paraId="3DE71087" w14:textId="77777777" w:rsidR="007C1323" w:rsidRPr="007C1323" w:rsidRDefault="007C1323" w:rsidP="007C1323">
      <w:pPr>
        <w:pStyle w:val="NormalWeb"/>
        <w:spacing w:before="0" w:beforeAutospacing="0" w:after="0" w:afterAutospacing="0" w:line="360" w:lineRule="auto"/>
        <w:jc w:val="both"/>
        <w:rPr>
          <w:rFonts w:ascii="Arial" w:hAnsi="Arial" w:cs="Arial"/>
          <w:bCs/>
        </w:rPr>
      </w:pPr>
    </w:p>
    <w:p w14:paraId="492E860A" w14:textId="6BC64651" w:rsidR="00C379C4" w:rsidRPr="007C1323" w:rsidRDefault="00C379C4"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 xml:space="preserve">Shangri-La Group (2020). Shangrila-La Group. [online] Shangri-la.com. Available at: </w:t>
      </w:r>
      <w:hyperlink r:id="rId11" w:history="1">
        <w:r w:rsidR="0055384A" w:rsidRPr="007C1323">
          <w:rPr>
            <w:rStyle w:val="Hyperlink"/>
            <w:rFonts w:ascii="Arial" w:hAnsi="Arial" w:cs="Arial"/>
            <w:bCs/>
            <w:color w:val="auto"/>
          </w:rPr>
          <w:t>https://www.shangri-la.com/group/our-story/</w:t>
        </w:r>
      </w:hyperlink>
      <w:r w:rsidRPr="007C1323">
        <w:rPr>
          <w:rFonts w:ascii="Arial" w:hAnsi="Arial" w:cs="Arial"/>
          <w:bCs/>
        </w:rPr>
        <w:t>.</w:t>
      </w:r>
    </w:p>
    <w:p w14:paraId="254558E5" w14:textId="77777777" w:rsidR="00A75CE6" w:rsidRPr="007C1323" w:rsidRDefault="00A75CE6" w:rsidP="007C1323">
      <w:pPr>
        <w:pStyle w:val="NormalWeb"/>
        <w:spacing w:before="0" w:beforeAutospacing="0" w:after="0" w:afterAutospacing="0" w:line="360" w:lineRule="auto"/>
        <w:jc w:val="both"/>
        <w:rPr>
          <w:rFonts w:ascii="Arial" w:hAnsi="Arial" w:cs="Arial"/>
          <w:bCs/>
        </w:rPr>
      </w:pPr>
    </w:p>
    <w:p w14:paraId="2F63A29B" w14:textId="4E165B97" w:rsidR="00A75CE6" w:rsidRPr="007C1323" w:rsidRDefault="00A75CE6"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 xml:space="preserve">Shangri-La Sustainability (2022). Sustainability Report 2022. [online]. Available at: </w:t>
      </w:r>
      <w:hyperlink r:id="rId12" w:history="1">
        <w:r w:rsidRPr="007C1323">
          <w:rPr>
            <w:rStyle w:val="Hyperlink"/>
            <w:rFonts w:ascii="Arial" w:hAnsi="Arial" w:cs="Arial"/>
            <w:bCs/>
            <w:color w:val="auto"/>
          </w:rPr>
          <w:t>https://www.shangri-la.com/group/sustainability/report</w:t>
        </w:r>
      </w:hyperlink>
      <w:r w:rsidRPr="007C1323">
        <w:rPr>
          <w:rFonts w:ascii="Arial" w:hAnsi="Arial" w:cs="Arial"/>
          <w:bCs/>
        </w:rPr>
        <w:t>.</w:t>
      </w:r>
    </w:p>
    <w:p w14:paraId="15426684" w14:textId="77777777" w:rsidR="00A75CE6" w:rsidRPr="007C1323" w:rsidRDefault="00A75CE6" w:rsidP="007C1323">
      <w:pPr>
        <w:pStyle w:val="NormalWeb"/>
        <w:spacing w:before="0" w:beforeAutospacing="0" w:after="0" w:afterAutospacing="0" w:line="360" w:lineRule="auto"/>
        <w:jc w:val="both"/>
        <w:rPr>
          <w:rFonts w:ascii="Arial" w:hAnsi="Arial" w:cs="Arial"/>
          <w:bCs/>
        </w:rPr>
      </w:pPr>
    </w:p>
    <w:p w14:paraId="61296D33" w14:textId="77777777" w:rsidR="00265D83" w:rsidRPr="007C1323" w:rsidRDefault="00265D83" w:rsidP="007C1323">
      <w:pPr>
        <w:pStyle w:val="NormalWeb"/>
        <w:spacing w:before="0" w:beforeAutospacing="0" w:after="0" w:afterAutospacing="0" w:line="360" w:lineRule="auto"/>
        <w:jc w:val="both"/>
        <w:rPr>
          <w:rFonts w:ascii="Arial" w:hAnsi="Arial" w:cs="Arial"/>
          <w:bCs/>
        </w:rPr>
      </w:pPr>
    </w:p>
    <w:p w14:paraId="2B7CE6B6" w14:textId="66E756B2" w:rsidR="0055384A" w:rsidRPr="007C1323" w:rsidRDefault="00265D83"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 xml:space="preserve">Shangri-La Sustainability (2023). </w:t>
      </w:r>
      <w:r w:rsidR="00435D8D" w:rsidRPr="007C1323">
        <w:rPr>
          <w:rFonts w:ascii="Arial" w:hAnsi="Arial" w:cs="Arial"/>
          <w:bCs/>
        </w:rPr>
        <w:t>Sustainability</w:t>
      </w:r>
      <w:r w:rsidR="002B7F12" w:rsidRPr="007C1323">
        <w:rPr>
          <w:rFonts w:ascii="Arial" w:hAnsi="Arial" w:cs="Arial"/>
          <w:bCs/>
        </w:rPr>
        <w:t xml:space="preserve"> Report 2023</w:t>
      </w:r>
      <w:r w:rsidR="00435D8D" w:rsidRPr="007C1323">
        <w:rPr>
          <w:rFonts w:ascii="Arial" w:hAnsi="Arial" w:cs="Arial"/>
          <w:bCs/>
        </w:rPr>
        <w:t xml:space="preserve">. [online]. Available at: </w:t>
      </w:r>
      <w:hyperlink r:id="rId13" w:history="1">
        <w:r w:rsidR="00435D8D" w:rsidRPr="007C1323">
          <w:rPr>
            <w:rStyle w:val="Hyperlink"/>
            <w:rFonts w:ascii="Arial" w:hAnsi="Arial" w:cs="Arial"/>
            <w:bCs/>
            <w:color w:val="auto"/>
          </w:rPr>
          <w:t>https://www.shangri-la.com/group/sustainability/report</w:t>
        </w:r>
      </w:hyperlink>
      <w:r w:rsidR="00435D8D" w:rsidRPr="007C1323">
        <w:rPr>
          <w:rFonts w:ascii="Arial" w:hAnsi="Arial" w:cs="Arial"/>
          <w:bCs/>
        </w:rPr>
        <w:t>.</w:t>
      </w:r>
    </w:p>
    <w:p w14:paraId="4E609268" w14:textId="77777777" w:rsidR="00435D8D" w:rsidRPr="007C1323" w:rsidRDefault="00435D8D" w:rsidP="007C1323">
      <w:pPr>
        <w:pStyle w:val="NormalWeb"/>
        <w:spacing w:before="0" w:beforeAutospacing="0" w:after="0" w:afterAutospacing="0" w:line="360" w:lineRule="auto"/>
        <w:jc w:val="both"/>
        <w:rPr>
          <w:rFonts w:ascii="Arial" w:hAnsi="Arial" w:cs="Arial"/>
          <w:bCs/>
        </w:rPr>
      </w:pPr>
    </w:p>
    <w:p w14:paraId="6BDB507A" w14:textId="1D8EDAF4" w:rsidR="00265D83" w:rsidRPr="007C1323" w:rsidRDefault="00265D83"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Travelodge (2022).</w:t>
      </w:r>
      <w:r w:rsidR="000D0EA7" w:rsidRPr="007C1323">
        <w:rPr>
          <w:rFonts w:ascii="Arial" w:hAnsi="Arial" w:cs="Arial"/>
          <w:bCs/>
        </w:rPr>
        <w:t xml:space="preserve"> Annual Report 2022. Travelodge Investor Site. [online] Available at: </w:t>
      </w:r>
      <w:hyperlink r:id="rId14" w:history="1">
        <w:r w:rsidR="001C14BE" w:rsidRPr="007C1323">
          <w:rPr>
            <w:rStyle w:val="Hyperlink"/>
            <w:rFonts w:ascii="Arial" w:hAnsi="Arial" w:cs="Arial"/>
            <w:bCs/>
            <w:color w:val="auto"/>
          </w:rPr>
          <w:t>https://www.travelodge.co.uk/investors/home</w:t>
        </w:r>
      </w:hyperlink>
      <w:r w:rsidR="000D0EA7" w:rsidRPr="007C1323">
        <w:rPr>
          <w:rFonts w:ascii="Arial" w:hAnsi="Arial" w:cs="Arial"/>
          <w:bCs/>
        </w:rPr>
        <w:t>.</w:t>
      </w:r>
    </w:p>
    <w:p w14:paraId="5938CBFB" w14:textId="77777777" w:rsidR="001C14BE" w:rsidRPr="007C1323" w:rsidRDefault="001C14BE" w:rsidP="007C1323">
      <w:pPr>
        <w:pStyle w:val="NormalWeb"/>
        <w:spacing w:before="0" w:beforeAutospacing="0" w:after="0" w:afterAutospacing="0" w:line="360" w:lineRule="auto"/>
        <w:jc w:val="both"/>
        <w:rPr>
          <w:rFonts w:ascii="Arial" w:hAnsi="Arial" w:cs="Arial"/>
          <w:bCs/>
        </w:rPr>
      </w:pPr>
    </w:p>
    <w:p w14:paraId="29A52398" w14:textId="4AAE20A3" w:rsidR="001C14BE" w:rsidRPr="007C1323" w:rsidRDefault="001C14BE"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Travelodge (2022). Annual Report 2022. Travelodge Investor Site. [online] Available at: https://www.travelodgesustainability.co.uk/wp-content/uploads/sites/2/2022/05/Better-Future-Report-2022.pdf</w:t>
      </w:r>
    </w:p>
    <w:p w14:paraId="382FFC9F" w14:textId="77777777" w:rsidR="00265D83" w:rsidRPr="007C1323" w:rsidRDefault="00265D83" w:rsidP="007C1323">
      <w:pPr>
        <w:pStyle w:val="NormalWeb"/>
        <w:spacing w:before="0" w:beforeAutospacing="0" w:after="0" w:afterAutospacing="0" w:line="360" w:lineRule="auto"/>
        <w:jc w:val="both"/>
        <w:rPr>
          <w:rFonts w:ascii="Arial" w:hAnsi="Arial" w:cs="Arial"/>
          <w:bCs/>
        </w:rPr>
      </w:pPr>
    </w:p>
    <w:p w14:paraId="7B2EEFFE" w14:textId="0205DA6E" w:rsidR="001C14BE" w:rsidRPr="007C1323" w:rsidRDefault="00265D83"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Travelodge (2023).</w:t>
      </w:r>
      <w:r w:rsidR="000D0EA7" w:rsidRPr="007C1323">
        <w:rPr>
          <w:rFonts w:ascii="Arial" w:hAnsi="Arial" w:cs="Arial"/>
          <w:bCs/>
        </w:rPr>
        <w:t xml:space="preserve"> Annual Report 2023. Travelodge Investor Site. [online] Available at: https://www.travelodge.co.uk/investors/home.</w:t>
      </w:r>
    </w:p>
    <w:p w14:paraId="763BA2AA" w14:textId="77777777" w:rsidR="00265D83" w:rsidRPr="007C1323" w:rsidRDefault="00265D83" w:rsidP="007C1323">
      <w:pPr>
        <w:pStyle w:val="NormalWeb"/>
        <w:spacing w:before="0" w:beforeAutospacing="0" w:after="0" w:afterAutospacing="0" w:line="360" w:lineRule="auto"/>
        <w:jc w:val="both"/>
        <w:rPr>
          <w:rFonts w:ascii="Arial" w:hAnsi="Arial" w:cs="Arial"/>
          <w:bCs/>
        </w:rPr>
      </w:pPr>
    </w:p>
    <w:p w14:paraId="05FD5E3C" w14:textId="28DA35E5" w:rsidR="00620908" w:rsidRPr="007C1323" w:rsidRDefault="00620908"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 xml:space="preserve">Travelodge (2023). </w:t>
      </w:r>
      <w:r w:rsidR="000322C9" w:rsidRPr="007C1323">
        <w:rPr>
          <w:rFonts w:ascii="Arial" w:hAnsi="Arial" w:cs="Arial"/>
          <w:bCs/>
        </w:rPr>
        <w:t>Better Future. Our Sustainability Plan 2023. Available at: https://www.travelodgesustainability.co.uk/wp-content/uploads/sites/2/2023/05/Better-Future-Report-2023.pdf.</w:t>
      </w:r>
    </w:p>
    <w:p w14:paraId="41D5A64C" w14:textId="77777777" w:rsidR="00620908" w:rsidRPr="007C1323" w:rsidRDefault="00620908" w:rsidP="007C1323">
      <w:pPr>
        <w:pStyle w:val="NormalWeb"/>
        <w:spacing w:before="0" w:beforeAutospacing="0" w:after="0" w:afterAutospacing="0" w:line="360" w:lineRule="auto"/>
        <w:jc w:val="both"/>
        <w:rPr>
          <w:rFonts w:ascii="Arial" w:hAnsi="Arial" w:cs="Arial"/>
          <w:bCs/>
        </w:rPr>
      </w:pPr>
    </w:p>
    <w:p w14:paraId="15CD3460" w14:textId="77AE1151" w:rsidR="0055384A" w:rsidRPr="007C1323" w:rsidRDefault="0055384A"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Travelodge (2024). Travelodge Investor Site. [online] Available at: https://www.travelodge.co.uk/investors/home.</w:t>
      </w:r>
    </w:p>
    <w:p w14:paraId="21008267" w14:textId="77777777" w:rsidR="00580EBD" w:rsidRPr="007C1323" w:rsidRDefault="009D741D"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w:t>
      </w:r>
    </w:p>
    <w:p w14:paraId="31F65AF7" w14:textId="64295721" w:rsidR="00580EBD" w:rsidRPr="007C1323" w:rsidRDefault="00580EBD" w:rsidP="007C1323">
      <w:pPr>
        <w:pStyle w:val="NormalWeb"/>
        <w:spacing w:before="0" w:beforeAutospacing="0" w:after="0" w:afterAutospacing="0" w:line="360" w:lineRule="auto"/>
        <w:jc w:val="both"/>
        <w:rPr>
          <w:rFonts w:ascii="Arial" w:hAnsi="Arial" w:cs="Arial"/>
          <w:bCs/>
        </w:rPr>
      </w:pPr>
      <w:r w:rsidRPr="007C1323">
        <w:rPr>
          <w:rFonts w:ascii="Arial" w:hAnsi="Arial" w:cs="Arial"/>
          <w:bCs/>
        </w:rPr>
        <w:t>Travelodge Corporate Website. (n.d.). Company Overview. [online] Available at: https://travelodge.co.uk/our-business/about-us/company-overview/.</w:t>
      </w:r>
    </w:p>
    <w:p w14:paraId="530C7B1D" w14:textId="00062CD6" w:rsidR="00580EBD" w:rsidRPr="007C1323" w:rsidRDefault="00580EBD" w:rsidP="007C1323">
      <w:pPr>
        <w:pStyle w:val="NormalWeb"/>
        <w:spacing w:line="360" w:lineRule="auto"/>
        <w:jc w:val="both"/>
        <w:rPr>
          <w:rFonts w:ascii="Arial" w:hAnsi="Arial" w:cs="Arial"/>
          <w:bCs/>
        </w:rPr>
      </w:pPr>
      <w:r w:rsidRPr="007C1323">
        <w:rPr>
          <w:rFonts w:ascii="Arial" w:hAnsi="Arial" w:cs="Arial"/>
          <w:bCs/>
        </w:rPr>
        <w:t>‌</w:t>
      </w:r>
      <w:r w:rsidR="004D3AC8" w:rsidRPr="007C1323">
        <w:rPr>
          <w:rFonts w:ascii="Arial" w:hAnsi="Arial" w:cs="Arial"/>
          <w:bCs/>
        </w:rPr>
        <w:t>Walker J (2021) Introduction to Hospitality, Harlow, Pearson</w:t>
      </w:r>
    </w:p>
    <w:p w14:paraId="16FFA667" w14:textId="20DBE905" w:rsidR="009D741D" w:rsidRPr="007C1323" w:rsidRDefault="009D741D" w:rsidP="007C1323">
      <w:pPr>
        <w:pStyle w:val="NormalWeb"/>
        <w:spacing w:line="360" w:lineRule="auto"/>
        <w:jc w:val="both"/>
        <w:rPr>
          <w:rFonts w:ascii="Arial" w:hAnsi="Arial" w:cs="Arial"/>
          <w:bCs/>
        </w:rPr>
      </w:pPr>
    </w:p>
    <w:p w14:paraId="25F352B8" w14:textId="47B448D3" w:rsidR="008D221E" w:rsidRPr="007C1323" w:rsidRDefault="008D221E" w:rsidP="007C1323">
      <w:pPr>
        <w:spacing w:line="360" w:lineRule="auto"/>
        <w:jc w:val="both"/>
        <w:rPr>
          <w:rFonts w:ascii="Arial" w:hAnsi="Arial" w:cs="Arial"/>
          <w:bCs/>
          <w:sz w:val="24"/>
          <w:szCs w:val="24"/>
        </w:rPr>
      </w:pPr>
    </w:p>
    <w:sectPr w:rsidR="008D221E" w:rsidRPr="007C132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B5FDC" w14:textId="77777777" w:rsidR="008D221E" w:rsidRDefault="008D221E" w:rsidP="008D221E">
      <w:pPr>
        <w:spacing w:after="0" w:line="240" w:lineRule="auto"/>
      </w:pPr>
      <w:r>
        <w:separator/>
      </w:r>
    </w:p>
  </w:endnote>
  <w:endnote w:type="continuationSeparator" w:id="0">
    <w:p w14:paraId="526F6E7D" w14:textId="77777777" w:rsidR="008D221E" w:rsidRDefault="008D221E" w:rsidP="008D2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438377"/>
      <w:docPartObj>
        <w:docPartGallery w:val="Page Numbers (Bottom of Page)"/>
        <w:docPartUnique/>
      </w:docPartObj>
    </w:sdtPr>
    <w:sdtEndPr>
      <w:rPr>
        <w:noProof/>
      </w:rPr>
    </w:sdtEndPr>
    <w:sdtContent>
      <w:p w14:paraId="735CF4E0" w14:textId="242946B9" w:rsidR="008D221E" w:rsidRDefault="008D22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3906D" w14:textId="77777777" w:rsidR="008D221E" w:rsidRDefault="008D2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AE848" w14:textId="77777777" w:rsidR="008D221E" w:rsidRDefault="008D221E" w:rsidP="008D221E">
      <w:pPr>
        <w:spacing w:after="0" w:line="240" w:lineRule="auto"/>
      </w:pPr>
      <w:r>
        <w:separator/>
      </w:r>
    </w:p>
  </w:footnote>
  <w:footnote w:type="continuationSeparator" w:id="0">
    <w:p w14:paraId="7258939D" w14:textId="77777777" w:rsidR="008D221E" w:rsidRDefault="008D221E" w:rsidP="008D22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987761"/>
    <w:multiLevelType w:val="hybridMultilevel"/>
    <w:tmpl w:val="F60A8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750653"/>
    <w:multiLevelType w:val="hybridMultilevel"/>
    <w:tmpl w:val="68A04D68"/>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169856">
    <w:abstractNumId w:val="0"/>
  </w:num>
  <w:num w:numId="2" w16cid:durableId="18098627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E"/>
    <w:rsid w:val="000322C9"/>
    <w:rsid w:val="00054066"/>
    <w:rsid w:val="000C0D05"/>
    <w:rsid w:val="000D0EA7"/>
    <w:rsid w:val="0012418A"/>
    <w:rsid w:val="0018148B"/>
    <w:rsid w:val="001C14BE"/>
    <w:rsid w:val="001C25AC"/>
    <w:rsid w:val="001C47F5"/>
    <w:rsid w:val="00214C85"/>
    <w:rsid w:val="00226608"/>
    <w:rsid w:val="002533CE"/>
    <w:rsid w:val="00265D83"/>
    <w:rsid w:val="002B7F12"/>
    <w:rsid w:val="00366CD9"/>
    <w:rsid w:val="00383DEF"/>
    <w:rsid w:val="003A36C5"/>
    <w:rsid w:val="003D7E86"/>
    <w:rsid w:val="00435D8D"/>
    <w:rsid w:val="0046462D"/>
    <w:rsid w:val="004850D9"/>
    <w:rsid w:val="004B4E44"/>
    <w:rsid w:val="004B74F9"/>
    <w:rsid w:val="004D3AC8"/>
    <w:rsid w:val="005009A7"/>
    <w:rsid w:val="00517676"/>
    <w:rsid w:val="0055384A"/>
    <w:rsid w:val="00580EBD"/>
    <w:rsid w:val="0061048F"/>
    <w:rsid w:val="00620908"/>
    <w:rsid w:val="00683644"/>
    <w:rsid w:val="006E782A"/>
    <w:rsid w:val="006F5504"/>
    <w:rsid w:val="00730160"/>
    <w:rsid w:val="007373F7"/>
    <w:rsid w:val="00764B5E"/>
    <w:rsid w:val="007A216B"/>
    <w:rsid w:val="007B0CC3"/>
    <w:rsid w:val="007C1323"/>
    <w:rsid w:val="007D74B0"/>
    <w:rsid w:val="00891F96"/>
    <w:rsid w:val="008A2B86"/>
    <w:rsid w:val="008A300F"/>
    <w:rsid w:val="008D221E"/>
    <w:rsid w:val="008D4848"/>
    <w:rsid w:val="008E66DE"/>
    <w:rsid w:val="00917295"/>
    <w:rsid w:val="00966734"/>
    <w:rsid w:val="00995C9B"/>
    <w:rsid w:val="009A14F6"/>
    <w:rsid w:val="009B0CE1"/>
    <w:rsid w:val="009D741D"/>
    <w:rsid w:val="009E0561"/>
    <w:rsid w:val="00A75CE6"/>
    <w:rsid w:val="00A942DC"/>
    <w:rsid w:val="00AA16C4"/>
    <w:rsid w:val="00AA2DDB"/>
    <w:rsid w:val="00B137B9"/>
    <w:rsid w:val="00B151A8"/>
    <w:rsid w:val="00B210B6"/>
    <w:rsid w:val="00B50677"/>
    <w:rsid w:val="00B5224F"/>
    <w:rsid w:val="00B936B7"/>
    <w:rsid w:val="00BF2A2F"/>
    <w:rsid w:val="00C05CD6"/>
    <w:rsid w:val="00C16771"/>
    <w:rsid w:val="00C379C4"/>
    <w:rsid w:val="00C7617B"/>
    <w:rsid w:val="00C80377"/>
    <w:rsid w:val="00C82D1F"/>
    <w:rsid w:val="00C96E3C"/>
    <w:rsid w:val="00CF0C88"/>
    <w:rsid w:val="00D821BB"/>
    <w:rsid w:val="00DA22EF"/>
    <w:rsid w:val="00DA4638"/>
    <w:rsid w:val="00DD0430"/>
    <w:rsid w:val="00E50046"/>
    <w:rsid w:val="00E54349"/>
    <w:rsid w:val="00E95CB7"/>
    <w:rsid w:val="00EA21CF"/>
    <w:rsid w:val="00EA5219"/>
    <w:rsid w:val="00F0280E"/>
    <w:rsid w:val="00F62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EFCD5"/>
  <w15:chartTrackingRefBased/>
  <w15:docId w15:val="{D984CF4E-9DF3-4D6A-85F7-CE786ED36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D22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22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22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22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22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22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22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22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D22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22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22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22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22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22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22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221E"/>
    <w:rPr>
      <w:rFonts w:eastAsiaTheme="majorEastAsia" w:cstheme="majorBidi"/>
      <w:color w:val="272727" w:themeColor="text1" w:themeTint="D8"/>
    </w:rPr>
  </w:style>
  <w:style w:type="paragraph" w:styleId="Title">
    <w:name w:val="Title"/>
    <w:basedOn w:val="Normal"/>
    <w:next w:val="Normal"/>
    <w:link w:val="TitleChar"/>
    <w:uiPriority w:val="10"/>
    <w:qFormat/>
    <w:rsid w:val="008D22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22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22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22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221E"/>
    <w:pPr>
      <w:spacing w:before="160"/>
      <w:jc w:val="center"/>
    </w:pPr>
    <w:rPr>
      <w:i/>
      <w:iCs/>
      <w:color w:val="404040" w:themeColor="text1" w:themeTint="BF"/>
    </w:rPr>
  </w:style>
  <w:style w:type="character" w:customStyle="1" w:styleId="QuoteChar">
    <w:name w:val="Quote Char"/>
    <w:basedOn w:val="DefaultParagraphFont"/>
    <w:link w:val="Quote"/>
    <w:uiPriority w:val="29"/>
    <w:rsid w:val="008D221E"/>
    <w:rPr>
      <w:i/>
      <w:iCs/>
      <w:color w:val="404040" w:themeColor="text1" w:themeTint="BF"/>
    </w:rPr>
  </w:style>
  <w:style w:type="paragraph" w:styleId="ListParagraph">
    <w:name w:val="List Paragraph"/>
    <w:basedOn w:val="Normal"/>
    <w:uiPriority w:val="34"/>
    <w:qFormat/>
    <w:rsid w:val="008D221E"/>
    <w:pPr>
      <w:ind w:left="720"/>
      <w:contextualSpacing/>
    </w:pPr>
  </w:style>
  <w:style w:type="character" w:styleId="IntenseEmphasis">
    <w:name w:val="Intense Emphasis"/>
    <w:basedOn w:val="DefaultParagraphFont"/>
    <w:uiPriority w:val="21"/>
    <w:qFormat/>
    <w:rsid w:val="008D221E"/>
    <w:rPr>
      <w:i/>
      <w:iCs/>
      <w:color w:val="0F4761" w:themeColor="accent1" w:themeShade="BF"/>
    </w:rPr>
  </w:style>
  <w:style w:type="paragraph" w:styleId="IntenseQuote">
    <w:name w:val="Intense Quote"/>
    <w:basedOn w:val="Normal"/>
    <w:next w:val="Normal"/>
    <w:link w:val="IntenseQuoteChar"/>
    <w:uiPriority w:val="30"/>
    <w:qFormat/>
    <w:rsid w:val="008D22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221E"/>
    <w:rPr>
      <w:i/>
      <w:iCs/>
      <w:color w:val="0F4761" w:themeColor="accent1" w:themeShade="BF"/>
    </w:rPr>
  </w:style>
  <w:style w:type="character" w:styleId="IntenseReference">
    <w:name w:val="Intense Reference"/>
    <w:basedOn w:val="DefaultParagraphFont"/>
    <w:uiPriority w:val="32"/>
    <w:qFormat/>
    <w:rsid w:val="008D221E"/>
    <w:rPr>
      <w:b/>
      <w:bCs/>
      <w:smallCaps/>
      <w:color w:val="0F4761" w:themeColor="accent1" w:themeShade="BF"/>
      <w:spacing w:val="5"/>
    </w:rPr>
  </w:style>
  <w:style w:type="paragraph" w:styleId="Header">
    <w:name w:val="header"/>
    <w:basedOn w:val="Normal"/>
    <w:link w:val="HeaderChar"/>
    <w:uiPriority w:val="99"/>
    <w:unhideWhenUsed/>
    <w:rsid w:val="008D2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21E"/>
  </w:style>
  <w:style w:type="paragraph" w:styleId="Footer">
    <w:name w:val="footer"/>
    <w:basedOn w:val="Normal"/>
    <w:link w:val="FooterChar"/>
    <w:uiPriority w:val="99"/>
    <w:unhideWhenUsed/>
    <w:rsid w:val="008D2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21E"/>
  </w:style>
  <w:style w:type="paragraph" w:styleId="TOCHeading">
    <w:name w:val="TOC Heading"/>
    <w:basedOn w:val="Heading1"/>
    <w:next w:val="Normal"/>
    <w:uiPriority w:val="39"/>
    <w:unhideWhenUsed/>
    <w:qFormat/>
    <w:rsid w:val="00B5224F"/>
    <w:pPr>
      <w:outlineLvl w:val="9"/>
    </w:pPr>
    <w:rPr>
      <w:kern w:val="0"/>
      <w:lang w:val="en-US"/>
      <w14:ligatures w14:val="none"/>
    </w:rPr>
  </w:style>
  <w:style w:type="paragraph" w:styleId="TOC1">
    <w:name w:val="toc 1"/>
    <w:basedOn w:val="Normal"/>
    <w:next w:val="Normal"/>
    <w:autoRedefine/>
    <w:uiPriority w:val="39"/>
    <w:unhideWhenUsed/>
    <w:rsid w:val="00B5224F"/>
    <w:pPr>
      <w:spacing w:after="100"/>
    </w:pPr>
  </w:style>
  <w:style w:type="character" w:styleId="Hyperlink">
    <w:name w:val="Hyperlink"/>
    <w:basedOn w:val="DefaultParagraphFont"/>
    <w:uiPriority w:val="99"/>
    <w:unhideWhenUsed/>
    <w:rsid w:val="00B5224F"/>
    <w:rPr>
      <w:color w:val="467886" w:themeColor="hyperlink"/>
      <w:u w:val="single"/>
    </w:rPr>
  </w:style>
  <w:style w:type="paragraph" w:styleId="NormalWeb">
    <w:name w:val="Normal (Web)"/>
    <w:basedOn w:val="Normal"/>
    <w:uiPriority w:val="99"/>
    <w:semiHidden/>
    <w:unhideWhenUsed/>
    <w:rsid w:val="009D74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C47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5726">
      <w:bodyDiv w:val="1"/>
      <w:marLeft w:val="0"/>
      <w:marRight w:val="0"/>
      <w:marTop w:val="0"/>
      <w:marBottom w:val="0"/>
      <w:divBdr>
        <w:top w:val="none" w:sz="0" w:space="0" w:color="auto"/>
        <w:left w:val="none" w:sz="0" w:space="0" w:color="auto"/>
        <w:bottom w:val="none" w:sz="0" w:space="0" w:color="auto"/>
        <w:right w:val="none" w:sz="0" w:space="0" w:color="auto"/>
      </w:divBdr>
    </w:div>
    <w:div w:id="105392230">
      <w:bodyDiv w:val="1"/>
      <w:marLeft w:val="0"/>
      <w:marRight w:val="0"/>
      <w:marTop w:val="0"/>
      <w:marBottom w:val="0"/>
      <w:divBdr>
        <w:top w:val="none" w:sz="0" w:space="0" w:color="auto"/>
        <w:left w:val="none" w:sz="0" w:space="0" w:color="auto"/>
        <w:bottom w:val="none" w:sz="0" w:space="0" w:color="auto"/>
        <w:right w:val="none" w:sz="0" w:space="0" w:color="auto"/>
      </w:divBdr>
    </w:div>
    <w:div w:id="171534028">
      <w:bodyDiv w:val="1"/>
      <w:marLeft w:val="0"/>
      <w:marRight w:val="0"/>
      <w:marTop w:val="0"/>
      <w:marBottom w:val="0"/>
      <w:divBdr>
        <w:top w:val="none" w:sz="0" w:space="0" w:color="auto"/>
        <w:left w:val="none" w:sz="0" w:space="0" w:color="auto"/>
        <w:bottom w:val="none" w:sz="0" w:space="0" w:color="auto"/>
        <w:right w:val="none" w:sz="0" w:space="0" w:color="auto"/>
      </w:divBdr>
    </w:div>
    <w:div w:id="181087251">
      <w:bodyDiv w:val="1"/>
      <w:marLeft w:val="0"/>
      <w:marRight w:val="0"/>
      <w:marTop w:val="0"/>
      <w:marBottom w:val="0"/>
      <w:divBdr>
        <w:top w:val="none" w:sz="0" w:space="0" w:color="auto"/>
        <w:left w:val="none" w:sz="0" w:space="0" w:color="auto"/>
        <w:bottom w:val="none" w:sz="0" w:space="0" w:color="auto"/>
        <w:right w:val="none" w:sz="0" w:space="0" w:color="auto"/>
      </w:divBdr>
    </w:div>
    <w:div w:id="237372195">
      <w:bodyDiv w:val="1"/>
      <w:marLeft w:val="0"/>
      <w:marRight w:val="0"/>
      <w:marTop w:val="0"/>
      <w:marBottom w:val="0"/>
      <w:divBdr>
        <w:top w:val="none" w:sz="0" w:space="0" w:color="auto"/>
        <w:left w:val="none" w:sz="0" w:space="0" w:color="auto"/>
        <w:bottom w:val="none" w:sz="0" w:space="0" w:color="auto"/>
        <w:right w:val="none" w:sz="0" w:space="0" w:color="auto"/>
      </w:divBdr>
    </w:div>
    <w:div w:id="284584229">
      <w:bodyDiv w:val="1"/>
      <w:marLeft w:val="0"/>
      <w:marRight w:val="0"/>
      <w:marTop w:val="0"/>
      <w:marBottom w:val="0"/>
      <w:divBdr>
        <w:top w:val="none" w:sz="0" w:space="0" w:color="auto"/>
        <w:left w:val="none" w:sz="0" w:space="0" w:color="auto"/>
        <w:bottom w:val="none" w:sz="0" w:space="0" w:color="auto"/>
        <w:right w:val="none" w:sz="0" w:space="0" w:color="auto"/>
      </w:divBdr>
    </w:div>
    <w:div w:id="435441279">
      <w:bodyDiv w:val="1"/>
      <w:marLeft w:val="0"/>
      <w:marRight w:val="0"/>
      <w:marTop w:val="0"/>
      <w:marBottom w:val="0"/>
      <w:divBdr>
        <w:top w:val="none" w:sz="0" w:space="0" w:color="auto"/>
        <w:left w:val="none" w:sz="0" w:space="0" w:color="auto"/>
        <w:bottom w:val="none" w:sz="0" w:space="0" w:color="auto"/>
        <w:right w:val="none" w:sz="0" w:space="0" w:color="auto"/>
      </w:divBdr>
    </w:div>
    <w:div w:id="484855068">
      <w:bodyDiv w:val="1"/>
      <w:marLeft w:val="0"/>
      <w:marRight w:val="0"/>
      <w:marTop w:val="0"/>
      <w:marBottom w:val="0"/>
      <w:divBdr>
        <w:top w:val="none" w:sz="0" w:space="0" w:color="auto"/>
        <w:left w:val="none" w:sz="0" w:space="0" w:color="auto"/>
        <w:bottom w:val="none" w:sz="0" w:space="0" w:color="auto"/>
        <w:right w:val="none" w:sz="0" w:space="0" w:color="auto"/>
      </w:divBdr>
    </w:div>
    <w:div w:id="508372192">
      <w:bodyDiv w:val="1"/>
      <w:marLeft w:val="0"/>
      <w:marRight w:val="0"/>
      <w:marTop w:val="0"/>
      <w:marBottom w:val="0"/>
      <w:divBdr>
        <w:top w:val="none" w:sz="0" w:space="0" w:color="auto"/>
        <w:left w:val="none" w:sz="0" w:space="0" w:color="auto"/>
        <w:bottom w:val="none" w:sz="0" w:space="0" w:color="auto"/>
        <w:right w:val="none" w:sz="0" w:space="0" w:color="auto"/>
      </w:divBdr>
    </w:div>
    <w:div w:id="613946014">
      <w:bodyDiv w:val="1"/>
      <w:marLeft w:val="0"/>
      <w:marRight w:val="0"/>
      <w:marTop w:val="0"/>
      <w:marBottom w:val="0"/>
      <w:divBdr>
        <w:top w:val="none" w:sz="0" w:space="0" w:color="auto"/>
        <w:left w:val="none" w:sz="0" w:space="0" w:color="auto"/>
        <w:bottom w:val="none" w:sz="0" w:space="0" w:color="auto"/>
        <w:right w:val="none" w:sz="0" w:space="0" w:color="auto"/>
      </w:divBdr>
    </w:div>
    <w:div w:id="939219686">
      <w:bodyDiv w:val="1"/>
      <w:marLeft w:val="0"/>
      <w:marRight w:val="0"/>
      <w:marTop w:val="0"/>
      <w:marBottom w:val="0"/>
      <w:divBdr>
        <w:top w:val="none" w:sz="0" w:space="0" w:color="auto"/>
        <w:left w:val="none" w:sz="0" w:space="0" w:color="auto"/>
        <w:bottom w:val="none" w:sz="0" w:space="0" w:color="auto"/>
        <w:right w:val="none" w:sz="0" w:space="0" w:color="auto"/>
      </w:divBdr>
    </w:div>
    <w:div w:id="1152140782">
      <w:bodyDiv w:val="1"/>
      <w:marLeft w:val="0"/>
      <w:marRight w:val="0"/>
      <w:marTop w:val="0"/>
      <w:marBottom w:val="0"/>
      <w:divBdr>
        <w:top w:val="none" w:sz="0" w:space="0" w:color="auto"/>
        <w:left w:val="none" w:sz="0" w:space="0" w:color="auto"/>
        <w:bottom w:val="none" w:sz="0" w:space="0" w:color="auto"/>
        <w:right w:val="none" w:sz="0" w:space="0" w:color="auto"/>
      </w:divBdr>
    </w:div>
    <w:div w:id="1323895484">
      <w:bodyDiv w:val="1"/>
      <w:marLeft w:val="0"/>
      <w:marRight w:val="0"/>
      <w:marTop w:val="0"/>
      <w:marBottom w:val="0"/>
      <w:divBdr>
        <w:top w:val="none" w:sz="0" w:space="0" w:color="auto"/>
        <w:left w:val="none" w:sz="0" w:space="0" w:color="auto"/>
        <w:bottom w:val="none" w:sz="0" w:space="0" w:color="auto"/>
        <w:right w:val="none" w:sz="0" w:space="0" w:color="auto"/>
      </w:divBdr>
    </w:div>
    <w:div w:id="1600599577">
      <w:bodyDiv w:val="1"/>
      <w:marLeft w:val="0"/>
      <w:marRight w:val="0"/>
      <w:marTop w:val="0"/>
      <w:marBottom w:val="0"/>
      <w:divBdr>
        <w:top w:val="none" w:sz="0" w:space="0" w:color="auto"/>
        <w:left w:val="none" w:sz="0" w:space="0" w:color="auto"/>
        <w:bottom w:val="none" w:sz="0" w:space="0" w:color="auto"/>
        <w:right w:val="none" w:sz="0" w:space="0" w:color="auto"/>
      </w:divBdr>
    </w:div>
    <w:div w:id="1740789916">
      <w:bodyDiv w:val="1"/>
      <w:marLeft w:val="0"/>
      <w:marRight w:val="0"/>
      <w:marTop w:val="0"/>
      <w:marBottom w:val="0"/>
      <w:divBdr>
        <w:top w:val="none" w:sz="0" w:space="0" w:color="auto"/>
        <w:left w:val="none" w:sz="0" w:space="0" w:color="auto"/>
        <w:bottom w:val="none" w:sz="0" w:space="0" w:color="auto"/>
        <w:right w:val="none" w:sz="0" w:space="0" w:color="auto"/>
      </w:divBdr>
    </w:div>
    <w:div w:id="1781754650">
      <w:bodyDiv w:val="1"/>
      <w:marLeft w:val="0"/>
      <w:marRight w:val="0"/>
      <w:marTop w:val="0"/>
      <w:marBottom w:val="0"/>
      <w:divBdr>
        <w:top w:val="none" w:sz="0" w:space="0" w:color="auto"/>
        <w:left w:val="none" w:sz="0" w:space="0" w:color="auto"/>
        <w:bottom w:val="none" w:sz="0" w:space="0" w:color="auto"/>
        <w:right w:val="none" w:sz="0" w:space="0" w:color="auto"/>
      </w:divBdr>
    </w:div>
    <w:div w:id="1799645763">
      <w:bodyDiv w:val="1"/>
      <w:marLeft w:val="0"/>
      <w:marRight w:val="0"/>
      <w:marTop w:val="0"/>
      <w:marBottom w:val="0"/>
      <w:divBdr>
        <w:top w:val="none" w:sz="0" w:space="0" w:color="auto"/>
        <w:left w:val="none" w:sz="0" w:space="0" w:color="auto"/>
        <w:bottom w:val="none" w:sz="0" w:space="0" w:color="auto"/>
        <w:right w:val="none" w:sz="0" w:space="0" w:color="auto"/>
      </w:divBdr>
    </w:div>
    <w:div w:id="1816602277">
      <w:bodyDiv w:val="1"/>
      <w:marLeft w:val="0"/>
      <w:marRight w:val="0"/>
      <w:marTop w:val="0"/>
      <w:marBottom w:val="0"/>
      <w:divBdr>
        <w:top w:val="none" w:sz="0" w:space="0" w:color="auto"/>
        <w:left w:val="none" w:sz="0" w:space="0" w:color="auto"/>
        <w:bottom w:val="none" w:sz="0" w:space="0" w:color="auto"/>
        <w:right w:val="none" w:sz="0" w:space="0" w:color="auto"/>
      </w:divBdr>
    </w:div>
    <w:div w:id="201795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angri-la.com/brand/" TargetMode="External" /><Relationship Id="rId13" Type="http://schemas.openxmlformats.org/officeDocument/2006/relationships/hyperlink" Target="https://www.shangri-la.com/group/sustainability/report" TargetMode="External" /><Relationship Id="rId3" Type="http://schemas.openxmlformats.org/officeDocument/2006/relationships/settings" Target="settings.xml" /><Relationship Id="rId7" Type="http://schemas.openxmlformats.org/officeDocument/2006/relationships/hyperlink" Target="https://www.google.co.uk/books/edition/Blue_Ocean_Strategy_Expanded_Edition/gwypBQAAQBAJ?hl=en&amp;gbpv=1&amp;dq=Kim" TargetMode="External" /><Relationship Id="rId12" Type="http://schemas.openxmlformats.org/officeDocument/2006/relationships/hyperlink" Target="https://www.shangri-la.com/group/sustainability/report"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hangri-la.com/group/our-story/"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shangri-la.com/group/investors/public-disclosures" TargetMode="External" /><Relationship Id="rId4" Type="http://schemas.openxmlformats.org/officeDocument/2006/relationships/webSettings" Target="webSettings.xml" /><Relationship Id="rId9" Type="http://schemas.openxmlformats.org/officeDocument/2006/relationships/hyperlink" Target="https://sitecore-cd.shangri-la.com/-/media/Project/Shangri-La-Group/Investor/Files/Public-Disclosures/Latest-Top-Publications/e0069_230418_AR.pdf" TargetMode="External" /><Relationship Id="rId14" Type="http://schemas.openxmlformats.org/officeDocument/2006/relationships/hyperlink" Target="https://www.travelodge.co.uk/investors/ho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3019</Words>
  <Characters>17213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Ionela Balta</cp:lastModifiedBy>
  <cp:revision>2</cp:revision>
  <dcterms:created xsi:type="dcterms:W3CDTF">2024-05-10T16:01:00Z</dcterms:created>
  <dcterms:modified xsi:type="dcterms:W3CDTF">2024-05-10T16:01:00Z</dcterms:modified>
</cp:coreProperties>
</file>