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902256062"/>
        <w:docPartObj>
          <w:docPartGallery w:val="Cover Pages"/>
          <w:docPartUnique/>
        </w:docPartObj>
      </w:sdtPr>
      <w:sdtContent>
        <w:p w14:paraId="3E75E2B3" w14:textId="2081493F" w:rsidR="006C325A" w:rsidRPr="007C20C4" w:rsidRDefault="006C325A" w:rsidP="007C20C4">
          <w:pPr>
            <w:spacing w:line="360" w:lineRule="auto"/>
            <w:jc w:val="both"/>
            <w:rPr>
              <w:rFonts w:ascii="Arial" w:hAnsi="Arial" w:cs="Arial"/>
            </w:rPr>
          </w:pPr>
          <w:r w:rsidRPr="007C20C4">
            <w:rPr>
              <w:rFonts w:ascii="Arial" w:hAnsi="Arial" w:cs="Arial"/>
              <w:noProof/>
            </w:rPr>
            <mc:AlternateContent>
              <mc:Choice Requires="wpg">
                <w:drawing>
                  <wp:anchor distT="0" distB="0" distL="114300" distR="114300" simplePos="0" relativeHeight="251659264" behindDoc="0" locked="0" layoutInCell="1" allowOverlap="1" wp14:anchorId="4B86CAEA" wp14:editId="357D34D7">
                    <wp:simplePos x="0" y="0"/>
                    <wp:positionH relativeFrom="page">
                      <wp:align>center</wp:align>
                    </wp:positionH>
                    <wp:positionV relativeFrom="page">
                      <wp:align>center</wp:align>
                    </wp:positionV>
                    <wp:extent cx="7333488" cy="9601200"/>
                    <wp:effectExtent l="0" t="0" r="0" b="0"/>
                    <wp:wrapNone/>
                    <wp:docPr id="471" name="Group 133"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eastAsiaTheme="minorHAnsi" w:hAnsiTheme="majorHAnsi"/>
                                      <w:color w:val="E8E8E8" w:themeColor="background2"/>
                                      <w:kern w:val="2"/>
                                      <w:sz w:val="78"/>
                                      <w:szCs w:val="78"/>
                                      <w:lang w:val="en-GB" w:eastAsia="en-US"/>
                                      <w14:ligatures w14:val="standardContextual"/>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18655706" w14:textId="2CD17F3F" w:rsidR="006C325A" w:rsidRDefault="006C325A" w:rsidP="006C325A">
                                      <w:pPr>
                                        <w:pStyle w:val="NoSpacing"/>
                                        <w:spacing w:after="240" w:line="264" w:lineRule="auto"/>
                                        <w:rPr>
                                          <w:rFonts w:asciiTheme="majorHAnsi" w:hAnsiTheme="majorHAnsi"/>
                                          <w:color w:val="E8E8E8" w:themeColor="background2"/>
                                          <w:sz w:val="78"/>
                                          <w:szCs w:val="78"/>
                                        </w:rPr>
                                      </w:pPr>
                                      <w:r w:rsidRPr="006C325A">
                                        <w:rPr>
                                          <w:rFonts w:asciiTheme="majorHAnsi" w:eastAsiaTheme="minorHAnsi" w:hAnsiTheme="majorHAnsi"/>
                                          <w:color w:val="E8E8E8" w:themeColor="background2"/>
                                          <w:kern w:val="2"/>
                                          <w:sz w:val="78"/>
                                          <w:szCs w:val="78"/>
                                          <w:lang w:val="en-GB" w:eastAsia="en-US"/>
                                          <w14:ligatures w14:val="standardContextual"/>
                                        </w:rPr>
                                        <w:t>Component 2: Coursework:</w:t>
                                      </w:r>
                                      <w:r>
                                        <w:rPr>
                                          <w:rFonts w:asciiTheme="majorHAnsi" w:eastAsiaTheme="minorHAnsi" w:hAnsiTheme="majorHAnsi"/>
                                          <w:color w:val="E8E8E8" w:themeColor="background2"/>
                                          <w:kern w:val="2"/>
                                          <w:sz w:val="78"/>
                                          <w:szCs w:val="78"/>
                                          <w:lang w:val="en-GB" w:eastAsia="en-US"/>
                                          <w14:ligatures w14:val="standardContextual"/>
                                        </w:rPr>
                                        <w:t xml:space="preserve"> </w:t>
                                      </w:r>
                                      <w:r w:rsidRPr="006C325A">
                                        <w:rPr>
                                          <w:rFonts w:asciiTheme="majorHAnsi" w:eastAsiaTheme="minorHAnsi" w:hAnsiTheme="majorHAnsi"/>
                                          <w:color w:val="E8E8E8" w:themeColor="background2"/>
                                          <w:kern w:val="2"/>
                                          <w:sz w:val="78"/>
                                          <w:szCs w:val="78"/>
                                          <w:lang w:val="en-GB" w:eastAsia="en-US"/>
                                          <w14:ligatures w14:val="standardContextual"/>
                                        </w:rPr>
                                        <w:t>Essay</w:t>
                                      </w:r>
                                    </w:p>
                                  </w:sdtContent>
                                </w:sdt>
                                <w:p w14:paraId="02C82CDE" w14:textId="4459319F" w:rsidR="006C325A" w:rsidRDefault="006C325A">
                                  <w:pPr>
                                    <w:pStyle w:val="NoSpacing"/>
                                    <w:spacing w:line="264" w:lineRule="auto"/>
                                    <w:rPr>
                                      <w:color w:val="E8E8E8" w:themeColor="background2"/>
                                      <w:spacing w:val="20"/>
                                      <w:sz w:val="40"/>
                                      <w:szCs w:val="40"/>
                                    </w:rPr>
                                  </w:pPr>
                                  <w:sdt>
                                    <w:sdtPr>
                                      <w:rPr>
                                        <w:color w:val="E8E8E8"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Pr="006C325A">
                                        <w:rPr>
                                          <w:color w:val="E8E8E8" w:themeColor="background2"/>
                                          <w:spacing w:val="20"/>
                                          <w:sz w:val="40"/>
                                          <w:szCs w:val="40"/>
                                        </w:rPr>
                                        <w:t>International Business Communications (LCBB6023</w:t>
                                      </w:r>
                                      <w:r>
                                        <w:rPr>
                                          <w:color w:val="E8E8E8" w:themeColor="background2"/>
                                          <w:spacing w:val="20"/>
                                          <w:sz w:val="40"/>
                                          <w:szCs w:val="40"/>
                                        </w:rPr>
                                        <w:t>)</w:t>
                                      </w:r>
                                    </w:sdtContent>
                                  </w:sdt>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8E8E8"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18A2E828" w14:textId="25FE9203" w:rsidR="006C325A" w:rsidRDefault="006C325A">
                                      <w:pPr>
                                        <w:pStyle w:val="NoSpacing"/>
                                        <w:spacing w:after="180"/>
                                        <w:rPr>
                                          <w:color w:val="E8E8E8" w:themeColor="background2"/>
                                          <w:spacing w:val="20"/>
                                          <w:sz w:val="36"/>
                                          <w:szCs w:val="36"/>
                                        </w:rPr>
                                      </w:pPr>
                                      <w:r>
                                        <w:rPr>
                                          <w:color w:val="E8E8E8" w:themeColor="background2"/>
                                          <w:spacing w:val="20"/>
                                          <w:sz w:val="36"/>
                                          <w:szCs w:val="36"/>
                                        </w:rPr>
                                        <w:t>Adelina Gabriela Stanciu (2245080)</w:t>
                                      </w:r>
                                    </w:p>
                                  </w:sdtContent>
                                </w:sdt>
                                <w:p w14:paraId="3CB104CC" w14:textId="78A459F0" w:rsidR="006C325A" w:rsidRDefault="006C325A">
                                  <w:pPr>
                                    <w:pStyle w:val="NoSpacing"/>
                                    <w:rPr>
                                      <w:color w:val="E8E8E8" w:themeColor="background2"/>
                                      <w:spacing w:val="20"/>
                                      <w:sz w:val="36"/>
                                      <w:szCs w:val="36"/>
                                    </w:rPr>
                                  </w:pPr>
                                  <w:sdt>
                                    <w:sdtPr>
                                      <w:rPr>
                                        <w:color w:val="E8E8E8"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Pr="006C325A">
                                        <w:rPr>
                                          <w:color w:val="E8E8E8" w:themeColor="background2"/>
                                          <w:spacing w:val="20"/>
                                          <w:sz w:val="36"/>
                                          <w:szCs w:val="36"/>
                                        </w:rPr>
                                        <w:t>Lector: Afzal Munna</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B86CAEA" id="Group 133" o:spid="_x0000_s1026" alt="Title: Cover page feather background with text block" style="position:absolute;left:0;text-align:left;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7"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0f476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8e8e8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8e8e8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eastAsiaTheme="minorHAnsi" w:hAnsiTheme="majorHAnsi"/>
                                <w:color w:val="E8E8E8" w:themeColor="background2"/>
                                <w:kern w:val="2"/>
                                <w:sz w:val="78"/>
                                <w:szCs w:val="78"/>
                                <w:lang w:val="en-GB" w:eastAsia="en-US"/>
                                <w14:ligatures w14:val="standardContextual"/>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18655706" w14:textId="2CD17F3F" w:rsidR="006C325A" w:rsidRDefault="006C325A" w:rsidP="006C325A">
                                <w:pPr>
                                  <w:pStyle w:val="NoSpacing"/>
                                  <w:spacing w:after="240" w:line="264" w:lineRule="auto"/>
                                  <w:rPr>
                                    <w:rFonts w:asciiTheme="majorHAnsi" w:hAnsiTheme="majorHAnsi"/>
                                    <w:color w:val="E8E8E8" w:themeColor="background2"/>
                                    <w:sz w:val="78"/>
                                    <w:szCs w:val="78"/>
                                  </w:rPr>
                                </w:pPr>
                                <w:r w:rsidRPr="006C325A">
                                  <w:rPr>
                                    <w:rFonts w:asciiTheme="majorHAnsi" w:eastAsiaTheme="minorHAnsi" w:hAnsiTheme="majorHAnsi"/>
                                    <w:color w:val="E8E8E8" w:themeColor="background2"/>
                                    <w:kern w:val="2"/>
                                    <w:sz w:val="78"/>
                                    <w:szCs w:val="78"/>
                                    <w:lang w:val="en-GB" w:eastAsia="en-US"/>
                                    <w14:ligatures w14:val="standardContextual"/>
                                  </w:rPr>
                                  <w:t>Component 2: Coursework:</w:t>
                                </w:r>
                                <w:r>
                                  <w:rPr>
                                    <w:rFonts w:asciiTheme="majorHAnsi" w:eastAsiaTheme="minorHAnsi" w:hAnsiTheme="majorHAnsi"/>
                                    <w:color w:val="E8E8E8" w:themeColor="background2"/>
                                    <w:kern w:val="2"/>
                                    <w:sz w:val="78"/>
                                    <w:szCs w:val="78"/>
                                    <w:lang w:val="en-GB" w:eastAsia="en-US"/>
                                    <w14:ligatures w14:val="standardContextual"/>
                                  </w:rPr>
                                  <w:t xml:space="preserve"> </w:t>
                                </w:r>
                                <w:r w:rsidRPr="006C325A">
                                  <w:rPr>
                                    <w:rFonts w:asciiTheme="majorHAnsi" w:eastAsiaTheme="minorHAnsi" w:hAnsiTheme="majorHAnsi"/>
                                    <w:color w:val="E8E8E8" w:themeColor="background2"/>
                                    <w:kern w:val="2"/>
                                    <w:sz w:val="78"/>
                                    <w:szCs w:val="78"/>
                                    <w:lang w:val="en-GB" w:eastAsia="en-US"/>
                                    <w14:ligatures w14:val="standardContextual"/>
                                  </w:rPr>
                                  <w:t>Essay</w:t>
                                </w:r>
                              </w:p>
                            </w:sdtContent>
                          </w:sdt>
                          <w:p w14:paraId="02C82CDE" w14:textId="4459319F" w:rsidR="006C325A" w:rsidRDefault="006C325A">
                            <w:pPr>
                              <w:pStyle w:val="NoSpacing"/>
                              <w:spacing w:line="264" w:lineRule="auto"/>
                              <w:rPr>
                                <w:color w:val="E8E8E8" w:themeColor="background2"/>
                                <w:spacing w:val="20"/>
                                <w:sz w:val="40"/>
                                <w:szCs w:val="40"/>
                              </w:rPr>
                            </w:pPr>
                            <w:sdt>
                              <w:sdtPr>
                                <w:rPr>
                                  <w:color w:val="E8E8E8"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Pr="006C325A">
                                  <w:rPr>
                                    <w:color w:val="E8E8E8" w:themeColor="background2"/>
                                    <w:spacing w:val="20"/>
                                    <w:sz w:val="40"/>
                                    <w:szCs w:val="40"/>
                                  </w:rPr>
                                  <w:t>International Business Communications (LCBB6023</w:t>
                                </w:r>
                                <w:r>
                                  <w:rPr>
                                    <w:color w:val="E8E8E8" w:themeColor="background2"/>
                                    <w:spacing w:val="20"/>
                                    <w:sz w:val="40"/>
                                    <w:szCs w:val="40"/>
                                  </w:rPr>
                                  <w:t>)</w:t>
                                </w:r>
                              </w:sdtContent>
                            </w:sdt>
                          </w:p>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8E8E8"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18A2E828" w14:textId="25FE9203" w:rsidR="006C325A" w:rsidRDefault="006C325A">
                                <w:pPr>
                                  <w:pStyle w:val="NoSpacing"/>
                                  <w:spacing w:after="180"/>
                                  <w:rPr>
                                    <w:color w:val="E8E8E8" w:themeColor="background2"/>
                                    <w:spacing w:val="20"/>
                                    <w:sz w:val="36"/>
                                    <w:szCs w:val="36"/>
                                  </w:rPr>
                                </w:pPr>
                                <w:r>
                                  <w:rPr>
                                    <w:color w:val="E8E8E8" w:themeColor="background2"/>
                                    <w:spacing w:val="20"/>
                                    <w:sz w:val="36"/>
                                    <w:szCs w:val="36"/>
                                  </w:rPr>
                                  <w:t>Adelina Gabriela Stanciu (2245080)</w:t>
                                </w:r>
                              </w:p>
                            </w:sdtContent>
                          </w:sdt>
                          <w:p w14:paraId="3CB104CC" w14:textId="78A459F0" w:rsidR="006C325A" w:rsidRDefault="006C325A">
                            <w:pPr>
                              <w:pStyle w:val="NoSpacing"/>
                              <w:rPr>
                                <w:color w:val="E8E8E8" w:themeColor="background2"/>
                                <w:spacing w:val="20"/>
                                <w:sz w:val="36"/>
                                <w:szCs w:val="36"/>
                              </w:rPr>
                            </w:pPr>
                            <w:sdt>
                              <w:sdtPr>
                                <w:rPr>
                                  <w:color w:val="E8E8E8"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Pr="006C325A">
                                  <w:rPr>
                                    <w:color w:val="E8E8E8" w:themeColor="background2"/>
                                    <w:spacing w:val="20"/>
                                    <w:sz w:val="36"/>
                                    <w:szCs w:val="36"/>
                                  </w:rPr>
                                  <w:t>Lector: Afzal Munna</w:t>
                                </w:r>
                              </w:sdtContent>
                            </w:sdt>
                          </w:p>
                        </w:txbxContent>
                      </v:textbox>
                    </v:shape>
                    <w10:wrap anchorx="page" anchory="page"/>
                  </v:group>
                </w:pict>
              </mc:Fallback>
            </mc:AlternateContent>
          </w:r>
        </w:p>
        <w:p w14:paraId="57BD99B8" w14:textId="1BF4ED47" w:rsidR="006C325A" w:rsidRPr="007C20C4" w:rsidRDefault="006C325A" w:rsidP="007C20C4">
          <w:pPr>
            <w:spacing w:line="360" w:lineRule="auto"/>
            <w:jc w:val="both"/>
            <w:rPr>
              <w:rFonts w:ascii="Arial" w:hAnsi="Arial" w:cs="Arial"/>
            </w:rPr>
          </w:pPr>
          <w:r w:rsidRPr="007C20C4">
            <w:rPr>
              <w:rFonts w:ascii="Arial" w:hAnsi="Arial" w:cs="Arial"/>
            </w:rPr>
            <w:br w:type="page"/>
          </w:r>
        </w:p>
      </w:sdtContent>
    </w:sdt>
    <w:sdt>
      <w:sdtPr>
        <w:rPr>
          <w:rFonts w:ascii="Arial" w:hAnsi="Arial" w:cs="Arial"/>
        </w:rPr>
        <w:id w:val="26913187"/>
        <w:docPartObj>
          <w:docPartGallery w:val="Table of Contents"/>
          <w:docPartUnique/>
        </w:docPartObj>
      </w:sdtPr>
      <w:sdtEndPr>
        <w:rPr>
          <w:rFonts w:eastAsiaTheme="minorHAnsi"/>
          <w:noProof/>
          <w:color w:val="auto"/>
          <w:kern w:val="2"/>
          <w:sz w:val="24"/>
          <w:szCs w:val="24"/>
          <w:lang w:val="en-GB"/>
          <w14:ligatures w14:val="standardContextual"/>
        </w:rPr>
      </w:sdtEndPr>
      <w:sdtContent>
        <w:p w14:paraId="24E453EF" w14:textId="4F97776A" w:rsidR="006C325A" w:rsidRPr="007C20C4" w:rsidRDefault="006C325A" w:rsidP="007C20C4">
          <w:pPr>
            <w:pStyle w:val="TOCHeading"/>
            <w:spacing w:line="360" w:lineRule="auto"/>
            <w:jc w:val="both"/>
            <w:rPr>
              <w:rFonts w:ascii="Arial" w:hAnsi="Arial" w:cs="Arial"/>
            </w:rPr>
          </w:pPr>
          <w:r w:rsidRPr="007C20C4">
            <w:rPr>
              <w:rFonts w:ascii="Arial" w:hAnsi="Arial" w:cs="Arial"/>
            </w:rPr>
            <w:t>Table of Contents</w:t>
          </w:r>
        </w:p>
        <w:p w14:paraId="096B4294" w14:textId="43B3CD54" w:rsidR="009E199C" w:rsidRDefault="006C325A">
          <w:pPr>
            <w:pStyle w:val="TOC1"/>
            <w:tabs>
              <w:tab w:val="right" w:leader="dot" w:pos="9016"/>
            </w:tabs>
            <w:rPr>
              <w:rFonts w:eastAsiaTheme="minorEastAsia"/>
              <w:b w:val="0"/>
              <w:bCs w:val="0"/>
              <w:caps w:val="0"/>
              <w:noProof/>
              <w:sz w:val="24"/>
              <w:szCs w:val="24"/>
              <w:u w:val="none"/>
              <w:lang w:eastAsia="en-GB"/>
            </w:rPr>
          </w:pPr>
          <w:r w:rsidRPr="007C20C4">
            <w:rPr>
              <w:rFonts w:ascii="Arial" w:hAnsi="Arial" w:cs="Arial"/>
              <w:b w:val="0"/>
              <w:bCs w:val="0"/>
            </w:rPr>
            <w:fldChar w:fldCharType="begin"/>
          </w:r>
          <w:r w:rsidRPr="007C20C4">
            <w:rPr>
              <w:rFonts w:ascii="Arial" w:hAnsi="Arial" w:cs="Arial"/>
            </w:rPr>
            <w:instrText xml:space="preserve"> TOC \o "1-3" \h \z \u </w:instrText>
          </w:r>
          <w:r w:rsidRPr="007C20C4">
            <w:rPr>
              <w:rFonts w:ascii="Arial" w:hAnsi="Arial" w:cs="Arial"/>
              <w:b w:val="0"/>
              <w:bCs w:val="0"/>
            </w:rPr>
            <w:fldChar w:fldCharType="separate"/>
          </w:r>
          <w:hyperlink w:anchor="_Toc238468538" w:history="1">
            <w:r w:rsidR="009E199C" w:rsidRPr="00EF5A1F">
              <w:rPr>
                <w:rStyle w:val="Hyperlink"/>
                <w:rFonts w:ascii="Arial" w:hAnsi="Arial" w:cs="Arial"/>
                <w:noProof/>
              </w:rPr>
              <w:t>Introduction</w:t>
            </w:r>
            <w:r w:rsidR="009E199C">
              <w:rPr>
                <w:noProof/>
                <w:webHidden/>
              </w:rPr>
              <w:tab/>
            </w:r>
            <w:r w:rsidR="009E199C">
              <w:rPr>
                <w:noProof/>
                <w:webHidden/>
              </w:rPr>
              <w:fldChar w:fldCharType="begin"/>
            </w:r>
            <w:r w:rsidR="009E199C">
              <w:rPr>
                <w:noProof/>
                <w:webHidden/>
              </w:rPr>
              <w:instrText xml:space="preserve"> PAGEREF _Toc238468538 \h </w:instrText>
            </w:r>
            <w:r w:rsidR="009E199C">
              <w:rPr>
                <w:noProof/>
                <w:webHidden/>
              </w:rPr>
            </w:r>
            <w:r w:rsidR="009E199C">
              <w:rPr>
                <w:noProof/>
                <w:webHidden/>
              </w:rPr>
              <w:fldChar w:fldCharType="separate"/>
            </w:r>
            <w:r w:rsidR="009E199C">
              <w:rPr>
                <w:noProof/>
                <w:webHidden/>
              </w:rPr>
              <w:t>2</w:t>
            </w:r>
            <w:r w:rsidR="009E199C">
              <w:rPr>
                <w:noProof/>
                <w:webHidden/>
              </w:rPr>
              <w:fldChar w:fldCharType="end"/>
            </w:r>
          </w:hyperlink>
        </w:p>
        <w:p w14:paraId="72E5DD43" w14:textId="14E189B2" w:rsidR="009E199C" w:rsidRDefault="009E199C">
          <w:pPr>
            <w:pStyle w:val="TOC1"/>
            <w:tabs>
              <w:tab w:val="right" w:leader="dot" w:pos="9016"/>
            </w:tabs>
            <w:rPr>
              <w:rFonts w:eastAsiaTheme="minorEastAsia"/>
              <w:b w:val="0"/>
              <w:bCs w:val="0"/>
              <w:caps w:val="0"/>
              <w:noProof/>
              <w:sz w:val="24"/>
              <w:szCs w:val="24"/>
              <w:u w:val="none"/>
              <w:lang w:eastAsia="en-GB"/>
            </w:rPr>
          </w:pPr>
          <w:hyperlink w:anchor="_Toc238468539" w:history="1">
            <w:r w:rsidRPr="00EF5A1F">
              <w:rPr>
                <w:rStyle w:val="Hyperlink"/>
                <w:rFonts w:ascii="Arial" w:hAnsi="Arial" w:cs="Arial"/>
                <w:noProof/>
              </w:rPr>
              <w:t>The UK–Japan Business Context: AstraZeneca and Daiichi Sankyo</w:t>
            </w:r>
            <w:r>
              <w:rPr>
                <w:noProof/>
                <w:webHidden/>
              </w:rPr>
              <w:tab/>
            </w:r>
            <w:r>
              <w:rPr>
                <w:noProof/>
                <w:webHidden/>
              </w:rPr>
              <w:fldChar w:fldCharType="begin"/>
            </w:r>
            <w:r>
              <w:rPr>
                <w:noProof/>
                <w:webHidden/>
              </w:rPr>
              <w:instrText xml:space="preserve"> PAGEREF _Toc238468539 \h </w:instrText>
            </w:r>
            <w:r>
              <w:rPr>
                <w:noProof/>
                <w:webHidden/>
              </w:rPr>
            </w:r>
            <w:r>
              <w:rPr>
                <w:noProof/>
                <w:webHidden/>
              </w:rPr>
              <w:fldChar w:fldCharType="separate"/>
            </w:r>
            <w:r>
              <w:rPr>
                <w:noProof/>
                <w:webHidden/>
              </w:rPr>
              <w:t>2</w:t>
            </w:r>
            <w:r>
              <w:rPr>
                <w:noProof/>
                <w:webHidden/>
              </w:rPr>
              <w:fldChar w:fldCharType="end"/>
            </w:r>
          </w:hyperlink>
        </w:p>
        <w:p w14:paraId="776647B3" w14:textId="72B0BB85" w:rsidR="009E199C" w:rsidRDefault="009E199C">
          <w:pPr>
            <w:pStyle w:val="TOC1"/>
            <w:tabs>
              <w:tab w:val="right" w:leader="dot" w:pos="9016"/>
            </w:tabs>
            <w:rPr>
              <w:rFonts w:eastAsiaTheme="minorEastAsia"/>
              <w:b w:val="0"/>
              <w:bCs w:val="0"/>
              <w:caps w:val="0"/>
              <w:noProof/>
              <w:sz w:val="24"/>
              <w:szCs w:val="24"/>
              <w:u w:val="none"/>
              <w:lang w:eastAsia="en-GB"/>
            </w:rPr>
          </w:pPr>
          <w:hyperlink w:anchor="_Toc238468540" w:history="1">
            <w:r w:rsidRPr="00EF5A1F">
              <w:rPr>
                <w:rStyle w:val="Hyperlink"/>
                <w:rFonts w:ascii="Arial" w:hAnsi="Arial" w:cs="Arial"/>
                <w:noProof/>
              </w:rPr>
              <w:t>Theoretical Foundations: Cultural Dimension Theories</w:t>
            </w:r>
            <w:r>
              <w:rPr>
                <w:noProof/>
                <w:webHidden/>
              </w:rPr>
              <w:tab/>
            </w:r>
            <w:r>
              <w:rPr>
                <w:noProof/>
                <w:webHidden/>
              </w:rPr>
              <w:fldChar w:fldCharType="begin"/>
            </w:r>
            <w:r>
              <w:rPr>
                <w:noProof/>
                <w:webHidden/>
              </w:rPr>
              <w:instrText xml:space="preserve"> PAGEREF _Toc238468540 \h </w:instrText>
            </w:r>
            <w:r>
              <w:rPr>
                <w:noProof/>
                <w:webHidden/>
              </w:rPr>
            </w:r>
            <w:r>
              <w:rPr>
                <w:noProof/>
                <w:webHidden/>
              </w:rPr>
              <w:fldChar w:fldCharType="separate"/>
            </w:r>
            <w:r>
              <w:rPr>
                <w:noProof/>
                <w:webHidden/>
              </w:rPr>
              <w:t>3</w:t>
            </w:r>
            <w:r>
              <w:rPr>
                <w:noProof/>
                <w:webHidden/>
              </w:rPr>
              <w:fldChar w:fldCharType="end"/>
            </w:r>
          </w:hyperlink>
        </w:p>
        <w:p w14:paraId="29D9A1AE" w14:textId="60ED3AB9" w:rsidR="009E199C" w:rsidRDefault="009E199C">
          <w:pPr>
            <w:pStyle w:val="TOC2"/>
            <w:tabs>
              <w:tab w:val="left" w:pos="423"/>
              <w:tab w:val="right" w:leader="dot" w:pos="9016"/>
            </w:tabs>
            <w:rPr>
              <w:rFonts w:eastAsiaTheme="minorEastAsia"/>
              <w:b w:val="0"/>
              <w:bCs w:val="0"/>
              <w:smallCaps w:val="0"/>
              <w:noProof/>
              <w:sz w:val="24"/>
              <w:szCs w:val="24"/>
              <w:lang w:eastAsia="en-GB"/>
            </w:rPr>
          </w:pPr>
          <w:hyperlink w:anchor="_Toc238468541" w:history="1">
            <w:r w:rsidRPr="00EF5A1F">
              <w:rPr>
                <w:rStyle w:val="Hyperlink"/>
                <w:rFonts w:ascii="Arial" w:hAnsi="Arial" w:cs="Arial"/>
                <w:noProof/>
              </w:rPr>
              <w:t>1.</w:t>
            </w:r>
            <w:r>
              <w:rPr>
                <w:rFonts w:eastAsiaTheme="minorEastAsia"/>
                <w:b w:val="0"/>
                <w:bCs w:val="0"/>
                <w:smallCaps w:val="0"/>
                <w:noProof/>
                <w:sz w:val="24"/>
                <w:szCs w:val="24"/>
                <w:lang w:eastAsia="en-GB"/>
              </w:rPr>
              <w:tab/>
            </w:r>
            <w:r w:rsidRPr="00EF5A1F">
              <w:rPr>
                <w:rStyle w:val="Hyperlink"/>
                <w:rFonts w:ascii="Arial" w:hAnsi="Arial" w:cs="Arial"/>
                <w:noProof/>
              </w:rPr>
              <w:t>Hofstede's Cultural Dimensions</w:t>
            </w:r>
            <w:r>
              <w:rPr>
                <w:noProof/>
                <w:webHidden/>
              </w:rPr>
              <w:tab/>
            </w:r>
            <w:r>
              <w:rPr>
                <w:noProof/>
                <w:webHidden/>
              </w:rPr>
              <w:fldChar w:fldCharType="begin"/>
            </w:r>
            <w:r>
              <w:rPr>
                <w:noProof/>
                <w:webHidden/>
              </w:rPr>
              <w:instrText xml:space="preserve"> PAGEREF _Toc238468541 \h </w:instrText>
            </w:r>
            <w:r>
              <w:rPr>
                <w:noProof/>
                <w:webHidden/>
              </w:rPr>
            </w:r>
            <w:r>
              <w:rPr>
                <w:noProof/>
                <w:webHidden/>
              </w:rPr>
              <w:fldChar w:fldCharType="separate"/>
            </w:r>
            <w:r>
              <w:rPr>
                <w:noProof/>
                <w:webHidden/>
              </w:rPr>
              <w:t>3</w:t>
            </w:r>
            <w:r>
              <w:rPr>
                <w:noProof/>
                <w:webHidden/>
              </w:rPr>
              <w:fldChar w:fldCharType="end"/>
            </w:r>
          </w:hyperlink>
        </w:p>
        <w:p w14:paraId="1D1C493C" w14:textId="051C9EB2" w:rsidR="009E199C" w:rsidRDefault="009E199C">
          <w:pPr>
            <w:pStyle w:val="TOC2"/>
            <w:tabs>
              <w:tab w:val="left" w:pos="423"/>
              <w:tab w:val="right" w:leader="dot" w:pos="9016"/>
            </w:tabs>
            <w:rPr>
              <w:rFonts w:eastAsiaTheme="minorEastAsia"/>
              <w:b w:val="0"/>
              <w:bCs w:val="0"/>
              <w:smallCaps w:val="0"/>
              <w:noProof/>
              <w:sz w:val="24"/>
              <w:szCs w:val="24"/>
              <w:lang w:eastAsia="en-GB"/>
            </w:rPr>
          </w:pPr>
          <w:hyperlink w:anchor="_Toc238468542" w:history="1">
            <w:r w:rsidRPr="00EF5A1F">
              <w:rPr>
                <w:rStyle w:val="Hyperlink"/>
                <w:rFonts w:ascii="Arial" w:hAnsi="Arial" w:cs="Arial"/>
                <w:noProof/>
              </w:rPr>
              <w:t>2.</w:t>
            </w:r>
            <w:r>
              <w:rPr>
                <w:rFonts w:eastAsiaTheme="minorEastAsia"/>
                <w:b w:val="0"/>
                <w:bCs w:val="0"/>
                <w:smallCaps w:val="0"/>
                <w:noProof/>
                <w:sz w:val="24"/>
                <w:szCs w:val="24"/>
                <w:lang w:eastAsia="en-GB"/>
              </w:rPr>
              <w:tab/>
            </w:r>
            <w:r w:rsidRPr="00EF5A1F">
              <w:rPr>
                <w:rStyle w:val="Hyperlink"/>
                <w:rFonts w:ascii="Arial" w:hAnsi="Arial" w:cs="Arial"/>
                <w:noProof/>
              </w:rPr>
              <w:t>Hall's High-Context/Low-Context Communication Theory</w:t>
            </w:r>
            <w:r>
              <w:rPr>
                <w:noProof/>
                <w:webHidden/>
              </w:rPr>
              <w:tab/>
            </w:r>
            <w:r>
              <w:rPr>
                <w:noProof/>
                <w:webHidden/>
              </w:rPr>
              <w:fldChar w:fldCharType="begin"/>
            </w:r>
            <w:r>
              <w:rPr>
                <w:noProof/>
                <w:webHidden/>
              </w:rPr>
              <w:instrText xml:space="preserve"> PAGEREF _Toc238468542 \h </w:instrText>
            </w:r>
            <w:r>
              <w:rPr>
                <w:noProof/>
                <w:webHidden/>
              </w:rPr>
            </w:r>
            <w:r>
              <w:rPr>
                <w:noProof/>
                <w:webHidden/>
              </w:rPr>
              <w:fldChar w:fldCharType="separate"/>
            </w:r>
            <w:r>
              <w:rPr>
                <w:noProof/>
                <w:webHidden/>
              </w:rPr>
              <w:t>4</w:t>
            </w:r>
            <w:r>
              <w:rPr>
                <w:noProof/>
                <w:webHidden/>
              </w:rPr>
              <w:fldChar w:fldCharType="end"/>
            </w:r>
          </w:hyperlink>
        </w:p>
        <w:p w14:paraId="61323F0A" w14:textId="54EC79B3" w:rsidR="009E199C" w:rsidRDefault="009E199C">
          <w:pPr>
            <w:pStyle w:val="TOC2"/>
            <w:tabs>
              <w:tab w:val="left" w:pos="423"/>
              <w:tab w:val="right" w:leader="dot" w:pos="9016"/>
            </w:tabs>
            <w:rPr>
              <w:rFonts w:eastAsiaTheme="minorEastAsia"/>
              <w:b w:val="0"/>
              <w:bCs w:val="0"/>
              <w:smallCaps w:val="0"/>
              <w:noProof/>
              <w:sz w:val="24"/>
              <w:szCs w:val="24"/>
              <w:lang w:eastAsia="en-GB"/>
            </w:rPr>
          </w:pPr>
          <w:hyperlink w:anchor="_Toc238468543" w:history="1">
            <w:r w:rsidRPr="00EF5A1F">
              <w:rPr>
                <w:rStyle w:val="Hyperlink"/>
                <w:rFonts w:ascii="Arial" w:hAnsi="Arial" w:cs="Arial"/>
                <w:noProof/>
              </w:rPr>
              <w:t>3.</w:t>
            </w:r>
            <w:r>
              <w:rPr>
                <w:rFonts w:eastAsiaTheme="minorEastAsia"/>
                <w:b w:val="0"/>
                <w:bCs w:val="0"/>
                <w:smallCaps w:val="0"/>
                <w:noProof/>
                <w:sz w:val="24"/>
                <w:szCs w:val="24"/>
                <w:lang w:eastAsia="en-GB"/>
              </w:rPr>
              <w:tab/>
            </w:r>
            <w:r w:rsidRPr="00EF5A1F">
              <w:rPr>
                <w:rStyle w:val="Hyperlink"/>
                <w:rFonts w:ascii="Arial" w:hAnsi="Arial" w:cs="Arial"/>
                <w:noProof/>
              </w:rPr>
              <w:t>Trompenaars' Seven Dimensions of Culture</w:t>
            </w:r>
            <w:r>
              <w:rPr>
                <w:noProof/>
                <w:webHidden/>
              </w:rPr>
              <w:tab/>
            </w:r>
            <w:r>
              <w:rPr>
                <w:noProof/>
                <w:webHidden/>
              </w:rPr>
              <w:fldChar w:fldCharType="begin"/>
            </w:r>
            <w:r>
              <w:rPr>
                <w:noProof/>
                <w:webHidden/>
              </w:rPr>
              <w:instrText xml:space="preserve"> PAGEREF _Toc238468543 \h </w:instrText>
            </w:r>
            <w:r>
              <w:rPr>
                <w:noProof/>
                <w:webHidden/>
              </w:rPr>
            </w:r>
            <w:r>
              <w:rPr>
                <w:noProof/>
                <w:webHidden/>
              </w:rPr>
              <w:fldChar w:fldCharType="separate"/>
            </w:r>
            <w:r>
              <w:rPr>
                <w:noProof/>
                <w:webHidden/>
              </w:rPr>
              <w:t>4</w:t>
            </w:r>
            <w:r>
              <w:rPr>
                <w:noProof/>
                <w:webHidden/>
              </w:rPr>
              <w:fldChar w:fldCharType="end"/>
            </w:r>
          </w:hyperlink>
        </w:p>
        <w:p w14:paraId="5FA93DF8" w14:textId="685E7974" w:rsidR="009E199C" w:rsidRDefault="009E199C">
          <w:pPr>
            <w:pStyle w:val="TOC1"/>
            <w:tabs>
              <w:tab w:val="right" w:leader="dot" w:pos="9016"/>
            </w:tabs>
            <w:rPr>
              <w:rFonts w:eastAsiaTheme="minorEastAsia"/>
              <w:b w:val="0"/>
              <w:bCs w:val="0"/>
              <w:caps w:val="0"/>
              <w:noProof/>
              <w:sz w:val="24"/>
              <w:szCs w:val="24"/>
              <w:u w:val="none"/>
              <w:lang w:eastAsia="en-GB"/>
            </w:rPr>
          </w:pPr>
          <w:hyperlink w:anchor="_Toc238468544" w:history="1">
            <w:r w:rsidRPr="00EF5A1F">
              <w:rPr>
                <w:rStyle w:val="Hyperlink"/>
                <w:rFonts w:ascii="Arial" w:hAnsi="Arial" w:cs="Arial"/>
                <w:noProof/>
              </w:rPr>
              <w:t>Critical Evaluation of National-Culture Frameworks</w:t>
            </w:r>
            <w:r>
              <w:rPr>
                <w:noProof/>
                <w:webHidden/>
              </w:rPr>
              <w:tab/>
            </w:r>
            <w:r>
              <w:rPr>
                <w:noProof/>
                <w:webHidden/>
              </w:rPr>
              <w:fldChar w:fldCharType="begin"/>
            </w:r>
            <w:r>
              <w:rPr>
                <w:noProof/>
                <w:webHidden/>
              </w:rPr>
              <w:instrText xml:space="preserve"> PAGEREF _Toc238468544 \h </w:instrText>
            </w:r>
            <w:r>
              <w:rPr>
                <w:noProof/>
                <w:webHidden/>
              </w:rPr>
            </w:r>
            <w:r>
              <w:rPr>
                <w:noProof/>
                <w:webHidden/>
              </w:rPr>
              <w:fldChar w:fldCharType="separate"/>
            </w:r>
            <w:r>
              <w:rPr>
                <w:noProof/>
                <w:webHidden/>
              </w:rPr>
              <w:t>5</w:t>
            </w:r>
            <w:r>
              <w:rPr>
                <w:noProof/>
                <w:webHidden/>
              </w:rPr>
              <w:fldChar w:fldCharType="end"/>
            </w:r>
          </w:hyperlink>
        </w:p>
        <w:p w14:paraId="7ABB3D0A" w14:textId="6D577D7D" w:rsidR="009E199C" w:rsidRDefault="009E199C">
          <w:pPr>
            <w:pStyle w:val="TOC1"/>
            <w:tabs>
              <w:tab w:val="right" w:leader="dot" w:pos="9016"/>
            </w:tabs>
            <w:rPr>
              <w:rFonts w:eastAsiaTheme="minorEastAsia"/>
              <w:b w:val="0"/>
              <w:bCs w:val="0"/>
              <w:caps w:val="0"/>
              <w:noProof/>
              <w:sz w:val="24"/>
              <w:szCs w:val="24"/>
              <w:u w:val="none"/>
              <w:lang w:eastAsia="en-GB"/>
            </w:rPr>
          </w:pPr>
          <w:hyperlink w:anchor="_Toc238468545" w:history="1">
            <w:r w:rsidRPr="00EF5A1F">
              <w:rPr>
                <w:rStyle w:val="Hyperlink"/>
                <w:rFonts w:ascii="Arial" w:hAnsi="Arial" w:cs="Arial"/>
                <w:noProof/>
              </w:rPr>
              <w:t>Communication Styles in Practice: UK and Japanese Teams</w:t>
            </w:r>
            <w:r>
              <w:rPr>
                <w:noProof/>
                <w:webHidden/>
              </w:rPr>
              <w:tab/>
            </w:r>
            <w:r>
              <w:rPr>
                <w:noProof/>
                <w:webHidden/>
              </w:rPr>
              <w:fldChar w:fldCharType="begin"/>
            </w:r>
            <w:r>
              <w:rPr>
                <w:noProof/>
                <w:webHidden/>
              </w:rPr>
              <w:instrText xml:space="preserve"> PAGEREF _Toc238468545 \h </w:instrText>
            </w:r>
            <w:r>
              <w:rPr>
                <w:noProof/>
                <w:webHidden/>
              </w:rPr>
            </w:r>
            <w:r>
              <w:rPr>
                <w:noProof/>
                <w:webHidden/>
              </w:rPr>
              <w:fldChar w:fldCharType="separate"/>
            </w:r>
            <w:r>
              <w:rPr>
                <w:noProof/>
                <w:webHidden/>
              </w:rPr>
              <w:t>5</w:t>
            </w:r>
            <w:r>
              <w:rPr>
                <w:noProof/>
                <w:webHidden/>
              </w:rPr>
              <w:fldChar w:fldCharType="end"/>
            </w:r>
          </w:hyperlink>
        </w:p>
        <w:p w14:paraId="7C21A2B0" w14:textId="5B3A1CE4" w:rsidR="009E199C" w:rsidRDefault="009E199C">
          <w:pPr>
            <w:pStyle w:val="TOC2"/>
            <w:tabs>
              <w:tab w:val="left" w:pos="423"/>
              <w:tab w:val="right" w:leader="dot" w:pos="9016"/>
            </w:tabs>
            <w:rPr>
              <w:rFonts w:eastAsiaTheme="minorEastAsia"/>
              <w:b w:val="0"/>
              <w:bCs w:val="0"/>
              <w:smallCaps w:val="0"/>
              <w:noProof/>
              <w:sz w:val="24"/>
              <w:szCs w:val="24"/>
              <w:lang w:eastAsia="en-GB"/>
            </w:rPr>
          </w:pPr>
          <w:hyperlink w:anchor="_Toc238468546" w:history="1">
            <w:r w:rsidRPr="00EF5A1F">
              <w:rPr>
                <w:rStyle w:val="Hyperlink"/>
                <w:rFonts w:ascii="Arial" w:hAnsi="Arial" w:cs="Arial"/>
                <w:noProof/>
              </w:rPr>
              <w:t>1.</w:t>
            </w:r>
            <w:r>
              <w:rPr>
                <w:rFonts w:eastAsiaTheme="minorEastAsia"/>
                <w:b w:val="0"/>
                <w:bCs w:val="0"/>
                <w:smallCaps w:val="0"/>
                <w:noProof/>
                <w:sz w:val="24"/>
                <w:szCs w:val="24"/>
                <w:lang w:eastAsia="en-GB"/>
              </w:rPr>
              <w:tab/>
            </w:r>
            <w:r w:rsidRPr="00EF5A1F">
              <w:rPr>
                <w:rStyle w:val="Hyperlink"/>
                <w:rFonts w:ascii="Arial" w:hAnsi="Arial" w:cs="Arial"/>
                <w:noProof/>
              </w:rPr>
              <w:t>Direct versus Indirect Communication and Silence</w:t>
            </w:r>
            <w:r>
              <w:rPr>
                <w:noProof/>
                <w:webHidden/>
              </w:rPr>
              <w:tab/>
            </w:r>
            <w:r>
              <w:rPr>
                <w:noProof/>
                <w:webHidden/>
              </w:rPr>
              <w:fldChar w:fldCharType="begin"/>
            </w:r>
            <w:r>
              <w:rPr>
                <w:noProof/>
                <w:webHidden/>
              </w:rPr>
              <w:instrText xml:space="preserve"> PAGEREF _Toc238468546 \h </w:instrText>
            </w:r>
            <w:r>
              <w:rPr>
                <w:noProof/>
                <w:webHidden/>
              </w:rPr>
            </w:r>
            <w:r>
              <w:rPr>
                <w:noProof/>
                <w:webHidden/>
              </w:rPr>
              <w:fldChar w:fldCharType="separate"/>
            </w:r>
            <w:r>
              <w:rPr>
                <w:noProof/>
                <w:webHidden/>
              </w:rPr>
              <w:t>5</w:t>
            </w:r>
            <w:r>
              <w:rPr>
                <w:noProof/>
                <w:webHidden/>
              </w:rPr>
              <w:fldChar w:fldCharType="end"/>
            </w:r>
          </w:hyperlink>
        </w:p>
        <w:p w14:paraId="316B3618" w14:textId="61DF7920" w:rsidR="009E199C" w:rsidRDefault="009E199C">
          <w:pPr>
            <w:pStyle w:val="TOC2"/>
            <w:tabs>
              <w:tab w:val="left" w:pos="423"/>
              <w:tab w:val="right" w:leader="dot" w:pos="9016"/>
            </w:tabs>
            <w:rPr>
              <w:rFonts w:eastAsiaTheme="minorEastAsia"/>
              <w:b w:val="0"/>
              <w:bCs w:val="0"/>
              <w:smallCaps w:val="0"/>
              <w:noProof/>
              <w:sz w:val="24"/>
              <w:szCs w:val="24"/>
              <w:lang w:eastAsia="en-GB"/>
            </w:rPr>
          </w:pPr>
          <w:hyperlink w:anchor="_Toc238468547" w:history="1">
            <w:r w:rsidRPr="00EF5A1F">
              <w:rPr>
                <w:rStyle w:val="Hyperlink"/>
                <w:rFonts w:ascii="Arial" w:hAnsi="Arial" w:cs="Arial"/>
                <w:noProof/>
              </w:rPr>
              <w:t>2.</w:t>
            </w:r>
            <w:r>
              <w:rPr>
                <w:rFonts w:eastAsiaTheme="minorEastAsia"/>
                <w:b w:val="0"/>
                <w:bCs w:val="0"/>
                <w:smallCaps w:val="0"/>
                <w:noProof/>
                <w:sz w:val="24"/>
                <w:szCs w:val="24"/>
                <w:lang w:eastAsia="en-GB"/>
              </w:rPr>
              <w:tab/>
            </w:r>
            <w:r w:rsidRPr="00EF5A1F">
              <w:rPr>
                <w:rStyle w:val="Hyperlink"/>
                <w:rFonts w:ascii="Arial" w:hAnsi="Arial" w:cs="Arial"/>
                <w:noProof/>
              </w:rPr>
              <w:t>Nemawashi, Ringi and Consensus Decision-Making</w:t>
            </w:r>
            <w:r>
              <w:rPr>
                <w:noProof/>
                <w:webHidden/>
              </w:rPr>
              <w:tab/>
            </w:r>
            <w:r>
              <w:rPr>
                <w:noProof/>
                <w:webHidden/>
              </w:rPr>
              <w:fldChar w:fldCharType="begin"/>
            </w:r>
            <w:r>
              <w:rPr>
                <w:noProof/>
                <w:webHidden/>
              </w:rPr>
              <w:instrText xml:space="preserve"> PAGEREF _Toc238468547 \h </w:instrText>
            </w:r>
            <w:r>
              <w:rPr>
                <w:noProof/>
                <w:webHidden/>
              </w:rPr>
            </w:r>
            <w:r>
              <w:rPr>
                <w:noProof/>
                <w:webHidden/>
              </w:rPr>
              <w:fldChar w:fldCharType="separate"/>
            </w:r>
            <w:r>
              <w:rPr>
                <w:noProof/>
                <w:webHidden/>
              </w:rPr>
              <w:t>6</w:t>
            </w:r>
            <w:r>
              <w:rPr>
                <w:noProof/>
                <w:webHidden/>
              </w:rPr>
              <w:fldChar w:fldCharType="end"/>
            </w:r>
          </w:hyperlink>
        </w:p>
        <w:p w14:paraId="79070FCE" w14:textId="2F5CC487" w:rsidR="009E199C" w:rsidRDefault="009E199C">
          <w:pPr>
            <w:pStyle w:val="TOC2"/>
            <w:tabs>
              <w:tab w:val="left" w:pos="423"/>
              <w:tab w:val="right" w:leader="dot" w:pos="9016"/>
            </w:tabs>
            <w:rPr>
              <w:rFonts w:eastAsiaTheme="minorEastAsia"/>
              <w:b w:val="0"/>
              <w:bCs w:val="0"/>
              <w:smallCaps w:val="0"/>
              <w:noProof/>
              <w:sz w:val="24"/>
              <w:szCs w:val="24"/>
              <w:lang w:eastAsia="en-GB"/>
            </w:rPr>
          </w:pPr>
          <w:hyperlink w:anchor="_Toc238468548" w:history="1">
            <w:r w:rsidRPr="00EF5A1F">
              <w:rPr>
                <w:rStyle w:val="Hyperlink"/>
                <w:rFonts w:ascii="Arial" w:hAnsi="Arial" w:cs="Arial"/>
                <w:noProof/>
              </w:rPr>
              <w:t>3.</w:t>
            </w:r>
            <w:r>
              <w:rPr>
                <w:rFonts w:eastAsiaTheme="minorEastAsia"/>
                <w:b w:val="0"/>
                <w:bCs w:val="0"/>
                <w:smallCaps w:val="0"/>
                <w:noProof/>
                <w:sz w:val="24"/>
                <w:szCs w:val="24"/>
                <w:lang w:eastAsia="en-GB"/>
              </w:rPr>
              <w:tab/>
            </w:r>
            <w:r w:rsidRPr="00EF5A1F">
              <w:rPr>
                <w:rStyle w:val="Hyperlink"/>
                <w:rFonts w:ascii="Arial" w:hAnsi="Arial" w:cs="Arial"/>
                <w:noProof/>
              </w:rPr>
              <w:t>Honne and Tatemae, and Face</w:t>
            </w:r>
            <w:r>
              <w:rPr>
                <w:noProof/>
                <w:webHidden/>
              </w:rPr>
              <w:tab/>
            </w:r>
            <w:r>
              <w:rPr>
                <w:noProof/>
                <w:webHidden/>
              </w:rPr>
              <w:fldChar w:fldCharType="begin"/>
            </w:r>
            <w:r>
              <w:rPr>
                <w:noProof/>
                <w:webHidden/>
              </w:rPr>
              <w:instrText xml:space="preserve"> PAGEREF _Toc238468548 \h </w:instrText>
            </w:r>
            <w:r>
              <w:rPr>
                <w:noProof/>
                <w:webHidden/>
              </w:rPr>
            </w:r>
            <w:r>
              <w:rPr>
                <w:noProof/>
                <w:webHidden/>
              </w:rPr>
              <w:fldChar w:fldCharType="separate"/>
            </w:r>
            <w:r>
              <w:rPr>
                <w:noProof/>
                <w:webHidden/>
              </w:rPr>
              <w:t>6</w:t>
            </w:r>
            <w:r>
              <w:rPr>
                <w:noProof/>
                <w:webHidden/>
              </w:rPr>
              <w:fldChar w:fldCharType="end"/>
            </w:r>
          </w:hyperlink>
        </w:p>
        <w:p w14:paraId="1EF650EB" w14:textId="44BB1A0B" w:rsidR="009E199C" w:rsidRDefault="009E199C">
          <w:pPr>
            <w:pStyle w:val="TOC2"/>
            <w:tabs>
              <w:tab w:val="left" w:pos="423"/>
              <w:tab w:val="right" w:leader="dot" w:pos="9016"/>
            </w:tabs>
            <w:rPr>
              <w:rFonts w:eastAsiaTheme="minorEastAsia"/>
              <w:b w:val="0"/>
              <w:bCs w:val="0"/>
              <w:smallCaps w:val="0"/>
              <w:noProof/>
              <w:sz w:val="24"/>
              <w:szCs w:val="24"/>
              <w:lang w:eastAsia="en-GB"/>
            </w:rPr>
          </w:pPr>
          <w:hyperlink w:anchor="_Toc238468549" w:history="1">
            <w:r w:rsidRPr="00EF5A1F">
              <w:rPr>
                <w:rStyle w:val="Hyperlink"/>
                <w:rFonts w:ascii="Arial" w:hAnsi="Arial" w:cs="Arial"/>
                <w:noProof/>
              </w:rPr>
              <w:t>4.</w:t>
            </w:r>
            <w:r>
              <w:rPr>
                <w:rFonts w:eastAsiaTheme="minorEastAsia"/>
                <w:b w:val="0"/>
                <w:bCs w:val="0"/>
                <w:smallCaps w:val="0"/>
                <w:noProof/>
                <w:sz w:val="24"/>
                <w:szCs w:val="24"/>
                <w:lang w:eastAsia="en-GB"/>
              </w:rPr>
              <w:tab/>
            </w:r>
            <w:r w:rsidRPr="00EF5A1F">
              <w:rPr>
                <w:rStyle w:val="Hyperlink"/>
                <w:rFonts w:ascii="Arial" w:hAnsi="Arial" w:cs="Arial"/>
                <w:noProof/>
              </w:rPr>
              <w:t>Hierarchy, Meetings and Feedback</w:t>
            </w:r>
            <w:r>
              <w:rPr>
                <w:noProof/>
                <w:webHidden/>
              </w:rPr>
              <w:tab/>
            </w:r>
            <w:r>
              <w:rPr>
                <w:noProof/>
                <w:webHidden/>
              </w:rPr>
              <w:fldChar w:fldCharType="begin"/>
            </w:r>
            <w:r>
              <w:rPr>
                <w:noProof/>
                <w:webHidden/>
              </w:rPr>
              <w:instrText xml:space="preserve"> PAGEREF _Toc238468549 \h </w:instrText>
            </w:r>
            <w:r>
              <w:rPr>
                <w:noProof/>
                <w:webHidden/>
              </w:rPr>
            </w:r>
            <w:r>
              <w:rPr>
                <w:noProof/>
                <w:webHidden/>
              </w:rPr>
              <w:fldChar w:fldCharType="separate"/>
            </w:r>
            <w:r>
              <w:rPr>
                <w:noProof/>
                <w:webHidden/>
              </w:rPr>
              <w:t>6</w:t>
            </w:r>
            <w:r>
              <w:rPr>
                <w:noProof/>
                <w:webHidden/>
              </w:rPr>
              <w:fldChar w:fldCharType="end"/>
            </w:r>
          </w:hyperlink>
        </w:p>
        <w:p w14:paraId="6A8AFD3E" w14:textId="18023249" w:rsidR="009E199C" w:rsidRDefault="009E199C">
          <w:pPr>
            <w:pStyle w:val="TOC2"/>
            <w:tabs>
              <w:tab w:val="left" w:pos="423"/>
              <w:tab w:val="right" w:leader="dot" w:pos="9016"/>
            </w:tabs>
            <w:rPr>
              <w:rFonts w:eastAsiaTheme="minorEastAsia"/>
              <w:b w:val="0"/>
              <w:bCs w:val="0"/>
              <w:smallCaps w:val="0"/>
              <w:noProof/>
              <w:sz w:val="24"/>
              <w:szCs w:val="24"/>
              <w:lang w:eastAsia="en-GB"/>
            </w:rPr>
          </w:pPr>
          <w:hyperlink w:anchor="_Toc238468550" w:history="1">
            <w:r w:rsidRPr="00EF5A1F">
              <w:rPr>
                <w:rStyle w:val="Hyperlink"/>
                <w:rFonts w:ascii="Arial" w:hAnsi="Arial" w:cs="Arial"/>
                <w:noProof/>
              </w:rPr>
              <w:t>5.</w:t>
            </w:r>
            <w:r>
              <w:rPr>
                <w:rFonts w:eastAsiaTheme="minorEastAsia"/>
                <w:b w:val="0"/>
                <w:bCs w:val="0"/>
                <w:smallCaps w:val="0"/>
                <w:noProof/>
                <w:sz w:val="24"/>
                <w:szCs w:val="24"/>
                <w:lang w:eastAsia="en-GB"/>
              </w:rPr>
              <w:tab/>
            </w:r>
            <w:r w:rsidRPr="00EF5A1F">
              <w:rPr>
                <w:rStyle w:val="Hyperlink"/>
                <w:rFonts w:ascii="Arial" w:hAnsi="Arial" w:cs="Arial"/>
                <w:noProof/>
              </w:rPr>
              <w:t>Email, Virtual Communication and English as Lingua Franca</w:t>
            </w:r>
            <w:r>
              <w:rPr>
                <w:noProof/>
                <w:webHidden/>
              </w:rPr>
              <w:tab/>
            </w:r>
            <w:r>
              <w:rPr>
                <w:noProof/>
                <w:webHidden/>
              </w:rPr>
              <w:fldChar w:fldCharType="begin"/>
            </w:r>
            <w:r>
              <w:rPr>
                <w:noProof/>
                <w:webHidden/>
              </w:rPr>
              <w:instrText xml:space="preserve"> PAGEREF _Toc238468550 \h </w:instrText>
            </w:r>
            <w:r>
              <w:rPr>
                <w:noProof/>
                <w:webHidden/>
              </w:rPr>
            </w:r>
            <w:r>
              <w:rPr>
                <w:noProof/>
                <w:webHidden/>
              </w:rPr>
              <w:fldChar w:fldCharType="separate"/>
            </w:r>
            <w:r>
              <w:rPr>
                <w:noProof/>
                <w:webHidden/>
              </w:rPr>
              <w:t>7</w:t>
            </w:r>
            <w:r>
              <w:rPr>
                <w:noProof/>
                <w:webHidden/>
              </w:rPr>
              <w:fldChar w:fldCharType="end"/>
            </w:r>
          </w:hyperlink>
        </w:p>
        <w:p w14:paraId="7122245D" w14:textId="3B622406" w:rsidR="009E199C" w:rsidRDefault="009E199C">
          <w:pPr>
            <w:pStyle w:val="TOC1"/>
            <w:tabs>
              <w:tab w:val="right" w:leader="dot" w:pos="9016"/>
            </w:tabs>
            <w:rPr>
              <w:rFonts w:eastAsiaTheme="minorEastAsia"/>
              <w:b w:val="0"/>
              <w:bCs w:val="0"/>
              <w:caps w:val="0"/>
              <w:noProof/>
              <w:sz w:val="24"/>
              <w:szCs w:val="24"/>
              <w:u w:val="none"/>
              <w:lang w:eastAsia="en-GB"/>
            </w:rPr>
          </w:pPr>
          <w:hyperlink w:anchor="_Toc238468551" w:history="1">
            <w:r w:rsidRPr="00EF5A1F">
              <w:rPr>
                <w:rStyle w:val="Hyperlink"/>
                <w:rFonts w:ascii="Arial" w:hAnsi="Arial" w:cs="Arial"/>
                <w:noProof/>
              </w:rPr>
              <w:t>GLOBE, Cultural Intelligence and Meyer's Culture Map</w:t>
            </w:r>
            <w:r>
              <w:rPr>
                <w:noProof/>
                <w:webHidden/>
              </w:rPr>
              <w:tab/>
            </w:r>
            <w:r>
              <w:rPr>
                <w:noProof/>
                <w:webHidden/>
              </w:rPr>
              <w:fldChar w:fldCharType="begin"/>
            </w:r>
            <w:r>
              <w:rPr>
                <w:noProof/>
                <w:webHidden/>
              </w:rPr>
              <w:instrText xml:space="preserve"> PAGEREF _Toc238468551 \h </w:instrText>
            </w:r>
            <w:r>
              <w:rPr>
                <w:noProof/>
                <w:webHidden/>
              </w:rPr>
            </w:r>
            <w:r>
              <w:rPr>
                <w:noProof/>
                <w:webHidden/>
              </w:rPr>
              <w:fldChar w:fldCharType="separate"/>
            </w:r>
            <w:r>
              <w:rPr>
                <w:noProof/>
                <w:webHidden/>
              </w:rPr>
              <w:t>7</w:t>
            </w:r>
            <w:r>
              <w:rPr>
                <w:noProof/>
                <w:webHidden/>
              </w:rPr>
              <w:fldChar w:fldCharType="end"/>
            </w:r>
          </w:hyperlink>
        </w:p>
        <w:p w14:paraId="45D9F2C1" w14:textId="6B95E552" w:rsidR="009E199C" w:rsidRDefault="009E199C">
          <w:pPr>
            <w:pStyle w:val="TOC1"/>
            <w:tabs>
              <w:tab w:val="right" w:leader="dot" w:pos="9016"/>
            </w:tabs>
            <w:rPr>
              <w:rFonts w:eastAsiaTheme="minorEastAsia"/>
              <w:b w:val="0"/>
              <w:bCs w:val="0"/>
              <w:caps w:val="0"/>
              <w:noProof/>
              <w:sz w:val="24"/>
              <w:szCs w:val="24"/>
              <w:u w:val="none"/>
              <w:lang w:eastAsia="en-GB"/>
            </w:rPr>
          </w:pPr>
          <w:hyperlink w:anchor="_Toc238468552" w:history="1">
            <w:r w:rsidRPr="00EF5A1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_Toc238468552 \h </w:instrText>
            </w:r>
            <w:r>
              <w:rPr>
                <w:noProof/>
                <w:webHidden/>
              </w:rPr>
            </w:r>
            <w:r>
              <w:rPr>
                <w:noProof/>
                <w:webHidden/>
              </w:rPr>
              <w:fldChar w:fldCharType="separate"/>
            </w:r>
            <w:r>
              <w:rPr>
                <w:noProof/>
                <w:webHidden/>
              </w:rPr>
              <w:t>8</w:t>
            </w:r>
            <w:r>
              <w:rPr>
                <w:noProof/>
                <w:webHidden/>
              </w:rPr>
              <w:fldChar w:fldCharType="end"/>
            </w:r>
          </w:hyperlink>
        </w:p>
        <w:p w14:paraId="5542B067" w14:textId="2F73710C" w:rsidR="009E199C" w:rsidRDefault="009E199C">
          <w:pPr>
            <w:pStyle w:val="TOC1"/>
            <w:tabs>
              <w:tab w:val="right" w:leader="dot" w:pos="9016"/>
            </w:tabs>
            <w:rPr>
              <w:rFonts w:eastAsiaTheme="minorEastAsia"/>
              <w:b w:val="0"/>
              <w:bCs w:val="0"/>
              <w:caps w:val="0"/>
              <w:noProof/>
              <w:sz w:val="24"/>
              <w:szCs w:val="24"/>
              <w:u w:val="none"/>
              <w:lang w:eastAsia="en-GB"/>
            </w:rPr>
          </w:pPr>
          <w:hyperlink w:anchor="_Toc238468553" w:history="1">
            <w:r w:rsidRPr="00EF5A1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_Toc238468553 \h </w:instrText>
            </w:r>
            <w:r>
              <w:rPr>
                <w:noProof/>
                <w:webHidden/>
              </w:rPr>
            </w:r>
            <w:r>
              <w:rPr>
                <w:noProof/>
                <w:webHidden/>
              </w:rPr>
              <w:fldChar w:fldCharType="separate"/>
            </w:r>
            <w:r>
              <w:rPr>
                <w:noProof/>
                <w:webHidden/>
              </w:rPr>
              <w:t>9</w:t>
            </w:r>
            <w:r>
              <w:rPr>
                <w:noProof/>
                <w:webHidden/>
              </w:rPr>
              <w:fldChar w:fldCharType="end"/>
            </w:r>
          </w:hyperlink>
        </w:p>
        <w:p w14:paraId="6674C2C0" w14:textId="7A763489" w:rsidR="006C325A" w:rsidRPr="007C20C4" w:rsidRDefault="006C325A" w:rsidP="007C20C4">
          <w:pPr>
            <w:spacing w:line="360" w:lineRule="auto"/>
            <w:jc w:val="both"/>
            <w:rPr>
              <w:rFonts w:ascii="Arial" w:hAnsi="Arial" w:cs="Arial"/>
            </w:rPr>
          </w:pPr>
          <w:r w:rsidRPr="007C20C4">
            <w:rPr>
              <w:rFonts w:ascii="Arial" w:hAnsi="Arial" w:cs="Arial"/>
              <w:b/>
              <w:bCs/>
              <w:noProof/>
            </w:rPr>
            <w:fldChar w:fldCharType="end"/>
          </w:r>
        </w:p>
      </w:sdtContent>
    </w:sdt>
    <w:p w14:paraId="1760D60C" w14:textId="3E64B283" w:rsidR="006C325A" w:rsidRPr="007C20C4" w:rsidRDefault="006C325A" w:rsidP="007C20C4">
      <w:pPr>
        <w:spacing w:line="360" w:lineRule="auto"/>
        <w:jc w:val="both"/>
        <w:rPr>
          <w:rFonts w:ascii="Arial" w:hAnsi="Arial" w:cs="Arial"/>
        </w:rPr>
      </w:pPr>
      <w:r w:rsidRPr="007C20C4">
        <w:rPr>
          <w:rFonts w:ascii="Arial" w:hAnsi="Arial" w:cs="Arial"/>
        </w:rPr>
        <w:br w:type="page"/>
      </w:r>
    </w:p>
    <w:p w14:paraId="3821194B" w14:textId="3FA9865F" w:rsidR="00C825A6" w:rsidRPr="007C20C4" w:rsidRDefault="006C325A" w:rsidP="007C20C4">
      <w:pPr>
        <w:pStyle w:val="Heading1"/>
        <w:spacing w:line="360" w:lineRule="auto"/>
        <w:jc w:val="both"/>
        <w:rPr>
          <w:rFonts w:ascii="Arial" w:hAnsi="Arial" w:cs="Arial"/>
        </w:rPr>
      </w:pPr>
      <w:bookmarkStart w:id="0" w:name="_Toc238468538"/>
      <w:r w:rsidRPr="007C20C4">
        <w:rPr>
          <w:rFonts w:ascii="Arial" w:hAnsi="Arial" w:cs="Arial"/>
        </w:rPr>
        <w:lastRenderedPageBreak/>
        <w:t>Introduction</w:t>
      </w:r>
      <w:bookmarkEnd w:id="0"/>
    </w:p>
    <w:p w14:paraId="7FDB5654" w14:textId="0F0CA6B5" w:rsidR="00CC5FFA" w:rsidRPr="007C20C4" w:rsidRDefault="00CC5FFA" w:rsidP="007C20C4">
      <w:pPr>
        <w:spacing w:line="360" w:lineRule="auto"/>
        <w:jc w:val="both"/>
        <w:rPr>
          <w:rFonts w:ascii="Arial" w:hAnsi="Arial" w:cs="Arial"/>
        </w:rPr>
      </w:pPr>
      <w:r w:rsidRPr="007C20C4">
        <w:rPr>
          <w:rFonts w:ascii="Arial" w:hAnsi="Arial" w:cs="Arial"/>
        </w:rPr>
        <w:t xml:space="preserve">UK–Japan economic cooperation has strengthened through the UK–Japan Comprehensive Economic Partnership Agreement, which took effect in </w:t>
      </w:r>
      <w:r w:rsidRPr="007C20C4">
        <w:rPr>
          <w:rFonts w:ascii="Arial" w:hAnsi="Arial" w:cs="Arial"/>
        </w:rPr>
        <w:t>January 2021,</w:t>
      </w:r>
      <w:r w:rsidRPr="007C20C4">
        <w:rPr>
          <w:rFonts w:ascii="Arial" w:hAnsi="Arial" w:cs="Arial"/>
        </w:rPr>
        <w:t xml:space="preserve"> and the UK’s accession to the CPTPP in December </w:t>
      </w:r>
      <w:r w:rsidRPr="007C20C4">
        <w:rPr>
          <w:rFonts w:ascii="Arial" w:hAnsi="Arial" w:cs="Arial"/>
        </w:rPr>
        <w:t>2024</w:t>
      </w:r>
      <w:r w:rsidRPr="007C20C4">
        <w:rPr>
          <w:rFonts w:ascii="Arial" w:hAnsi="Arial" w:cs="Arial"/>
        </w:rPr>
        <w:t xml:space="preserve"> (GOV.UK, 2026). According to the Department for Business and Trade (2026), bilateral trade </w:t>
      </w:r>
      <w:r w:rsidRPr="007C20C4">
        <w:rPr>
          <w:rFonts w:ascii="Arial" w:hAnsi="Arial" w:cs="Arial"/>
        </w:rPr>
        <w:t>reached $ 33.4 billion</w:t>
      </w:r>
      <w:r w:rsidRPr="007C20C4">
        <w:rPr>
          <w:rFonts w:ascii="Arial" w:hAnsi="Arial" w:cs="Arial"/>
        </w:rPr>
        <w:t xml:space="preserve"> in the four quarters ending in Q</w:t>
      </w:r>
      <w:r w:rsidRPr="007C20C4">
        <w:rPr>
          <w:rFonts w:ascii="Arial" w:hAnsi="Arial" w:cs="Arial"/>
        </w:rPr>
        <w:t>3 2025,</w:t>
      </w:r>
      <w:r w:rsidRPr="007C20C4">
        <w:rPr>
          <w:rFonts w:ascii="Arial" w:hAnsi="Arial" w:cs="Arial"/>
        </w:rPr>
        <w:t xml:space="preserve"> making Japan the UK’s fifteenth largest trading partner. Life sciences </w:t>
      </w:r>
      <w:r w:rsidRPr="007C20C4">
        <w:rPr>
          <w:rFonts w:ascii="Arial" w:hAnsi="Arial" w:cs="Arial"/>
        </w:rPr>
        <w:t>are</w:t>
      </w:r>
      <w:r w:rsidRPr="007C20C4">
        <w:rPr>
          <w:rFonts w:ascii="Arial" w:hAnsi="Arial" w:cs="Arial"/>
        </w:rPr>
        <w:t xml:space="preserve"> particularly important, illustrated by the partnership between Cambridge based AstraZeneca plc and Tokyo based Daiichi Sankyo Co., Ltd.</w:t>
      </w:r>
    </w:p>
    <w:p w14:paraId="4E724E1B" w14:textId="4679AD48" w:rsidR="00CC5FFA" w:rsidRPr="007C20C4" w:rsidRDefault="00CC5FFA" w:rsidP="007C20C4">
      <w:pPr>
        <w:spacing w:line="360" w:lineRule="auto"/>
        <w:jc w:val="both"/>
        <w:rPr>
          <w:rFonts w:ascii="Arial" w:hAnsi="Arial" w:cs="Arial"/>
        </w:rPr>
      </w:pPr>
      <w:r w:rsidRPr="007C20C4">
        <w:rPr>
          <w:rFonts w:ascii="Arial" w:hAnsi="Arial" w:cs="Arial"/>
        </w:rPr>
        <w:t xml:space="preserve">As Country Director for a joint UK–Japanese oncology team, this essay considers how </w:t>
      </w:r>
      <w:proofErr w:type="gramStart"/>
      <w:r w:rsidRPr="007C20C4">
        <w:rPr>
          <w:rFonts w:ascii="Arial" w:hAnsi="Arial" w:cs="Arial"/>
        </w:rPr>
        <w:t>cultural</w:t>
      </w:r>
      <w:proofErr w:type="gramEnd"/>
      <w:r w:rsidRPr="007C20C4">
        <w:rPr>
          <w:rFonts w:ascii="Arial" w:hAnsi="Arial" w:cs="Arial"/>
        </w:rPr>
        <w:t xml:space="preserve"> </w:t>
      </w:r>
      <w:r w:rsidRPr="007C20C4">
        <w:rPr>
          <w:rFonts w:ascii="Arial" w:hAnsi="Arial" w:cs="Arial"/>
        </w:rPr>
        <w:t xml:space="preserve">and communication differences may cause misunderstanding despite shared commercial aims. It examines contrasting communication styles through Hofstede’s cultural dimensions, Hall’s high and low context theory, and Trompenaars and Hampden Turner’s cultural framework. It also evaluates their limitations, as highlighted by McSweeney (2002) and </w:t>
      </w:r>
      <w:proofErr w:type="spellStart"/>
      <w:r w:rsidRPr="007C20C4">
        <w:rPr>
          <w:rFonts w:ascii="Arial" w:hAnsi="Arial" w:cs="Arial"/>
        </w:rPr>
        <w:t>Venaik</w:t>
      </w:r>
      <w:proofErr w:type="spellEnd"/>
      <w:r w:rsidRPr="007C20C4">
        <w:rPr>
          <w:rFonts w:ascii="Arial" w:hAnsi="Arial" w:cs="Arial"/>
        </w:rPr>
        <w:t xml:space="preserve"> and Brewer (2016), while considering GLOBE, cultural intelligence, and Meyer’s (2014) Culture Map. The discussion focuses on directness, silence, </w:t>
      </w:r>
      <w:proofErr w:type="spellStart"/>
      <w:r w:rsidRPr="007C20C4">
        <w:rPr>
          <w:rFonts w:ascii="Arial" w:hAnsi="Arial" w:cs="Arial"/>
        </w:rPr>
        <w:t>nemawashi</w:t>
      </w:r>
      <w:proofErr w:type="spellEnd"/>
      <w:r w:rsidRPr="007C20C4">
        <w:rPr>
          <w:rFonts w:ascii="Arial" w:hAnsi="Arial" w:cs="Arial"/>
        </w:rPr>
        <w:t xml:space="preserve"> and </w:t>
      </w:r>
      <w:proofErr w:type="spellStart"/>
      <w:r w:rsidRPr="007C20C4">
        <w:rPr>
          <w:rFonts w:ascii="Arial" w:hAnsi="Arial" w:cs="Arial"/>
        </w:rPr>
        <w:t>ringi</w:t>
      </w:r>
      <w:proofErr w:type="spellEnd"/>
      <w:r w:rsidRPr="007C20C4">
        <w:rPr>
          <w:rFonts w:ascii="Arial" w:hAnsi="Arial" w:cs="Arial"/>
        </w:rPr>
        <w:t xml:space="preserve">, </w:t>
      </w:r>
      <w:proofErr w:type="spellStart"/>
      <w:r w:rsidRPr="007C20C4">
        <w:rPr>
          <w:rFonts w:ascii="Arial" w:hAnsi="Arial" w:cs="Arial"/>
        </w:rPr>
        <w:t>honne</w:t>
      </w:r>
      <w:proofErr w:type="spellEnd"/>
      <w:r w:rsidRPr="007C20C4">
        <w:rPr>
          <w:rFonts w:ascii="Arial" w:hAnsi="Arial" w:cs="Arial"/>
        </w:rPr>
        <w:t xml:space="preserve"> and </w:t>
      </w:r>
      <w:proofErr w:type="spellStart"/>
      <w:r w:rsidRPr="007C20C4">
        <w:rPr>
          <w:rFonts w:ascii="Arial" w:hAnsi="Arial" w:cs="Arial"/>
        </w:rPr>
        <w:t>tatemae</w:t>
      </w:r>
      <w:proofErr w:type="spellEnd"/>
      <w:r w:rsidRPr="007C20C4">
        <w:rPr>
          <w:rFonts w:ascii="Arial" w:hAnsi="Arial" w:cs="Arial"/>
        </w:rPr>
        <w:t>, hierarchy, meetings, email, and English as a shared working language.</w:t>
      </w:r>
    </w:p>
    <w:p w14:paraId="15FB90DB" w14:textId="656DFBE9" w:rsidR="006C325A" w:rsidRPr="007C20C4" w:rsidRDefault="00EC6BFA" w:rsidP="007C20C4">
      <w:pPr>
        <w:pStyle w:val="Heading1"/>
        <w:spacing w:line="360" w:lineRule="auto"/>
        <w:jc w:val="both"/>
        <w:rPr>
          <w:rFonts w:ascii="Arial" w:hAnsi="Arial" w:cs="Arial"/>
        </w:rPr>
      </w:pPr>
      <w:bookmarkStart w:id="1" w:name="_Toc238468539"/>
      <w:r w:rsidRPr="007C20C4">
        <w:rPr>
          <w:rFonts w:ascii="Arial" w:hAnsi="Arial" w:cs="Arial"/>
        </w:rPr>
        <w:t>The UK–Japan Business Context: AstraZeneca and Daiichi Sankyo</w:t>
      </w:r>
      <w:bookmarkEnd w:id="1"/>
    </w:p>
    <w:p w14:paraId="42FB6C0E" w14:textId="2BEFD2B6" w:rsidR="00CC5FFA" w:rsidRPr="007C20C4" w:rsidRDefault="00CC5FFA" w:rsidP="007C20C4">
      <w:pPr>
        <w:spacing w:line="360" w:lineRule="auto"/>
        <w:jc w:val="both"/>
        <w:rPr>
          <w:rFonts w:ascii="Arial" w:hAnsi="Arial" w:cs="Arial"/>
        </w:rPr>
      </w:pPr>
      <w:r w:rsidRPr="007C20C4">
        <w:rPr>
          <w:rFonts w:ascii="Arial" w:hAnsi="Arial" w:cs="Arial"/>
        </w:rPr>
        <w:t xml:space="preserve">AstraZeneca and Daiichi Sankyo established a worldwide development and commercialisation partnership for trastuzumab </w:t>
      </w:r>
      <w:proofErr w:type="spellStart"/>
      <w:r w:rsidRPr="007C20C4">
        <w:rPr>
          <w:rFonts w:ascii="Arial" w:hAnsi="Arial" w:cs="Arial"/>
        </w:rPr>
        <w:t>deruxtecan</w:t>
      </w:r>
      <w:proofErr w:type="spellEnd"/>
      <w:r w:rsidRPr="007C20C4">
        <w:rPr>
          <w:rFonts w:ascii="Arial" w:hAnsi="Arial" w:cs="Arial"/>
        </w:rPr>
        <w:t xml:space="preserve">, known as </w:t>
      </w:r>
      <w:proofErr w:type="spellStart"/>
      <w:r w:rsidRPr="007C20C4">
        <w:rPr>
          <w:rFonts w:ascii="Arial" w:hAnsi="Arial" w:cs="Arial"/>
        </w:rPr>
        <w:t>Enhertu</w:t>
      </w:r>
      <w:proofErr w:type="spellEnd"/>
      <w:r w:rsidRPr="007C20C4">
        <w:rPr>
          <w:rFonts w:ascii="Arial" w:hAnsi="Arial" w:cs="Arial"/>
        </w:rPr>
        <w:t xml:space="preserve">, in March </w:t>
      </w:r>
      <w:r w:rsidRPr="007C20C4">
        <w:rPr>
          <w:rFonts w:ascii="Arial" w:hAnsi="Arial" w:cs="Arial"/>
        </w:rPr>
        <w:t>2019</w:t>
      </w:r>
      <w:r w:rsidRPr="007C20C4">
        <w:rPr>
          <w:rFonts w:ascii="Arial" w:hAnsi="Arial" w:cs="Arial"/>
        </w:rPr>
        <w:t xml:space="preserve">. Daiichi Sankyo originally discovered this HER2 targeted antibody drug conjugate, and the companies extended their collaboration in </w:t>
      </w:r>
      <w:r w:rsidR="009E199C" w:rsidRPr="007C20C4">
        <w:rPr>
          <w:rFonts w:ascii="Arial" w:hAnsi="Arial" w:cs="Arial"/>
        </w:rPr>
        <w:t>July 2020</w:t>
      </w:r>
      <w:r w:rsidRPr="007C20C4">
        <w:rPr>
          <w:rFonts w:ascii="Arial" w:hAnsi="Arial" w:cs="Arial"/>
        </w:rPr>
        <w:t xml:space="preserve"> </w:t>
      </w:r>
      <w:r w:rsidRPr="007C20C4">
        <w:rPr>
          <w:rFonts w:ascii="Arial" w:hAnsi="Arial" w:cs="Arial"/>
        </w:rPr>
        <w:t xml:space="preserve">to include </w:t>
      </w:r>
      <w:proofErr w:type="spellStart"/>
      <w:r w:rsidRPr="007C20C4">
        <w:rPr>
          <w:rFonts w:ascii="Arial" w:hAnsi="Arial" w:cs="Arial"/>
        </w:rPr>
        <w:t>datopotamab</w:t>
      </w:r>
      <w:proofErr w:type="spellEnd"/>
      <w:r w:rsidRPr="007C20C4">
        <w:rPr>
          <w:rFonts w:ascii="Arial" w:hAnsi="Arial" w:cs="Arial"/>
        </w:rPr>
        <w:t xml:space="preserve"> </w:t>
      </w:r>
      <w:proofErr w:type="spellStart"/>
      <w:r w:rsidRPr="007C20C4">
        <w:rPr>
          <w:rFonts w:ascii="Arial" w:hAnsi="Arial" w:cs="Arial"/>
        </w:rPr>
        <w:t>deruxtecan</w:t>
      </w:r>
      <w:proofErr w:type="spellEnd"/>
      <w:r w:rsidRPr="007C20C4">
        <w:rPr>
          <w:rFonts w:ascii="Arial" w:hAnsi="Arial" w:cs="Arial"/>
        </w:rPr>
        <w:t xml:space="preserve">, also called Dato </w:t>
      </w:r>
      <w:proofErr w:type="spellStart"/>
      <w:r w:rsidRPr="007C20C4">
        <w:rPr>
          <w:rFonts w:ascii="Arial" w:hAnsi="Arial" w:cs="Arial"/>
        </w:rPr>
        <w:t>DXd</w:t>
      </w:r>
      <w:proofErr w:type="spellEnd"/>
      <w:r w:rsidRPr="007C20C4">
        <w:rPr>
          <w:rFonts w:ascii="Arial" w:hAnsi="Arial" w:cs="Arial"/>
        </w:rPr>
        <w:t xml:space="preserve"> or </w:t>
      </w:r>
      <w:proofErr w:type="spellStart"/>
      <w:r w:rsidRPr="007C20C4">
        <w:rPr>
          <w:rFonts w:ascii="Arial" w:hAnsi="Arial" w:cs="Arial"/>
        </w:rPr>
        <w:t>Datroway</w:t>
      </w:r>
      <w:proofErr w:type="spellEnd"/>
      <w:r w:rsidRPr="007C20C4">
        <w:rPr>
          <w:rFonts w:ascii="Arial" w:hAnsi="Arial" w:cs="Arial"/>
        </w:rPr>
        <w:t xml:space="preserve"> (AstraZeneca, 2020). Both organisations share global development, marketing costs, and profits equally, although Daiichi Sankyo holds exclusive commercial and manufacturing responsibility in Japan (AstraZeneca, 2020; Pharmaceutical Technology, 2022). This arrangement demonstrates that even highly integrated international partnerships may require local autonomy within the Japanese market.</w:t>
      </w:r>
    </w:p>
    <w:p w14:paraId="426D3080" w14:textId="276D5BA4" w:rsidR="00CC5FFA" w:rsidRPr="007C20C4" w:rsidRDefault="00CC5FFA" w:rsidP="007C20C4">
      <w:pPr>
        <w:spacing w:line="360" w:lineRule="auto"/>
        <w:jc w:val="both"/>
        <w:rPr>
          <w:rFonts w:ascii="Arial" w:hAnsi="Arial" w:cs="Arial"/>
        </w:rPr>
      </w:pPr>
      <w:r w:rsidRPr="007C20C4">
        <w:rPr>
          <w:rFonts w:ascii="Arial" w:hAnsi="Arial" w:cs="Arial"/>
        </w:rPr>
        <w:lastRenderedPageBreak/>
        <w:t xml:space="preserve">Combined </w:t>
      </w:r>
      <w:proofErr w:type="spellStart"/>
      <w:r w:rsidRPr="007C20C4">
        <w:rPr>
          <w:rFonts w:ascii="Arial" w:hAnsi="Arial" w:cs="Arial"/>
        </w:rPr>
        <w:t>Enhertu</w:t>
      </w:r>
      <w:proofErr w:type="spellEnd"/>
      <w:r w:rsidRPr="007C20C4">
        <w:rPr>
          <w:rFonts w:ascii="Arial" w:hAnsi="Arial" w:cs="Arial"/>
        </w:rPr>
        <w:t xml:space="preserve"> sales exceeded US </w:t>
      </w:r>
      <w:r w:rsidRPr="007C20C4">
        <w:rPr>
          <w:rFonts w:ascii="Arial" w:hAnsi="Arial" w:cs="Arial"/>
        </w:rPr>
        <w:t>3.7</w:t>
      </w:r>
      <w:r w:rsidRPr="007C20C4">
        <w:rPr>
          <w:rFonts w:ascii="Arial" w:hAnsi="Arial" w:cs="Arial"/>
        </w:rPr>
        <w:t xml:space="preserve"> billion in </w:t>
      </w:r>
      <w:r w:rsidRPr="007C20C4">
        <w:rPr>
          <w:rFonts w:ascii="Arial" w:hAnsi="Arial" w:cs="Arial"/>
        </w:rPr>
        <w:t>2024</w:t>
      </w:r>
      <w:r w:rsidRPr="007C20C4">
        <w:rPr>
          <w:rFonts w:ascii="Arial" w:hAnsi="Arial" w:cs="Arial"/>
        </w:rPr>
        <w:t xml:space="preserve">, representing annual growth of more than </w:t>
      </w:r>
      <w:r w:rsidRPr="007C20C4">
        <w:rPr>
          <w:rFonts w:ascii="Arial" w:hAnsi="Arial" w:cs="Arial"/>
        </w:rPr>
        <w:t>46</w:t>
      </w:r>
      <w:r w:rsidRPr="007C20C4">
        <w:rPr>
          <w:rFonts w:ascii="Arial" w:hAnsi="Arial" w:cs="Arial"/>
        </w:rPr>
        <w:t xml:space="preserve"> per cent (</w:t>
      </w:r>
      <w:proofErr w:type="spellStart"/>
      <w:r w:rsidRPr="007C20C4">
        <w:rPr>
          <w:rFonts w:ascii="Arial" w:hAnsi="Arial" w:cs="Arial"/>
        </w:rPr>
        <w:t>MedCity</w:t>
      </w:r>
      <w:proofErr w:type="spellEnd"/>
      <w:r w:rsidRPr="007C20C4">
        <w:rPr>
          <w:rFonts w:ascii="Arial" w:hAnsi="Arial" w:cs="Arial"/>
        </w:rPr>
        <w:t xml:space="preserve"> News, 2025). According to the Japan Times (2023), Daiichi Sankyo leaders described the alliance as transformative because it strengthened the company’s reputation, ability to recruit highly skilled employees, and oncology capabilities, although their intention to develop future products independently suggests a changing balance of influence.</w:t>
      </w:r>
    </w:p>
    <w:p w14:paraId="31A68974" w14:textId="271F5FEA" w:rsidR="00CC5FFA" w:rsidRPr="007C20C4" w:rsidRDefault="00CC5FFA" w:rsidP="007C20C4">
      <w:pPr>
        <w:spacing w:line="360" w:lineRule="auto"/>
        <w:jc w:val="both"/>
        <w:rPr>
          <w:rFonts w:ascii="Arial" w:hAnsi="Arial" w:cs="Arial"/>
        </w:rPr>
      </w:pPr>
      <w:r w:rsidRPr="007C20C4">
        <w:rPr>
          <w:rFonts w:ascii="Arial" w:hAnsi="Arial" w:cs="Arial"/>
        </w:rPr>
        <w:t xml:space="preserve">The collaboration reflects wider UK–Japan economic integration, since Japanese direct investment in the UK reached about </w:t>
      </w:r>
      <w:r w:rsidR="007033BD" w:rsidRPr="007C20C4">
        <w:rPr>
          <w:rFonts w:ascii="Arial" w:hAnsi="Arial" w:cs="Arial"/>
        </w:rPr>
        <w:t xml:space="preserve">$78.4 </w:t>
      </w:r>
      <w:r w:rsidRPr="007C20C4">
        <w:rPr>
          <w:rFonts w:ascii="Arial" w:hAnsi="Arial" w:cs="Arial"/>
        </w:rPr>
        <w:t xml:space="preserve">billion by the end of </w:t>
      </w:r>
      <w:r w:rsidR="007033BD" w:rsidRPr="007C20C4">
        <w:rPr>
          <w:rFonts w:ascii="Arial" w:hAnsi="Arial" w:cs="Arial"/>
        </w:rPr>
        <w:t>2023</w:t>
      </w:r>
      <w:r w:rsidRPr="007C20C4">
        <w:rPr>
          <w:rFonts w:ascii="Arial" w:hAnsi="Arial" w:cs="Arial"/>
        </w:rPr>
        <w:t xml:space="preserve">, compared </w:t>
      </w:r>
      <w:r w:rsidR="009E199C" w:rsidRPr="007C20C4">
        <w:rPr>
          <w:rFonts w:ascii="Arial" w:hAnsi="Arial" w:cs="Arial"/>
        </w:rPr>
        <w:t>with $</w:t>
      </w:r>
      <w:r w:rsidR="007033BD" w:rsidRPr="007C20C4">
        <w:rPr>
          <w:rFonts w:ascii="Arial" w:hAnsi="Arial" w:cs="Arial"/>
        </w:rPr>
        <w:t xml:space="preserve">3.2 </w:t>
      </w:r>
      <w:r w:rsidRPr="007C20C4">
        <w:rPr>
          <w:rFonts w:ascii="Arial" w:hAnsi="Arial" w:cs="Arial"/>
        </w:rPr>
        <w:t xml:space="preserve">billion of UK investment in Japan (British Chamber of Commerce in Japan, 2025). JETRO (2025) reports continuing inward investment and assists overseas companies in adapting to Japan’s distinctive institutional setting. As per Nishimura, </w:t>
      </w:r>
      <w:proofErr w:type="spellStart"/>
      <w:r w:rsidRPr="007C20C4">
        <w:rPr>
          <w:rFonts w:ascii="Arial" w:hAnsi="Arial" w:cs="Arial"/>
        </w:rPr>
        <w:t>Nevgi</w:t>
      </w:r>
      <w:proofErr w:type="spellEnd"/>
      <w:r w:rsidRPr="007C20C4">
        <w:rPr>
          <w:rFonts w:ascii="Arial" w:hAnsi="Arial" w:cs="Arial"/>
        </w:rPr>
        <w:t xml:space="preserve"> and Tella (n.d.), Japanese business practices continue to reflect hierarchy, collective responsibility, and social harmony, or </w:t>
      </w:r>
      <w:proofErr w:type="spellStart"/>
      <w:r w:rsidRPr="007C20C4">
        <w:rPr>
          <w:rFonts w:ascii="Arial" w:hAnsi="Arial" w:cs="Arial"/>
        </w:rPr>
        <w:t>wa</w:t>
      </w:r>
      <w:proofErr w:type="spellEnd"/>
      <w:r w:rsidRPr="007C20C4">
        <w:rPr>
          <w:rFonts w:ascii="Arial" w:hAnsi="Arial" w:cs="Arial"/>
        </w:rPr>
        <w:t>. Therefore, a Country Director must balance relatively low context and individually accountable UK practices with Japanese preferences for contextual communication, consensus, and hierarchical coordination, while recognising diversity within both cultures.</w:t>
      </w:r>
    </w:p>
    <w:p w14:paraId="3645B3B3" w14:textId="2B0BAB53" w:rsidR="00EC6BFA" w:rsidRPr="007C20C4" w:rsidRDefault="00EC6BFA" w:rsidP="007C20C4">
      <w:pPr>
        <w:pStyle w:val="Heading1"/>
        <w:spacing w:line="360" w:lineRule="auto"/>
        <w:jc w:val="both"/>
        <w:rPr>
          <w:rFonts w:ascii="Arial" w:hAnsi="Arial" w:cs="Arial"/>
        </w:rPr>
      </w:pPr>
      <w:bookmarkStart w:id="2" w:name="_Toc238468540"/>
      <w:r w:rsidRPr="007C20C4">
        <w:rPr>
          <w:rFonts w:ascii="Arial" w:hAnsi="Arial" w:cs="Arial"/>
        </w:rPr>
        <w:t>Theoretical Foundations: Cultural Dimension Theories</w:t>
      </w:r>
      <w:bookmarkEnd w:id="2"/>
    </w:p>
    <w:p w14:paraId="38B1150F" w14:textId="7C81A635" w:rsidR="00EC6BFA" w:rsidRPr="007C20C4" w:rsidRDefault="00EC6BFA" w:rsidP="007C20C4">
      <w:pPr>
        <w:pStyle w:val="Heading2"/>
        <w:numPr>
          <w:ilvl w:val="0"/>
          <w:numId w:val="1"/>
        </w:numPr>
        <w:spacing w:line="360" w:lineRule="auto"/>
        <w:jc w:val="both"/>
        <w:rPr>
          <w:rFonts w:ascii="Arial" w:hAnsi="Arial" w:cs="Arial"/>
        </w:rPr>
      </w:pPr>
      <w:bookmarkStart w:id="3" w:name="_Toc238468541"/>
      <w:r w:rsidRPr="007C20C4">
        <w:rPr>
          <w:rFonts w:ascii="Arial" w:hAnsi="Arial" w:cs="Arial"/>
        </w:rPr>
        <w:t>Hofstede's Cultural Dimensions</w:t>
      </w:r>
      <w:bookmarkEnd w:id="3"/>
    </w:p>
    <w:p w14:paraId="05992B85" w14:textId="61CD518F" w:rsidR="007033BD" w:rsidRPr="007C20C4" w:rsidRDefault="007033BD" w:rsidP="007C20C4">
      <w:pPr>
        <w:spacing w:line="360" w:lineRule="auto"/>
        <w:jc w:val="both"/>
        <w:rPr>
          <w:rFonts w:ascii="Arial" w:hAnsi="Arial" w:cs="Arial"/>
        </w:rPr>
      </w:pPr>
      <w:r w:rsidRPr="007C20C4">
        <w:rPr>
          <w:rFonts w:ascii="Arial" w:hAnsi="Arial" w:cs="Arial"/>
        </w:rPr>
        <w:t xml:space="preserve">Hofstede’s model, developed from an IBM survey involving more than </w:t>
      </w:r>
      <w:r w:rsidRPr="007C20C4">
        <w:rPr>
          <w:rFonts w:ascii="Arial" w:hAnsi="Arial" w:cs="Arial"/>
        </w:rPr>
        <w:t>40</w:t>
      </w:r>
      <w:r w:rsidRPr="007C20C4">
        <w:rPr>
          <w:rFonts w:ascii="Arial" w:hAnsi="Arial" w:cs="Arial"/>
        </w:rPr>
        <w:t xml:space="preserve"> countries, identifies cultural dimensions such as power distance, individualism and collectivism, masculinity and femininity, and uncertainty avoidance (Hofstede, 1980, 2001). Japan records scores of </w:t>
      </w:r>
      <w:r w:rsidRPr="007C20C4">
        <w:rPr>
          <w:rFonts w:ascii="Arial" w:hAnsi="Arial" w:cs="Arial"/>
        </w:rPr>
        <w:t>54</w:t>
      </w:r>
      <w:r w:rsidRPr="007C20C4">
        <w:rPr>
          <w:rFonts w:ascii="Arial" w:hAnsi="Arial" w:cs="Arial"/>
        </w:rPr>
        <w:t xml:space="preserve"> for power distance, </w:t>
      </w:r>
      <w:r w:rsidRPr="007C20C4">
        <w:rPr>
          <w:rFonts w:ascii="Arial" w:hAnsi="Arial" w:cs="Arial"/>
        </w:rPr>
        <w:t>46</w:t>
      </w:r>
      <w:r w:rsidRPr="007C20C4">
        <w:rPr>
          <w:rFonts w:ascii="Arial" w:hAnsi="Arial" w:cs="Arial"/>
        </w:rPr>
        <w:t xml:space="preserve"> for individualism, </w:t>
      </w:r>
      <w:r w:rsidRPr="007C20C4">
        <w:rPr>
          <w:rFonts w:ascii="Arial" w:hAnsi="Arial" w:cs="Arial"/>
        </w:rPr>
        <w:t xml:space="preserve">95 </w:t>
      </w:r>
      <w:r w:rsidRPr="007C20C4">
        <w:rPr>
          <w:rFonts w:ascii="Arial" w:hAnsi="Arial" w:cs="Arial"/>
        </w:rPr>
        <w:t xml:space="preserve">for masculinity, and </w:t>
      </w:r>
      <w:r w:rsidRPr="007C20C4">
        <w:rPr>
          <w:rFonts w:ascii="Arial" w:hAnsi="Arial" w:cs="Arial"/>
        </w:rPr>
        <w:t xml:space="preserve">92 </w:t>
      </w:r>
      <w:r w:rsidRPr="007C20C4">
        <w:rPr>
          <w:rFonts w:ascii="Arial" w:hAnsi="Arial" w:cs="Arial"/>
        </w:rPr>
        <w:t xml:space="preserve">for uncertainty avoidance (Nagoya University, n.d.; Hofstede Insights, cited in </w:t>
      </w:r>
      <w:proofErr w:type="spellStart"/>
      <w:r w:rsidRPr="007C20C4">
        <w:rPr>
          <w:rFonts w:ascii="Arial" w:hAnsi="Arial" w:cs="Arial"/>
        </w:rPr>
        <w:t>Nagioralenglish</w:t>
      </w:r>
      <w:proofErr w:type="spellEnd"/>
      <w:r w:rsidRPr="007C20C4">
        <w:rPr>
          <w:rFonts w:ascii="Arial" w:hAnsi="Arial" w:cs="Arial"/>
        </w:rPr>
        <w:t xml:space="preserve">, 2018). Its moderate individualism score is important because Japan is less collectivist than several neighbouring Confucian heritage societies, despite being widely characterised as uniformly collectivist. High uncertainty avoidance is associated with detailed planning and cautious procedures, whereas high masculinity indicates a strong focus on achievement rather than necessarily assertive personal behaviour. By comparison, the UK is more individualistic and less uncertainty avoidant, </w:t>
      </w:r>
      <w:r w:rsidRPr="007C20C4">
        <w:rPr>
          <w:rFonts w:ascii="Arial" w:hAnsi="Arial" w:cs="Arial"/>
        </w:rPr>
        <w:lastRenderedPageBreak/>
        <w:t>which may encourage comfort with ambiguity and individual responsibility while creating tension with Japanese preferences for consensus.</w:t>
      </w:r>
    </w:p>
    <w:p w14:paraId="597B8C16" w14:textId="73BA16BC" w:rsidR="00EC6BFA" w:rsidRPr="007C20C4" w:rsidRDefault="00EC6BFA" w:rsidP="007C20C4">
      <w:pPr>
        <w:pStyle w:val="Heading2"/>
        <w:numPr>
          <w:ilvl w:val="0"/>
          <w:numId w:val="1"/>
        </w:numPr>
        <w:spacing w:line="360" w:lineRule="auto"/>
        <w:jc w:val="both"/>
        <w:rPr>
          <w:rFonts w:ascii="Arial" w:hAnsi="Arial" w:cs="Arial"/>
        </w:rPr>
      </w:pPr>
      <w:bookmarkStart w:id="4" w:name="_Toc238468542"/>
      <w:r w:rsidRPr="007C20C4">
        <w:rPr>
          <w:rFonts w:ascii="Arial" w:hAnsi="Arial" w:cs="Arial"/>
        </w:rPr>
        <w:t>Hall's High-Context/Low-Context Communication Theory</w:t>
      </w:r>
      <w:bookmarkEnd w:id="4"/>
    </w:p>
    <w:p w14:paraId="0C19BE60" w14:textId="6633B256" w:rsidR="007033BD" w:rsidRPr="007C20C4" w:rsidRDefault="007033BD" w:rsidP="007C20C4">
      <w:pPr>
        <w:spacing w:line="360" w:lineRule="auto"/>
        <w:jc w:val="both"/>
        <w:rPr>
          <w:rFonts w:ascii="Arial" w:hAnsi="Arial" w:cs="Arial"/>
        </w:rPr>
      </w:pPr>
      <w:r w:rsidRPr="007C20C4">
        <w:rPr>
          <w:rFonts w:ascii="Arial" w:hAnsi="Arial" w:cs="Arial"/>
        </w:rPr>
        <w:t xml:space="preserve">Hall’s (1976) distinction between high context and low context communication remains influential in intercultural business research. In high context cultures, much meaning comes from the situation, shared experience, and unspoken understanding, while relatively little is communicated through explicit words, according to Hall (1976, p. </w:t>
      </w:r>
      <w:r w:rsidRPr="007C20C4">
        <w:rPr>
          <w:rFonts w:ascii="Arial" w:hAnsi="Arial" w:cs="Arial"/>
        </w:rPr>
        <w:t>91</w:t>
      </w:r>
      <w:r w:rsidRPr="007C20C4">
        <w:rPr>
          <w:rFonts w:ascii="Arial" w:hAnsi="Arial" w:cs="Arial"/>
        </w:rPr>
        <w:t xml:space="preserve">, cited in Pure </w:t>
      </w:r>
      <w:proofErr w:type="spellStart"/>
      <w:r w:rsidRPr="007C20C4">
        <w:rPr>
          <w:rFonts w:ascii="Arial" w:hAnsi="Arial" w:cs="Arial"/>
        </w:rPr>
        <w:t>UvT</w:t>
      </w:r>
      <w:proofErr w:type="spellEnd"/>
      <w:r w:rsidRPr="007C20C4">
        <w:rPr>
          <w:rFonts w:ascii="Arial" w:hAnsi="Arial" w:cs="Arial"/>
        </w:rPr>
        <w:t>, n.d.). Conversely, low context cultures depend mainly on clear verbal and written messages. Hall and Hall (1990) position Japan among the world’s most high context societies, whereas the UK is closer to the low context end of the scale (Japan Times, 2017). Consequently, Japanese colleagues may rely on background knowledge and nonverbal signals, while UK colleagues often expect intentions to be directly expressed. A request for a definite answer may therefore appear insensitive to Japanese staff, whereas an indirect reply may seem unclear or evasive to UK employees.</w:t>
      </w:r>
    </w:p>
    <w:p w14:paraId="72DD420E" w14:textId="2D3C0F05" w:rsidR="00EC6BFA" w:rsidRPr="007C20C4" w:rsidRDefault="00EC6BFA" w:rsidP="007C20C4">
      <w:pPr>
        <w:pStyle w:val="Heading2"/>
        <w:numPr>
          <w:ilvl w:val="0"/>
          <w:numId w:val="1"/>
        </w:numPr>
        <w:spacing w:line="360" w:lineRule="auto"/>
        <w:jc w:val="both"/>
        <w:rPr>
          <w:rFonts w:ascii="Arial" w:hAnsi="Arial" w:cs="Arial"/>
        </w:rPr>
      </w:pPr>
      <w:bookmarkStart w:id="5" w:name="_Toc238468543"/>
      <w:r w:rsidRPr="007C20C4">
        <w:rPr>
          <w:rFonts w:ascii="Arial" w:hAnsi="Arial" w:cs="Arial"/>
        </w:rPr>
        <w:t>Trompenaars' Seven Dimensions of Culture</w:t>
      </w:r>
      <w:bookmarkEnd w:id="5"/>
    </w:p>
    <w:p w14:paraId="007D7402" w14:textId="649671E6" w:rsidR="007033BD" w:rsidRPr="007C20C4" w:rsidRDefault="000B7536" w:rsidP="007C20C4">
      <w:pPr>
        <w:spacing w:line="360" w:lineRule="auto"/>
        <w:jc w:val="both"/>
        <w:rPr>
          <w:rFonts w:ascii="Arial" w:hAnsi="Arial" w:cs="Arial"/>
        </w:rPr>
      </w:pPr>
      <w:r w:rsidRPr="007C20C4">
        <w:rPr>
          <w:rFonts w:ascii="Arial" w:hAnsi="Arial" w:cs="Arial"/>
        </w:rPr>
        <w:t xml:space="preserve">Trompenaars and Hampden Turner’s </w:t>
      </w:r>
      <w:r w:rsidRPr="007C20C4">
        <w:rPr>
          <w:rFonts w:ascii="Arial" w:hAnsi="Arial" w:cs="Arial"/>
        </w:rPr>
        <w:t>1997</w:t>
      </w:r>
      <w:r w:rsidRPr="007C20C4">
        <w:rPr>
          <w:rFonts w:ascii="Arial" w:hAnsi="Arial" w:cs="Arial"/>
        </w:rPr>
        <w:t xml:space="preserve"> framework contains seven cultural dimensions concerning relationships, attitudes to time, and orientations towards the environment (</w:t>
      </w:r>
      <w:proofErr w:type="spellStart"/>
      <w:r w:rsidRPr="007C20C4">
        <w:rPr>
          <w:rFonts w:ascii="Arial" w:hAnsi="Arial" w:cs="Arial"/>
        </w:rPr>
        <w:t>Umbrex</w:t>
      </w:r>
      <w:proofErr w:type="spellEnd"/>
      <w:r w:rsidRPr="007C20C4">
        <w:rPr>
          <w:rFonts w:ascii="Arial" w:hAnsi="Arial" w:cs="Arial"/>
        </w:rPr>
        <w:t xml:space="preserve">, 2026). Japan generally reflects particularism, communitarianism, emotional restraint, and a diffuse approach, in which professional and personal relationships often overlap through activities such as </w:t>
      </w:r>
      <w:proofErr w:type="spellStart"/>
      <w:r w:rsidRPr="007C20C4">
        <w:rPr>
          <w:rFonts w:ascii="Arial" w:hAnsi="Arial" w:cs="Arial"/>
        </w:rPr>
        <w:t>nomikai</w:t>
      </w:r>
      <w:proofErr w:type="spellEnd"/>
      <w:r w:rsidRPr="007C20C4">
        <w:rPr>
          <w:rFonts w:ascii="Arial" w:hAnsi="Arial" w:cs="Arial"/>
        </w:rPr>
        <w:t xml:space="preserve">, or after work socialising (THT Consulting, 2026). In contrast, the UK more commonly favours universal rules, individual responsibility, and specific boundaries between work and private life. The distinction between achievement and ascription is particularly relevant because UK organisations often assign authority through demonstrated competence, whereas Japanese status may also depend on seniority, known as </w:t>
      </w:r>
      <w:proofErr w:type="spellStart"/>
      <w:r w:rsidRPr="007C20C4">
        <w:rPr>
          <w:rFonts w:ascii="Arial" w:hAnsi="Arial" w:cs="Arial"/>
        </w:rPr>
        <w:t>nenko</w:t>
      </w:r>
      <w:proofErr w:type="spellEnd"/>
      <w:r w:rsidRPr="007C20C4">
        <w:rPr>
          <w:rFonts w:ascii="Arial" w:hAnsi="Arial" w:cs="Arial"/>
        </w:rPr>
        <w:t>. Consequently, prioritising the most technically capable individual may conflict with Japanese expectations that colleagues show appropriate respect to the most senior person.</w:t>
      </w:r>
    </w:p>
    <w:p w14:paraId="67380635" w14:textId="6B5314BD" w:rsidR="00EC6BFA" w:rsidRPr="007C20C4" w:rsidRDefault="00EC6BFA" w:rsidP="007C20C4">
      <w:pPr>
        <w:pStyle w:val="Heading1"/>
        <w:spacing w:line="360" w:lineRule="auto"/>
        <w:jc w:val="both"/>
        <w:rPr>
          <w:rFonts w:ascii="Arial" w:hAnsi="Arial" w:cs="Arial"/>
        </w:rPr>
      </w:pPr>
      <w:bookmarkStart w:id="6" w:name="_Toc238468544"/>
      <w:r w:rsidRPr="007C20C4">
        <w:rPr>
          <w:rFonts w:ascii="Arial" w:hAnsi="Arial" w:cs="Arial"/>
        </w:rPr>
        <w:lastRenderedPageBreak/>
        <w:t>Critical Evaluation of National-Culture Frameworks</w:t>
      </w:r>
      <w:bookmarkEnd w:id="6"/>
    </w:p>
    <w:p w14:paraId="4AC26AC6" w14:textId="54B6AEDF" w:rsidR="000B7536" w:rsidRPr="007C20C4" w:rsidRDefault="000B7536" w:rsidP="007C20C4">
      <w:pPr>
        <w:spacing w:line="360" w:lineRule="auto"/>
        <w:jc w:val="both"/>
        <w:rPr>
          <w:rFonts w:ascii="Arial" w:hAnsi="Arial" w:cs="Arial"/>
        </w:rPr>
      </w:pPr>
      <w:r w:rsidRPr="007C20C4">
        <w:rPr>
          <w:rFonts w:ascii="Arial" w:hAnsi="Arial" w:cs="Arial"/>
        </w:rPr>
        <w:t xml:space="preserve">Applying cultural frameworks without critical reflection can reduce national culture to a fixed and deterministic characteristic, thereby presenting labels such as Japanese or British as explanations for individual behaviour. According to McSweeney (2002), Hofstede’s conclusion that IBM survey data revealed coherent national cultures lacks methodological support because national populations are culturally diverse and correlations do not establish causation. Brewer and </w:t>
      </w:r>
      <w:proofErr w:type="spellStart"/>
      <w:r w:rsidRPr="007C20C4">
        <w:rPr>
          <w:rFonts w:ascii="Arial" w:hAnsi="Arial" w:cs="Arial"/>
        </w:rPr>
        <w:t>Venaik</w:t>
      </w:r>
      <w:proofErr w:type="spellEnd"/>
      <w:r w:rsidRPr="007C20C4">
        <w:rPr>
          <w:rFonts w:ascii="Arial" w:hAnsi="Arial" w:cs="Arial"/>
        </w:rPr>
        <w:t xml:space="preserve"> (2014) further identify an ecological fallacy, showing that national dimension scores account for only </w:t>
      </w:r>
      <w:r w:rsidRPr="007C20C4">
        <w:rPr>
          <w:rFonts w:ascii="Arial" w:hAnsi="Arial" w:cs="Arial"/>
        </w:rPr>
        <w:t>2-4</w:t>
      </w:r>
      <w:r w:rsidRPr="007C20C4">
        <w:rPr>
          <w:rFonts w:ascii="Arial" w:hAnsi="Arial" w:cs="Arial"/>
        </w:rPr>
        <w:t xml:space="preserve"> of variation in personal values, which makes them weak predictors of a particular colleague’s conduct. </w:t>
      </w:r>
      <w:proofErr w:type="spellStart"/>
      <w:r w:rsidRPr="007C20C4">
        <w:rPr>
          <w:rFonts w:ascii="Arial" w:hAnsi="Arial" w:cs="Arial"/>
        </w:rPr>
        <w:t>Venaik</w:t>
      </w:r>
      <w:proofErr w:type="spellEnd"/>
      <w:r w:rsidRPr="007C20C4">
        <w:rPr>
          <w:rFonts w:ascii="Arial" w:hAnsi="Arial" w:cs="Arial"/>
        </w:rPr>
        <w:t xml:space="preserve"> and Brewer (2016) argue that uncritical reliance on Hofstede and GLOBE dimensions may sustain cultural ignorance by portraying internal national diversity as stable cultural essence.</w:t>
      </w:r>
    </w:p>
    <w:p w14:paraId="209F2DB1" w14:textId="1F86FD95" w:rsidR="000B7536" w:rsidRPr="007C20C4" w:rsidRDefault="000B7536" w:rsidP="007C20C4">
      <w:pPr>
        <w:spacing w:line="360" w:lineRule="auto"/>
        <w:jc w:val="both"/>
        <w:rPr>
          <w:rFonts w:ascii="Arial" w:hAnsi="Arial" w:cs="Arial"/>
        </w:rPr>
      </w:pPr>
      <w:r w:rsidRPr="007C20C4">
        <w:rPr>
          <w:rFonts w:ascii="Arial" w:hAnsi="Arial" w:cs="Arial"/>
        </w:rPr>
        <w:t>These concerns are directly relevant in this context. Assuming that the Japanese team is uniformly high context and high in power distance may overlook differences among members, particularly between younger internationally educated scientists and colleagues with more traditional professional backgrounds. Likewise, UK employees cannot automatically be regarded as consistently low context or individualistic, since organisational, regional and professional subcultures influence communication practices. As Baskerville (2003) observes, equating culture with nationality conflicts with anthropological understandings of culture. Cultural dimensions should therefore serve as provisional diagnostic tools that are tested through observation and dialogue, while the Country Director remains attentive to individual differences.</w:t>
      </w:r>
    </w:p>
    <w:p w14:paraId="16CD1BAC" w14:textId="55AB442A" w:rsidR="00EC6BFA" w:rsidRPr="007C20C4" w:rsidRDefault="00EC6BFA" w:rsidP="007C20C4">
      <w:pPr>
        <w:pStyle w:val="Heading1"/>
        <w:spacing w:line="360" w:lineRule="auto"/>
        <w:jc w:val="both"/>
        <w:rPr>
          <w:rFonts w:ascii="Arial" w:hAnsi="Arial" w:cs="Arial"/>
        </w:rPr>
      </w:pPr>
      <w:bookmarkStart w:id="7" w:name="_Toc238468545"/>
      <w:r w:rsidRPr="007C20C4">
        <w:rPr>
          <w:rFonts w:ascii="Arial" w:hAnsi="Arial" w:cs="Arial"/>
        </w:rPr>
        <w:t>Communication Styles in Practice: UK and Japanese Teams</w:t>
      </w:r>
      <w:bookmarkEnd w:id="7"/>
    </w:p>
    <w:p w14:paraId="2CAE1510" w14:textId="2D6AC6CD" w:rsidR="00EC6BFA" w:rsidRPr="007C20C4" w:rsidRDefault="00EC6BFA" w:rsidP="007C20C4">
      <w:pPr>
        <w:pStyle w:val="Heading2"/>
        <w:numPr>
          <w:ilvl w:val="0"/>
          <w:numId w:val="2"/>
        </w:numPr>
        <w:spacing w:line="360" w:lineRule="auto"/>
        <w:jc w:val="both"/>
        <w:rPr>
          <w:rFonts w:ascii="Arial" w:hAnsi="Arial" w:cs="Arial"/>
        </w:rPr>
      </w:pPr>
      <w:bookmarkStart w:id="8" w:name="_Toc238468546"/>
      <w:r w:rsidRPr="007C20C4">
        <w:rPr>
          <w:rFonts w:ascii="Arial" w:hAnsi="Arial" w:cs="Arial"/>
        </w:rPr>
        <w:t>Direct versus Indirect Communication and Silence</w:t>
      </w:r>
      <w:bookmarkEnd w:id="8"/>
    </w:p>
    <w:p w14:paraId="0DA5471C" w14:textId="35D92BB0" w:rsidR="000B7536" w:rsidRPr="007C20C4" w:rsidRDefault="000B7536" w:rsidP="007C20C4">
      <w:pPr>
        <w:spacing w:line="360" w:lineRule="auto"/>
        <w:jc w:val="both"/>
        <w:rPr>
          <w:rFonts w:ascii="Arial" w:hAnsi="Arial" w:cs="Arial"/>
        </w:rPr>
      </w:pPr>
      <w:r w:rsidRPr="007C20C4">
        <w:rPr>
          <w:rFonts w:ascii="Arial" w:hAnsi="Arial" w:cs="Arial"/>
        </w:rPr>
        <w:t xml:space="preserve">UK business communication often values explicit expression, with disagreement and negative feedback stated relatively directly. In contrast, Japanese communication is more likely to rely on indirect wording, qualified responses and silence, reflecting high context and Particularist orientations. According to wa-japan.org (2025), colleagues are expected to read the atmosphere, or </w:t>
      </w:r>
      <w:proofErr w:type="spellStart"/>
      <w:r w:rsidRPr="007C20C4">
        <w:rPr>
          <w:rFonts w:ascii="Arial" w:hAnsi="Arial" w:cs="Arial"/>
        </w:rPr>
        <w:t>kuuki</w:t>
      </w:r>
      <w:proofErr w:type="spellEnd"/>
      <w:r w:rsidRPr="007C20C4">
        <w:rPr>
          <w:rFonts w:ascii="Arial" w:hAnsi="Arial" w:cs="Arial"/>
        </w:rPr>
        <w:t xml:space="preserve"> wo </w:t>
      </w:r>
      <w:proofErr w:type="spellStart"/>
      <w:r w:rsidRPr="007C20C4">
        <w:rPr>
          <w:rFonts w:ascii="Arial" w:hAnsi="Arial" w:cs="Arial"/>
        </w:rPr>
        <w:t>yomu</w:t>
      </w:r>
      <w:proofErr w:type="spellEnd"/>
      <w:r w:rsidRPr="007C20C4">
        <w:rPr>
          <w:rFonts w:ascii="Arial" w:hAnsi="Arial" w:cs="Arial"/>
        </w:rPr>
        <w:t xml:space="preserve">, rather than depend on fully </w:t>
      </w:r>
      <w:r w:rsidRPr="007C20C4">
        <w:rPr>
          <w:rFonts w:ascii="Arial" w:hAnsi="Arial" w:cs="Arial"/>
        </w:rPr>
        <w:lastRenderedPageBreak/>
        <w:t>verbalised meanings. A response such as “we will consider this carefully” may therefore indicate a polite refusal, while silence can communicate reflection or deference. Consequently, UK employees who quickly fill pauses may mistake unspoken concerns for agreement.</w:t>
      </w:r>
    </w:p>
    <w:p w14:paraId="0C7A2314" w14:textId="44A06C84" w:rsidR="00EC6BFA" w:rsidRPr="007C20C4" w:rsidRDefault="00EC6BFA" w:rsidP="007C20C4">
      <w:pPr>
        <w:pStyle w:val="Heading2"/>
        <w:numPr>
          <w:ilvl w:val="0"/>
          <w:numId w:val="2"/>
        </w:numPr>
        <w:spacing w:line="360" w:lineRule="auto"/>
        <w:jc w:val="both"/>
        <w:rPr>
          <w:rFonts w:ascii="Arial" w:hAnsi="Arial" w:cs="Arial"/>
        </w:rPr>
      </w:pPr>
      <w:bookmarkStart w:id="9" w:name="_Toc238468547"/>
      <w:proofErr w:type="spellStart"/>
      <w:r w:rsidRPr="007C20C4">
        <w:rPr>
          <w:rFonts w:ascii="Arial" w:hAnsi="Arial" w:cs="Arial"/>
        </w:rPr>
        <w:t>Nemawashi</w:t>
      </w:r>
      <w:proofErr w:type="spellEnd"/>
      <w:r w:rsidRPr="007C20C4">
        <w:rPr>
          <w:rFonts w:ascii="Arial" w:hAnsi="Arial" w:cs="Arial"/>
        </w:rPr>
        <w:t xml:space="preserve">, </w:t>
      </w:r>
      <w:proofErr w:type="spellStart"/>
      <w:r w:rsidRPr="007C20C4">
        <w:rPr>
          <w:rFonts w:ascii="Arial" w:hAnsi="Arial" w:cs="Arial"/>
        </w:rPr>
        <w:t>Ringi</w:t>
      </w:r>
      <w:proofErr w:type="spellEnd"/>
      <w:r w:rsidRPr="007C20C4">
        <w:rPr>
          <w:rFonts w:ascii="Arial" w:hAnsi="Arial" w:cs="Arial"/>
        </w:rPr>
        <w:t xml:space="preserve"> and Consensus Decision-Making</w:t>
      </w:r>
      <w:bookmarkEnd w:id="9"/>
    </w:p>
    <w:p w14:paraId="7C2D9B72" w14:textId="3DB49244" w:rsidR="000B7536" w:rsidRPr="007C20C4" w:rsidRDefault="000B7536" w:rsidP="007C20C4">
      <w:pPr>
        <w:spacing w:line="360" w:lineRule="auto"/>
        <w:jc w:val="both"/>
        <w:rPr>
          <w:rFonts w:ascii="Arial" w:hAnsi="Arial" w:cs="Arial"/>
        </w:rPr>
      </w:pPr>
      <w:r w:rsidRPr="007C20C4">
        <w:rPr>
          <w:rFonts w:ascii="Arial" w:hAnsi="Arial" w:cs="Arial"/>
        </w:rPr>
        <w:t xml:space="preserve">Japanese decision making commonly involves </w:t>
      </w:r>
      <w:proofErr w:type="spellStart"/>
      <w:r w:rsidRPr="007C20C4">
        <w:rPr>
          <w:rFonts w:ascii="Arial" w:hAnsi="Arial" w:cs="Arial"/>
        </w:rPr>
        <w:t>nemawashi</w:t>
      </w:r>
      <w:proofErr w:type="spellEnd"/>
      <w:r w:rsidRPr="007C20C4">
        <w:rPr>
          <w:rFonts w:ascii="Arial" w:hAnsi="Arial" w:cs="Arial"/>
        </w:rPr>
        <w:t xml:space="preserve"> and </w:t>
      </w:r>
      <w:proofErr w:type="spellStart"/>
      <w:r w:rsidRPr="007C20C4">
        <w:rPr>
          <w:rFonts w:ascii="Arial" w:hAnsi="Arial" w:cs="Arial"/>
        </w:rPr>
        <w:t>ringi</w:t>
      </w:r>
      <w:proofErr w:type="spellEnd"/>
      <w:r w:rsidRPr="007C20C4">
        <w:rPr>
          <w:rFonts w:ascii="Arial" w:hAnsi="Arial" w:cs="Arial"/>
        </w:rPr>
        <w:t xml:space="preserve">. According to </w:t>
      </w:r>
      <w:proofErr w:type="spellStart"/>
      <w:r w:rsidRPr="007C20C4">
        <w:rPr>
          <w:rFonts w:ascii="Arial" w:hAnsi="Arial" w:cs="Arial"/>
        </w:rPr>
        <w:t>Kotoba</w:t>
      </w:r>
      <w:proofErr w:type="spellEnd"/>
      <w:r w:rsidRPr="007C20C4">
        <w:rPr>
          <w:rFonts w:ascii="Arial" w:hAnsi="Arial" w:cs="Arial"/>
        </w:rPr>
        <w:t xml:space="preserve"> Interactive (2026), </w:t>
      </w:r>
      <w:proofErr w:type="spellStart"/>
      <w:r w:rsidRPr="007C20C4">
        <w:rPr>
          <w:rFonts w:ascii="Arial" w:hAnsi="Arial" w:cs="Arial"/>
        </w:rPr>
        <w:t>nemawashi</w:t>
      </w:r>
      <w:proofErr w:type="spellEnd"/>
      <w:r w:rsidRPr="007C20C4">
        <w:rPr>
          <w:rFonts w:ascii="Arial" w:hAnsi="Arial" w:cs="Arial"/>
        </w:rPr>
        <w:t xml:space="preserve"> involves informal discussions with relevant stakeholders before a proposal is formally submitted, allowing the originator to revise it until broad support is obtained. </w:t>
      </w:r>
      <w:proofErr w:type="spellStart"/>
      <w:r w:rsidRPr="007C20C4">
        <w:rPr>
          <w:rFonts w:ascii="Arial" w:hAnsi="Arial" w:cs="Arial"/>
        </w:rPr>
        <w:t>Ringi</w:t>
      </w:r>
      <w:proofErr w:type="spellEnd"/>
      <w:r w:rsidRPr="007C20C4">
        <w:rPr>
          <w:rFonts w:ascii="Arial" w:hAnsi="Arial" w:cs="Arial"/>
        </w:rPr>
        <w:t xml:space="preserve"> then provides the formal approval process, in which a written proposal, known as a </w:t>
      </w:r>
      <w:proofErr w:type="spellStart"/>
      <w:r w:rsidRPr="007C20C4">
        <w:rPr>
          <w:rFonts w:ascii="Arial" w:hAnsi="Arial" w:cs="Arial"/>
        </w:rPr>
        <w:t>ringisho</w:t>
      </w:r>
      <w:proofErr w:type="spellEnd"/>
      <w:r w:rsidRPr="007C20C4">
        <w:rPr>
          <w:rFonts w:ascii="Arial" w:hAnsi="Arial" w:cs="Arial"/>
        </w:rPr>
        <w:t xml:space="preserve">, passes through management levels for authorisation through individual seals (GLOBIS, 2025). As </w:t>
      </w:r>
      <w:proofErr w:type="spellStart"/>
      <w:r w:rsidRPr="007C20C4">
        <w:rPr>
          <w:rFonts w:ascii="Arial" w:hAnsi="Arial" w:cs="Arial"/>
        </w:rPr>
        <w:t>Silkdrive</w:t>
      </w:r>
      <w:proofErr w:type="spellEnd"/>
      <w:r w:rsidRPr="007C20C4">
        <w:rPr>
          <w:rFonts w:ascii="Arial" w:hAnsi="Arial" w:cs="Arial"/>
        </w:rPr>
        <w:t xml:space="preserve"> (2026) explains, formal meetings generally confirm an agreement already established rather than creating it through debate. UK managers may interpret this process as unnecessarily slow, yet presenting </w:t>
      </w:r>
      <w:proofErr w:type="spellStart"/>
      <w:r w:rsidRPr="007C20C4">
        <w:rPr>
          <w:rFonts w:ascii="Arial" w:hAnsi="Arial" w:cs="Arial"/>
        </w:rPr>
        <w:t>unconsulted</w:t>
      </w:r>
      <w:proofErr w:type="spellEnd"/>
      <w:r w:rsidRPr="007C20C4">
        <w:rPr>
          <w:rFonts w:ascii="Arial" w:hAnsi="Arial" w:cs="Arial"/>
        </w:rPr>
        <w:t xml:space="preserve"> proposals in meetings can result in silence or resistance. Therefore, UK leaders should conduct structured individual consultations before meetings, following the logic of </w:t>
      </w:r>
      <w:proofErr w:type="spellStart"/>
      <w:r w:rsidRPr="007C20C4">
        <w:rPr>
          <w:rFonts w:ascii="Arial" w:hAnsi="Arial" w:cs="Arial"/>
        </w:rPr>
        <w:t>nemawashi</w:t>
      </w:r>
      <w:proofErr w:type="spellEnd"/>
      <w:r w:rsidRPr="007C20C4">
        <w:rPr>
          <w:rFonts w:ascii="Arial" w:hAnsi="Arial" w:cs="Arial"/>
        </w:rPr>
        <w:t>.</w:t>
      </w:r>
    </w:p>
    <w:p w14:paraId="78DD2D63" w14:textId="58231E02" w:rsidR="00EC6BFA" w:rsidRPr="007C20C4" w:rsidRDefault="00EC6BFA" w:rsidP="007C20C4">
      <w:pPr>
        <w:pStyle w:val="Heading2"/>
        <w:numPr>
          <w:ilvl w:val="0"/>
          <w:numId w:val="2"/>
        </w:numPr>
        <w:spacing w:line="360" w:lineRule="auto"/>
        <w:jc w:val="both"/>
        <w:rPr>
          <w:rFonts w:ascii="Arial" w:hAnsi="Arial" w:cs="Arial"/>
        </w:rPr>
      </w:pPr>
      <w:bookmarkStart w:id="10" w:name="_Toc238468548"/>
      <w:r w:rsidRPr="007C20C4">
        <w:rPr>
          <w:rFonts w:ascii="Arial" w:hAnsi="Arial" w:cs="Arial"/>
        </w:rPr>
        <w:t xml:space="preserve">Honne and </w:t>
      </w:r>
      <w:proofErr w:type="spellStart"/>
      <w:r w:rsidRPr="007C20C4">
        <w:rPr>
          <w:rFonts w:ascii="Arial" w:hAnsi="Arial" w:cs="Arial"/>
        </w:rPr>
        <w:t>Tatemae</w:t>
      </w:r>
      <w:proofErr w:type="spellEnd"/>
      <w:r w:rsidRPr="007C20C4">
        <w:rPr>
          <w:rFonts w:ascii="Arial" w:hAnsi="Arial" w:cs="Arial"/>
        </w:rPr>
        <w:t>, and Face</w:t>
      </w:r>
      <w:bookmarkEnd w:id="10"/>
    </w:p>
    <w:p w14:paraId="0DC69318" w14:textId="6F7B5F58" w:rsidR="000B7536" w:rsidRPr="007C20C4" w:rsidRDefault="000B7536" w:rsidP="007C20C4">
      <w:pPr>
        <w:spacing w:line="360" w:lineRule="auto"/>
        <w:jc w:val="both"/>
        <w:rPr>
          <w:rFonts w:ascii="Arial" w:hAnsi="Arial" w:cs="Arial"/>
        </w:rPr>
      </w:pPr>
      <w:r w:rsidRPr="007C20C4">
        <w:rPr>
          <w:rFonts w:ascii="Arial" w:hAnsi="Arial" w:cs="Arial"/>
        </w:rPr>
        <w:t xml:space="preserve">The distinction between </w:t>
      </w:r>
      <w:proofErr w:type="spellStart"/>
      <w:r w:rsidRPr="007C20C4">
        <w:rPr>
          <w:rFonts w:ascii="Arial" w:hAnsi="Arial" w:cs="Arial"/>
        </w:rPr>
        <w:t>honne</w:t>
      </w:r>
      <w:proofErr w:type="spellEnd"/>
      <w:r w:rsidRPr="007C20C4">
        <w:rPr>
          <w:rFonts w:ascii="Arial" w:hAnsi="Arial" w:cs="Arial"/>
        </w:rPr>
        <w:t xml:space="preserve">, meaning genuine feelings, and </w:t>
      </w:r>
      <w:proofErr w:type="spellStart"/>
      <w:r w:rsidRPr="007C20C4">
        <w:rPr>
          <w:rFonts w:ascii="Arial" w:hAnsi="Arial" w:cs="Arial"/>
        </w:rPr>
        <w:t>tatemae</w:t>
      </w:r>
      <w:proofErr w:type="spellEnd"/>
      <w:r w:rsidRPr="007C20C4">
        <w:rPr>
          <w:rFonts w:ascii="Arial" w:hAnsi="Arial" w:cs="Arial"/>
        </w:rPr>
        <w:t xml:space="preserve">, meaning the socially appropriate position, is important in Japanese business communication (wa-japan.org, 2025). Rather than constituting dishonesty, </w:t>
      </w:r>
      <w:proofErr w:type="spellStart"/>
      <w:r w:rsidRPr="007C20C4">
        <w:rPr>
          <w:rFonts w:ascii="Arial" w:hAnsi="Arial" w:cs="Arial"/>
        </w:rPr>
        <w:t>tatemae</w:t>
      </w:r>
      <w:proofErr w:type="spellEnd"/>
      <w:r w:rsidRPr="007C20C4">
        <w:rPr>
          <w:rFonts w:ascii="Arial" w:hAnsi="Arial" w:cs="Arial"/>
        </w:rPr>
        <w:t xml:space="preserve"> helps preserve group harmony, or </w:t>
      </w:r>
      <w:proofErr w:type="spellStart"/>
      <w:r w:rsidRPr="007C20C4">
        <w:rPr>
          <w:rFonts w:ascii="Arial" w:hAnsi="Arial" w:cs="Arial"/>
        </w:rPr>
        <w:t>wa</w:t>
      </w:r>
      <w:proofErr w:type="spellEnd"/>
      <w:r w:rsidRPr="007C20C4">
        <w:rPr>
          <w:rFonts w:ascii="Arial" w:hAnsi="Arial" w:cs="Arial"/>
        </w:rPr>
        <w:t xml:space="preserve">, so an apparently positive response may conceal concerns that are shared later through a trusted person. According to wa-japan.org (2025), this practice is closely linked to protecting face, particularly within hierarchical relationships. Direct public criticism by UK colleagues may therefore cause embarrassment despite constructive intentions. Conversely, UK staff who interpret </w:t>
      </w:r>
      <w:proofErr w:type="spellStart"/>
      <w:r w:rsidRPr="007C20C4">
        <w:rPr>
          <w:rFonts w:ascii="Arial" w:hAnsi="Arial" w:cs="Arial"/>
        </w:rPr>
        <w:t>tatemae</w:t>
      </w:r>
      <w:proofErr w:type="spellEnd"/>
      <w:r w:rsidRPr="007C20C4">
        <w:rPr>
          <w:rFonts w:ascii="Arial" w:hAnsi="Arial" w:cs="Arial"/>
        </w:rPr>
        <w:t xml:space="preserve"> as full agreement may make decisions without recognising underlying reservations, creating risks for implementation.</w:t>
      </w:r>
    </w:p>
    <w:p w14:paraId="5BD13DC2" w14:textId="1419CC5A" w:rsidR="00EC6BFA" w:rsidRPr="007C20C4" w:rsidRDefault="00EC6BFA" w:rsidP="007C20C4">
      <w:pPr>
        <w:pStyle w:val="Heading2"/>
        <w:numPr>
          <w:ilvl w:val="0"/>
          <w:numId w:val="2"/>
        </w:numPr>
        <w:spacing w:line="360" w:lineRule="auto"/>
        <w:jc w:val="both"/>
        <w:rPr>
          <w:rFonts w:ascii="Arial" w:hAnsi="Arial" w:cs="Arial"/>
        </w:rPr>
      </w:pPr>
      <w:bookmarkStart w:id="11" w:name="_Toc238468549"/>
      <w:r w:rsidRPr="007C20C4">
        <w:rPr>
          <w:rFonts w:ascii="Arial" w:hAnsi="Arial" w:cs="Arial"/>
        </w:rPr>
        <w:t>Hierarchy, Meetings and Feedback</w:t>
      </w:r>
      <w:bookmarkEnd w:id="11"/>
    </w:p>
    <w:p w14:paraId="51F17099" w14:textId="48BF56C7" w:rsidR="000B7536" w:rsidRPr="007C20C4" w:rsidRDefault="000B7536" w:rsidP="007C20C4">
      <w:pPr>
        <w:spacing w:line="360" w:lineRule="auto"/>
        <w:jc w:val="both"/>
        <w:rPr>
          <w:rFonts w:ascii="Arial" w:hAnsi="Arial" w:cs="Arial"/>
        </w:rPr>
      </w:pPr>
      <w:r w:rsidRPr="007C20C4">
        <w:rPr>
          <w:rFonts w:ascii="Arial" w:hAnsi="Arial" w:cs="Arial"/>
        </w:rPr>
        <w:t xml:space="preserve">In line with power distance and ascription, Japanese meetings often follow clear seniority rules regarding seating and speaking, while junior employees seldom question senior colleagues openly (Nishimura, </w:t>
      </w:r>
      <w:proofErr w:type="spellStart"/>
      <w:r w:rsidRPr="007C20C4">
        <w:rPr>
          <w:rFonts w:ascii="Arial" w:hAnsi="Arial" w:cs="Arial"/>
        </w:rPr>
        <w:t>Nevgi</w:t>
      </w:r>
      <w:proofErr w:type="spellEnd"/>
      <w:r w:rsidRPr="007C20C4">
        <w:rPr>
          <w:rFonts w:ascii="Arial" w:hAnsi="Arial" w:cs="Arial"/>
        </w:rPr>
        <w:t xml:space="preserve"> and Tella, n.d.). By contrast, UK </w:t>
      </w:r>
      <w:r w:rsidRPr="007C20C4">
        <w:rPr>
          <w:rFonts w:ascii="Arial" w:hAnsi="Arial" w:cs="Arial"/>
        </w:rPr>
        <w:lastRenderedPageBreak/>
        <w:t xml:space="preserve">meetings more commonly allow junior staff to offer critical views, including feedback to senior managers. Consequently, UK managers may interpret silence from Japanese junior colleagues as disengagement instead of respect, whereas Japanese managers may perceive direct feedback before subordinates as disruptive. Effective communication should therefore use appropriate channels, including direct written feedback for UK colleagues and </w:t>
      </w:r>
      <w:r w:rsidRPr="007C20C4">
        <w:rPr>
          <w:rFonts w:ascii="Arial" w:hAnsi="Arial" w:cs="Arial"/>
        </w:rPr>
        <w:t>relationship-based</w:t>
      </w:r>
      <w:r w:rsidRPr="007C20C4">
        <w:rPr>
          <w:rFonts w:ascii="Arial" w:hAnsi="Arial" w:cs="Arial"/>
        </w:rPr>
        <w:t xml:space="preserve"> feedback through a trusted intermediary for Japanese counterparts.</w:t>
      </w:r>
    </w:p>
    <w:p w14:paraId="283D3BCE" w14:textId="502C1DEF" w:rsidR="00EC6BFA" w:rsidRPr="007C20C4" w:rsidRDefault="00EC6BFA" w:rsidP="007C20C4">
      <w:pPr>
        <w:pStyle w:val="Heading2"/>
        <w:numPr>
          <w:ilvl w:val="0"/>
          <w:numId w:val="2"/>
        </w:numPr>
        <w:spacing w:line="360" w:lineRule="auto"/>
        <w:jc w:val="both"/>
        <w:rPr>
          <w:rFonts w:ascii="Arial" w:hAnsi="Arial" w:cs="Arial"/>
        </w:rPr>
      </w:pPr>
      <w:bookmarkStart w:id="12" w:name="_Toc238468550"/>
      <w:r w:rsidRPr="007C20C4">
        <w:rPr>
          <w:rFonts w:ascii="Arial" w:hAnsi="Arial" w:cs="Arial"/>
        </w:rPr>
        <w:t>Email, Virtual Communication and English as Lingua Franca</w:t>
      </w:r>
      <w:bookmarkEnd w:id="12"/>
    </w:p>
    <w:p w14:paraId="59E54BF9" w14:textId="3DD4BD8D" w:rsidR="000B7536" w:rsidRPr="007C20C4" w:rsidRDefault="000B7536" w:rsidP="007C20C4">
      <w:pPr>
        <w:spacing w:line="360" w:lineRule="auto"/>
        <w:jc w:val="both"/>
        <w:rPr>
          <w:rFonts w:ascii="Arial" w:hAnsi="Arial" w:cs="Arial"/>
        </w:rPr>
      </w:pPr>
      <w:r w:rsidRPr="007C20C4">
        <w:rPr>
          <w:rFonts w:ascii="Arial" w:hAnsi="Arial" w:cs="Arial"/>
        </w:rPr>
        <w:t>English serves as the working language of the collaboration, although it can create an unequal cognitive burden because Japanese employees often communicate in a second language. This may limit spontaneous participation and cause genuine concerns to be expressed in simplified wording that UK colleagues interpret literally. Written communication can further reveal different expectations, since UK emails are often concise and direct, whereas Japanese messages may begin with relationship building expressions before addressing the main issue (Osaka Language Solutions, 2026). Virtual meetings also reduce nonverbal signals and limit time for consultation across London and Tokyo. Providing agendas early allows colleagues to consult internally before contributing.</w:t>
      </w:r>
    </w:p>
    <w:p w14:paraId="755F7957" w14:textId="02868E5C" w:rsidR="00EC6BFA" w:rsidRPr="007C20C4" w:rsidRDefault="00EC6BFA" w:rsidP="007C20C4">
      <w:pPr>
        <w:pStyle w:val="Heading1"/>
        <w:spacing w:line="360" w:lineRule="auto"/>
        <w:jc w:val="both"/>
        <w:rPr>
          <w:rFonts w:ascii="Arial" w:hAnsi="Arial" w:cs="Arial"/>
        </w:rPr>
      </w:pPr>
      <w:bookmarkStart w:id="13" w:name="_Toc238468551"/>
      <w:r w:rsidRPr="007C20C4">
        <w:rPr>
          <w:rFonts w:ascii="Arial" w:hAnsi="Arial" w:cs="Arial"/>
        </w:rPr>
        <w:t>GLOBE, Cultural Intelligence and Meyer's Culture Map</w:t>
      </w:r>
      <w:bookmarkEnd w:id="13"/>
    </w:p>
    <w:p w14:paraId="59490CFE" w14:textId="1E921737" w:rsidR="007C20C4" w:rsidRPr="007C20C4" w:rsidRDefault="007C20C4" w:rsidP="007C20C4">
      <w:pPr>
        <w:spacing w:line="360" w:lineRule="auto"/>
        <w:jc w:val="both"/>
        <w:rPr>
          <w:rFonts w:ascii="Arial" w:hAnsi="Arial" w:cs="Arial"/>
        </w:rPr>
      </w:pPr>
      <w:r w:rsidRPr="007C20C4">
        <w:rPr>
          <w:rFonts w:ascii="Arial" w:hAnsi="Arial" w:cs="Arial"/>
        </w:rPr>
        <w:t xml:space="preserve">The GLOBE project extended earlier cultural research by examining </w:t>
      </w:r>
      <w:r w:rsidRPr="007C20C4">
        <w:rPr>
          <w:rFonts w:ascii="Arial" w:hAnsi="Arial" w:cs="Arial"/>
        </w:rPr>
        <w:t>62</w:t>
      </w:r>
      <w:r w:rsidRPr="007C20C4">
        <w:rPr>
          <w:rFonts w:ascii="Arial" w:hAnsi="Arial" w:cs="Arial"/>
        </w:rPr>
        <w:t xml:space="preserve"> societies across nine dimensions and by distinguishing between cultural practices, meaning current behaviour, and cultural values, meaning preferred behaviour (Global-IQ, 2026). This distinction is useful because Japanese employees may experience hierarchical workplace practices while personally supporting more participative approaches.</w:t>
      </w:r>
    </w:p>
    <w:p w14:paraId="62844CC7" w14:textId="4724C710" w:rsidR="007C20C4" w:rsidRPr="007C20C4" w:rsidRDefault="007C20C4" w:rsidP="007C20C4">
      <w:pPr>
        <w:spacing w:line="360" w:lineRule="auto"/>
        <w:jc w:val="both"/>
        <w:rPr>
          <w:rFonts w:ascii="Arial" w:hAnsi="Arial" w:cs="Arial"/>
        </w:rPr>
      </w:pPr>
      <w:r w:rsidRPr="007C20C4">
        <w:rPr>
          <w:rFonts w:ascii="Arial" w:hAnsi="Arial" w:cs="Arial"/>
        </w:rPr>
        <w:t xml:space="preserve">Earley and Ang (2003) offer cultural intelligence, or CQ, as an individual level perspective. According to Ang and Van Dyne (2008), CQ includes metacognitive, cognitive, motivational and behavioural capabilities that help people operate effectively </w:t>
      </w:r>
      <w:r w:rsidRPr="007C20C4">
        <w:rPr>
          <w:rFonts w:ascii="Arial" w:hAnsi="Arial" w:cs="Arial"/>
        </w:rPr>
        <w:lastRenderedPageBreak/>
        <w:t xml:space="preserve">across cultural settings. The Country Director should therefore focus on building the team’s capacity to adapt rather than </w:t>
      </w:r>
      <w:r w:rsidR="009E199C" w:rsidRPr="007C20C4">
        <w:rPr>
          <w:rFonts w:ascii="Arial" w:hAnsi="Arial" w:cs="Arial"/>
        </w:rPr>
        <w:t>if</w:t>
      </w:r>
      <w:r w:rsidRPr="007C20C4">
        <w:rPr>
          <w:rFonts w:ascii="Arial" w:hAnsi="Arial" w:cs="Arial"/>
        </w:rPr>
        <w:t xml:space="preserve"> national culture determines behaviour.</w:t>
      </w:r>
    </w:p>
    <w:p w14:paraId="5D954E53" w14:textId="08826CB3" w:rsidR="007C20C4" w:rsidRPr="007C20C4" w:rsidRDefault="007C20C4" w:rsidP="007C20C4">
      <w:pPr>
        <w:spacing w:line="360" w:lineRule="auto"/>
        <w:jc w:val="both"/>
        <w:rPr>
          <w:rFonts w:ascii="Arial" w:hAnsi="Arial" w:cs="Arial"/>
        </w:rPr>
      </w:pPr>
      <w:r w:rsidRPr="007C20C4">
        <w:rPr>
          <w:rFonts w:ascii="Arial" w:hAnsi="Arial" w:cs="Arial"/>
        </w:rPr>
        <w:t>Meyer’s (2014) Culture Map uses eight comparative scales, including communication and disagreement, to position countries relative to one another (Erin Meyer, 2026). This approach avoids treating cultural scores as fixed measures and helps explain the substantial communication difference between the relatively lower context UK and highly contextual Japan.</w:t>
      </w:r>
    </w:p>
    <w:p w14:paraId="08EFF5D2" w14:textId="78B63E72" w:rsidR="00EC6BFA" w:rsidRPr="007C20C4" w:rsidRDefault="00EC6BFA" w:rsidP="007C20C4">
      <w:pPr>
        <w:pStyle w:val="Heading1"/>
        <w:spacing w:line="360" w:lineRule="auto"/>
        <w:jc w:val="both"/>
        <w:rPr>
          <w:rFonts w:ascii="Arial" w:hAnsi="Arial" w:cs="Arial"/>
        </w:rPr>
      </w:pPr>
      <w:bookmarkStart w:id="14" w:name="_Toc238468552"/>
      <w:r w:rsidRPr="007C20C4">
        <w:rPr>
          <w:rFonts w:ascii="Arial" w:hAnsi="Arial" w:cs="Arial"/>
        </w:rPr>
        <w:t>Conclusion</w:t>
      </w:r>
      <w:bookmarkEnd w:id="14"/>
    </w:p>
    <w:p w14:paraId="08A296DB" w14:textId="1B442FA2" w:rsidR="007C20C4" w:rsidRPr="007C20C4" w:rsidRDefault="007C20C4" w:rsidP="007C20C4">
      <w:pPr>
        <w:spacing w:line="360" w:lineRule="auto"/>
        <w:jc w:val="both"/>
        <w:rPr>
          <w:rFonts w:ascii="Arial" w:hAnsi="Arial" w:cs="Arial"/>
        </w:rPr>
      </w:pPr>
      <w:r w:rsidRPr="007C20C4">
        <w:rPr>
          <w:rFonts w:ascii="Arial" w:hAnsi="Arial" w:cs="Arial"/>
        </w:rPr>
        <w:t xml:space="preserve">The communication differences between UK and Japanese teams in the AstraZeneca and Daiichi Sankyo partnership reflect established variations in communication practices. These include direct and indirect expression, strategic silence, </w:t>
      </w:r>
      <w:proofErr w:type="spellStart"/>
      <w:r w:rsidRPr="007C20C4">
        <w:rPr>
          <w:rFonts w:ascii="Arial" w:hAnsi="Arial" w:cs="Arial"/>
        </w:rPr>
        <w:t>honne</w:t>
      </w:r>
      <w:proofErr w:type="spellEnd"/>
      <w:r w:rsidRPr="007C20C4">
        <w:rPr>
          <w:rFonts w:ascii="Arial" w:hAnsi="Arial" w:cs="Arial"/>
        </w:rPr>
        <w:t xml:space="preserve"> and </w:t>
      </w:r>
      <w:proofErr w:type="spellStart"/>
      <w:r w:rsidRPr="007C20C4">
        <w:rPr>
          <w:rFonts w:ascii="Arial" w:hAnsi="Arial" w:cs="Arial"/>
        </w:rPr>
        <w:t>tatemae</w:t>
      </w:r>
      <w:proofErr w:type="spellEnd"/>
      <w:r w:rsidRPr="007C20C4">
        <w:rPr>
          <w:rFonts w:ascii="Arial" w:hAnsi="Arial" w:cs="Arial"/>
        </w:rPr>
        <w:t xml:space="preserve">, face protection, </w:t>
      </w:r>
      <w:proofErr w:type="spellStart"/>
      <w:r w:rsidRPr="007C20C4">
        <w:rPr>
          <w:rFonts w:ascii="Arial" w:hAnsi="Arial" w:cs="Arial"/>
        </w:rPr>
        <w:t>nemawashi</w:t>
      </w:r>
      <w:proofErr w:type="spellEnd"/>
      <w:r w:rsidRPr="007C20C4">
        <w:rPr>
          <w:rFonts w:ascii="Arial" w:hAnsi="Arial" w:cs="Arial"/>
        </w:rPr>
        <w:t xml:space="preserve"> and </w:t>
      </w:r>
      <w:proofErr w:type="spellStart"/>
      <w:r w:rsidRPr="007C20C4">
        <w:rPr>
          <w:rFonts w:ascii="Arial" w:hAnsi="Arial" w:cs="Arial"/>
        </w:rPr>
        <w:t>ringi</w:t>
      </w:r>
      <w:proofErr w:type="spellEnd"/>
      <w:r w:rsidRPr="007C20C4">
        <w:rPr>
          <w:rFonts w:ascii="Arial" w:hAnsi="Arial" w:cs="Arial"/>
        </w:rPr>
        <w:t xml:space="preserve"> decision making, hierarchical meeting norms and the unequal demands of using English as a shared language. Hofstede, Hall and Trompenaars provide a useful starting vocabulary, while country level evidence broadly positions Japan as </w:t>
      </w:r>
      <w:r w:rsidR="009E199C" w:rsidRPr="007C20C4">
        <w:rPr>
          <w:rFonts w:ascii="Arial" w:hAnsi="Arial" w:cs="Arial"/>
        </w:rPr>
        <w:t>higher</w:t>
      </w:r>
      <w:r w:rsidR="009E199C">
        <w:rPr>
          <w:rFonts w:ascii="Arial" w:hAnsi="Arial" w:cs="Arial"/>
        </w:rPr>
        <w:t xml:space="preserve"> </w:t>
      </w:r>
      <w:r w:rsidRPr="007C20C4">
        <w:rPr>
          <w:rFonts w:ascii="Arial" w:hAnsi="Arial" w:cs="Arial"/>
        </w:rPr>
        <w:t>context, uncertainty avoidant and ascription oriented than the UK.</w:t>
      </w:r>
    </w:p>
    <w:p w14:paraId="44C46BD6" w14:textId="18A2DBC4" w:rsidR="007C20C4" w:rsidRPr="007C20C4" w:rsidRDefault="007C20C4" w:rsidP="007C20C4">
      <w:pPr>
        <w:spacing w:line="360" w:lineRule="auto"/>
        <w:jc w:val="both"/>
        <w:rPr>
          <w:rFonts w:ascii="Arial" w:hAnsi="Arial" w:cs="Arial"/>
        </w:rPr>
      </w:pPr>
      <w:r w:rsidRPr="007C20C4">
        <w:rPr>
          <w:rFonts w:ascii="Arial" w:hAnsi="Arial" w:cs="Arial"/>
        </w:rPr>
        <w:t xml:space="preserve">However, McSweeney (2002), Brewer and </w:t>
      </w:r>
      <w:proofErr w:type="spellStart"/>
      <w:r w:rsidRPr="007C20C4">
        <w:rPr>
          <w:rFonts w:ascii="Arial" w:hAnsi="Arial" w:cs="Arial"/>
        </w:rPr>
        <w:t>Venaik</w:t>
      </w:r>
      <w:proofErr w:type="spellEnd"/>
      <w:r w:rsidRPr="007C20C4">
        <w:rPr>
          <w:rFonts w:ascii="Arial" w:hAnsi="Arial" w:cs="Arial"/>
        </w:rPr>
        <w:t xml:space="preserve"> (2014) and </w:t>
      </w:r>
      <w:proofErr w:type="spellStart"/>
      <w:r w:rsidRPr="007C20C4">
        <w:rPr>
          <w:rFonts w:ascii="Arial" w:hAnsi="Arial" w:cs="Arial"/>
        </w:rPr>
        <w:t>Venaik</w:t>
      </w:r>
      <w:proofErr w:type="spellEnd"/>
      <w:r w:rsidRPr="007C20C4">
        <w:rPr>
          <w:rFonts w:ascii="Arial" w:hAnsi="Arial" w:cs="Arial"/>
        </w:rPr>
        <w:t xml:space="preserve"> and Brewer (2016) caution that national scores explain limited individual variation and may create stereotypes. More flexible approaches in</w:t>
      </w:r>
      <w:r w:rsidR="009E199C">
        <w:rPr>
          <w:rFonts w:ascii="Arial" w:hAnsi="Arial" w:cs="Arial"/>
        </w:rPr>
        <w:t xml:space="preserve"> </w:t>
      </w:r>
      <w:proofErr w:type="spellStart"/>
      <w:r w:rsidRPr="007C20C4">
        <w:rPr>
          <w:rFonts w:ascii="Arial" w:hAnsi="Arial" w:cs="Arial"/>
        </w:rPr>
        <w:t>clude</w:t>
      </w:r>
      <w:proofErr w:type="spellEnd"/>
      <w:r w:rsidRPr="007C20C4">
        <w:rPr>
          <w:rFonts w:ascii="Arial" w:hAnsi="Arial" w:cs="Arial"/>
        </w:rPr>
        <w:t xml:space="preserve"> the GLOBE distinction between practices and values, cultural intelligence proposed by Earley and Ang, and Meyer’s comparative Culture Map. The Country Director should therefore use cultural models as diagnostic guides rather than fixed predictions, while prioritising early consultation, feedback adapted to relationships and hierarchy, and shared cultural intelligence across the partnership.</w:t>
      </w:r>
    </w:p>
    <w:p w14:paraId="32F06986" w14:textId="77777777" w:rsidR="007C20C4" w:rsidRDefault="007C20C4">
      <w:pPr>
        <w:rPr>
          <w:rFonts w:ascii="Arial" w:eastAsiaTheme="majorEastAsia" w:hAnsi="Arial" w:cs="Arial"/>
          <w:color w:val="0F4761" w:themeColor="accent1" w:themeShade="BF"/>
          <w:sz w:val="40"/>
          <w:szCs w:val="40"/>
        </w:rPr>
      </w:pPr>
      <w:r>
        <w:rPr>
          <w:rFonts w:ascii="Arial" w:hAnsi="Arial" w:cs="Arial"/>
        </w:rPr>
        <w:br w:type="page"/>
      </w:r>
    </w:p>
    <w:p w14:paraId="62776EDE" w14:textId="055BEF1A" w:rsidR="00EC6BFA" w:rsidRPr="007C20C4" w:rsidRDefault="00EC6BFA" w:rsidP="007C20C4">
      <w:pPr>
        <w:pStyle w:val="Heading1"/>
        <w:spacing w:line="360" w:lineRule="auto"/>
        <w:jc w:val="both"/>
        <w:rPr>
          <w:rFonts w:ascii="Arial" w:hAnsi="Arial" w:cs="Arial"/>
        </w:rPr>
      </w:pPr>
      <w:bookmarkStart w:id="15" w:name="_Toc238468553"/>
      <w:r w:rsidRPr="007C20C4">
        <w:rPr>
          <w:rFonts w:ascii="Arial" w:hAnsi="Arial" w:cs="Arial"/>
        </w:rPr>
        <w:lastRenderedPageBreak/>
        <w:t>References</w:t>
      </w:r>
      <w:bookmarkEnd w:id="15"/>
    </w:p>
    <w:p w14:paraId="556FB33D" w14:textId="77777777"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Ang, S. and Van Dyne, L. (2008) 'Conceptualization of cultural intelligence: Definition, distinctiveness, and nomological network', in Ang, S. and Van Dyne, L. (eds.) </w:t>
      </w:r>
      <w:r w:rsidRPr="007C20C4">
        <w:rPr>
          <w:rFonts w:ascii="Arial" w:eastAsia="Arial" w:hAnsi="Arial" w:cs="Arial"/>
          <w:i/>
          <w:iCs/>
          <w:sz w:val="22"/>
          <w:szCs w:val="22"/>
        </w:rPr>
        <w:t>Handbook of Cultural Intelligence: Theory, Measurement, and Applications.</w:t>
      </w:r>
      <w:r w:rsidRPr="007C20C4">
        <w:rPr>
          <w:rFonts w:ascii="Arial" w:eastAsia="Arial" w:hAnsi="Arial" w:cs="Arial"/>
          <w:sz w:val="22"/>
          <w:szCs w:val="22"/>
        </w:rPr>
        <w:t xml:space="preserve"> Armonk, NY: M.E. Sharpe.</w:t>
      </w:r>
      <w:hyperlink w:history="1"/>
    </w:p>
    <w:p w14:paraId="393C1988" w14:textId="38A3A74F"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AstraZeneca (2020) </w:t>
      </w:r>
      <w:r w:rsidRPr="007C20C4">
        <w:rPr>
          <w:rFonts w:ascii="Arial" w:eastAsia="Arial" w:hAnsi="Arial" w:cs="Arial"/>
          <w:i/>
          <w:iCs/>
          <w:sz w:val="22"/>
          <w:szCs w:val="22"/>
        </w:rPr>
        <w:t>AstraZeneca and Daiichi Sankyo enter collaboration to develop and commercialise new antibody drug conjugate</w:t>
      </w:r>
      <w:r w:rsidRPr="007C20C4">
        <w:rPr>
          <w:rFonts w:ascii="Arial" w:eastAsia="Arial" w:hAnsi="Arial" w:cs="Arial"/>
          <w:sz w:val="22"/>
          <w:szCs w:val="22"/>
        </w:rPr>
        <w:t xml:space="preserve">. Available at: </w:t>
      </w:r>
      <w:hyperlink r:id="rId8" w:history="1">
        <w:r w:rsidRPr="007C20C4">
          <w:rPr>
            <w:rStyle w:val="Hyperlink"/>
            <w:rFonts w:ascii="Arial" w:eastAsia="Arial" w:hAnsi="Arial" w:cs="Arial"/>
            <w:sz w:val="22"/>
            <w:szCs w:val="22"/>
          </w:rPr>
          <w:t>https://www.astrazeneca.com/media-centre/press-releases/2020/astrazeneca-and-daiichi-sankyo-enter-collaboration-to-develop-and-commercialise-new-antibody-drug-conjugate.html</w:t>
        </w:r>
      </w:hyperlink>
      <w:r w:rsidRPr="007C20C4">
        <w:rPr>
          <w:rFonts w:ascii="Arial" w:eastAsia="Arial" w:hAnsi="Arial" w:cs="Arial"/>
          <w:sz w:val="22"/>
          <w:szCs w:val="22"/>
        </w:rPr>
        <w:t xml:space="preserve"> (Accessed: 22 August 2026).</w:t>
      </w:r>
    </w:p>
    <w:p w14:paraId="51AC3F3C" w14:textId="77777777"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Baskerville, R.F. (2003) 'Hofstede never studied culture', </w:t>
      </w:r>
      <w:r w:rsidRPr="007C20C4">
        <w:rPr>
          <w:rFonts w:ascii="Arial" w:eastAsia="Arial" w:hAnsi="Arial" w:cs="Arial"/>
          <w:i/>
          <w:iCs/>
          <w:sz w:val="22"/>
          <w:szCs w:val="22"/>
        </w:rPr>
        <w:t>Accounting, Organizations and Society</w:t>
      </w:r>
      <w:r w:rsidRPr="007C20C4">
        <w:rPr>
          <w:rFonts w:ascii="Arial" w:eastAsia="Arial" w:hAnsi="Arial" w:cs="Arial"/>
          <w:sz w:val="22"/>
          <w:szCs w:val="22"/>
        </w:rPr>
        <w:t>, 28(1), pp. 1-14.</w:t>
      </w:r>
    </w:p>
    <w:p w14:paraId="182EE8C5" w14:textId="77777777" w:rsidR="00EC6BFA" w:rsidRPr="007C20C4" w:rsidRDefault="00EC6BFA" w:rsidP="007C20C4">
      <w:pPr>
        <w:spacing w:after="200" w:line="360" w:lineRule="auto"/>
        <w:ind w:left="720" w:hanging="720"/>
        <w:jc w:val="both"/>
        <w:rPr>
          <w:rFonts w:ascii="Arial" w:eastAsia="Arial" w:hAnsi="Arial" w:cs="Arial"/>
          <w:sz w:val="22"/>
          <w:szCs w:val="22"/>
        </w:rPr>
      </w:pPr>
      <w:r w:rsidRPr="007C20C4">
        <w:rPr>
          <w:rFonts w:ascii="Arial" w:eastAsia="Arial" w:hAnsi="Arial" w:cs="Arial"/>
          <w:sz w:val="22"/>
          <w:szCs w:val="22"/>
        </w:rPr>
        <w:t xml:space="preserve">Brewer, P. and </w:t>
      </w:r>
      <w:proofErr w:type="spellStart"/>
      <w:r w:rsidRPr="007C20C4">
        <w:rPr>
          <w:rFonts w:ascii="Arial" w:eastAsia="Arial" w:hAnsi="Arial" w:cs="Arial"/>
          <w:sz w:val="22"/>
          <w:szCs w:val="22"/>
        </w:rPr>
        <w:t>Venaik</w:t>
      </w:r>
      <w:proofErr w:type="spellEnd"/>
      <w:r w:rsidRPr="007C20C4">
        <w:rPr>
          <w:rFonts w:ascii="Arial" w:eastAsia="Arial" w:hAnsi="Arial" w:cs="Arial"/>
          <w:sz w:val="22"/>
          <w:szCs w:val="22"/>
        </w:rPr>
        <w:t xml:space="preserve">, S. (2014) 'The ecological fallacy in national culture research', </w:t>
      </w:r>
      <w:r w:rsidRPr="007C20C4">
        <w:rPr>
          <w:rFonts w:ascii="Arial" w:eastAsia="Arial" w:hAnsi="Arial" w:cs="Arial"/>
          <w:i/>
          <w:iCs/>
          <w:sz w:val="22"/>
          <w:szCs w:val="22"/>
        </w:rPr>
        <w:t>Organization Studies</w:t>
      </w:r>
      <w:r w:rsidRPr="007C20C4">
        <w:rPr>
          <w:rFonts w:ascii="Arial" w:eastAsia="Arial" w:hAnsi="Arial" w:cs="Arial"/>
          <w:sz w:val="22"/>
          <w:szCs w:val="22"/>
        </w:rPr>
        <w:t xml:space="preserve">, 35(7), pp. 1063-1086. Available at: </w:t>
      </w:r>
      <w:hyperlink r:id="rId9" w:history="1">
        <w:r w:rsidRPr="007C20C4">
          <w:rPr>
            <w:rStyle w:val="Hyperlink"/>
            <w:rFonts w:ascii="Arial" w:eastAsia="Arial" w:hAnsi="Arial" w:cs="Arial"/>
            <w:sz w:val="22"/>
            <w:szCs w:val="22"/>
          </w:rPr>
          <w:t>https://journals.sagepub.com/doi/10.1177/0170840613517602</w:t>
        </w:r>
      </w:hyperlink>
      <w:r w:rsidRPr="007C20C4">
        <w:rPr>
          <w:rFonts w:ascii="Arial" w:eastAsia="Arial" w:hAnsi="Arial" w:cs="Arial"/>
          <w:sz w:val="22"/>
          <w:szCs w:val="22"/>
        </w:rPr>
        <w:t xml:space="preserve"> ((Accessed: 22 August 2026).</w:t>
      </w:r>
    </w:p>
    <w:p w14:paraId="7EEF2C28" w14:textId="78B6CEF8"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British Chamber of Commerce in Japan (2025) </w:t>
      </w:r>
      <w:r w:rsidRPr="007C20C4">
        <w:rPr>
          <w:rFonts w:ascii="Arial" w:eastAsia="Arial" w:hAnsi="Arial" w:cs="Arial"/>
          <w:i/>
          <w:iCs/>
          <w:sz w:val="22"/>
          <w:szCs w:val="22"/>
        </w:rPr>
        <w:t>Fireside chat with DBT Permanent Secretary Gareth Davies</w:t>
      </w:r>
      <w:r w:rsidRPr="007C20C4">
        <w:rPr>
          <w:rFonts w:ascii="Arial" w:eastAsia="Arial" w:hAnsi="Arial" w:cs="Arial"/>
          <w:sz w:val="22"/>
          <w:szCs w:val="22"/>
        </w:rPr>
        <w:t xml:space="preserve">. Available at: </w:t>
      </w:r>
      <w:hyperlink r:id="rId10" w:history="1">
        <w:r w:rsidRPr="007C20C4">
          <w:rPr>
            <w:rStyle w:val="Hyperlink"/>
            <w:rFonts w:ascii="Arial" w:eastAsia="Arial" w:hAnsi="Arial" w:cs="Arial"/>
            <w:sz w:val="22"/>
            <w:szCs w:val="22"/>
          </w:rPr>
          <w:t>https://bccjapan.com/news/fireside-chat-dbt-permanent-secretary-gareth-davies</w:t>
        </w:r>
      </w:hyperlink>
      <w:r w:rsidRPr="007C20C4">
        <w:rPr>
          <w:rFonts w:ascii="Arial" w:eastAsia="Arial" w:hAnsi="Arial" w:cs="Arial"/>
          <w:sz w:val="22"/>
          <w:szCs w:val="22"/>
        </w:rPr>
        <w:t xml:space="preserve"> (Accessed: 22 August 2026).</w:t>
      </w:r>
    </w:p>
    <w:p w14:paraId="387DE6CE" w14:textId="1D7B1D40"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Department for Business and Trade (2026) </w:t>
      </w:r>
      <w:r w:rsidRPr="007C20C4">
        <w:rPr>
          <w:rFonts w:ascii="Arial" w:eastAsia="Arial" w:hAnsi="Arial" w:cs="Arial"/>
          <w:i/>
          <w:iCs/>
          <w:sz w:val="22"/>
          <w:szCs w:val="22"/>
        </w:rPr>
        <w:t>Japan: Trade and Investment Factsheet, 2 February 2026.</w:t>
      </w:r>
      <w:r w:rsidRPr="007C20C4">
        <w:rPr>
          <w:rFonts w:ascii="Arial" w:eastAsia="Arial" w:hAnsi="Arial" w:cs="Arial"/>
          <w:sz w:val="22"/>
          <w:szCs w:val="22"/>
        </w:rPr>
        <w:t xml:space="preserve"> Available at: </w:t>
      </w:r>
      <w:hyperlink r:id="rId11" w:history="1">
        <w:r w:rsidRPr="007C20C4">
          <w:rPr>
            <w:rStyle w:val="Hyperlink"/>
            <w:rFonts w:ascii="Arial" w:eastAsia="Arial" w:hAnsi="Arial" w:cs="Arial"/>
            <w:sz w:val="22"/>
            <w:szCs w:val="22"/>
          </w:rPr>
          <w:t>https://assets.publishing.service.gov.uk/media/697a30b31d8c53a85d6bd3f0/japan-trade-and-investment-factsheet-2026-02-02.pdf</w:t>
        </w:r>
      </w:hyperlink>
      <w:r w:rsidRPr="007C20C4">
        <w:rPr>
          <w:rFonts w:ascii="Arial" w:eastAsia="Arial" w:hAnsi="Arial" w:cs="Arial"/>
          <w:sz w:val="22"/>
          <w:szCs w:val="22"/>
        </w:rPr>
        <w:t xml:space="preserve"> (Accessed: 22 August 2026).</w:t>
      </w:r>
    </w:p>
    <w:p w14:paraId="510C3272" w14:textId="77777777"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Earley, P.C. and Ang, S. (2003) </w:t>
      </w:r>
      <w:r w:rsidRPr="007C20C4">
        <w:rPr>
          <w:rFonts w:ascii="Arial" w:eastAsia="Arial" w:hAnsi="Arial" w:cs="Arial"/>
          <w:i/>
          <w:iCs/>
          <w:sz w:val="22"/>
          <w:szCs w:val="22"/>
        </w:rPr>
        <w:t>Cultural Intelligence: Individual Interactions Across Cultures</w:t>
      </w:r>
      <w:r w:rsidRPr="007C20C4">
        <w:rPr>
          <w:rFonts w:ascii="Arial" w:eastAsia="Arial" w:hAnsi="Arial" w:cs="Arial"/>
          <w:sz w:val="22"/>
          <w:szCs w:val="22"/>
        </w:rPr>
        <w:t>. Stanford, CA: Stanford University Press.</w:t>
      </w:r>
    </w:p>
    <w:p w14:paraId="5BF80F70" w14:textId="55E948EF"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Global-IQ (2026) </w:t>
      </w:r>
      <w:r w:rsidRPr="007C20C4">
        <w:rPr>
          <w:rFonts w:ascii="Arial" w:eastAsia="Arial" w:hAnsi="Arial" w:cs="Arial"/>
          <w:i/>
          <w:iCs/>
          <w:sz w:val="22"/>
          <w:szCs w:val="22"/>
        </w:rPr>
        <w:t>The GLOBE study: 9 cultural dimensions and 62 societies</w:t>
      </w:r>
      <w:r w:rsidRPr="007C20C4">
        <w:rPr>
          <w:rFonts w:ascii="Arial" w:eastAsia="Arial" w:hAnsi="Arial" w:cs="Arial"/>
          <w:sz w:val="22"/>
          <w:szCs w:val="22"/>
        </w:rPr>
        <w:t xml:space="preserve">. Available at: </w:t>
      </w:r>
      <w:hyperlink r:id="rId12" w:history="1">
        <w:r w:rsidRPr="007C20C4">
          <w:rPr>
            <w:rStyle w:val="Hyperlink"/>
            <w:rFonts w:ascii="Arial" w:eastAsia="Arial" w:hAnsi="Arial" w:cs="Arial"/>
            <w:sz w:val="22"/>
            <w:szCs w:val="22"/>
          </w:rPr>
          <w:t>https://global-iq.org/the-globe-study/</w:t>
        </w:r>
      </w:hyperlink>
      <w:r w:rsidRPr="007C20C4">
        <w:rPr>
          <w:rFonts w:ascii="Arial" w:eastAsia="Arial" w:hAnsi="Arial" w:cs="Arial"/>
          <w:sz w:val="22"/>
          <w:szCs w:val="22"/>
        </w:rPr>
        <w:t xml:space="preserve"> (Accessed: 22 August 2026).</w:t>
      </w:r>
    </w:p>
    <w:p w14:paraId="5675153A" w14:textId="7EAFB30B"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GLOBE Project (n.d.) </w:t>
      </w:r>
      <w:r w:rsidRPr="007C20C4">
        <w:rPr>
          <w:rFonts w:ascii="Arial" w:eastAsia="Arial" w:hAnsi="Arial" w:cs="Arial"/>
          <w:i/>
          <w:iCs/>
          <w:sz w:val="22"/>
          <w:szCs w:val="22"/>
        </w:rPr>
        <w:t>2004, 2007 studies</w:t>
      </w:r>
      <w:r w:rsidRPr="007C20C4">
        <w:rPr>
          <w:rFonts w:ascii="Arial" w:eastAsia="Arial" w:hAnsi="Arial" w:cs="Arial"/>
          <w:sz w:val="22"/>
          <w:szCs w:val="22"/>
        </w:rPr>
        <w:t xml:space="preserve">. Available at: </w:t>
      </w:r>
      <w:hyperlink r:id="rId13" w:history="1">
        <w:r w:rsidRPr="007C20C4">
          <w:rPr>
            <w:rStyle w:val="Hyperlink"/>
            <w:rFonts w:ascii="Arial" w:eastAsia="Arial" w:hAnsi="Arial" w:cs="Arial"/>
            <w:sz w:val="22"/>
            <w:szCs w:val="22"/>
          </w:rPr>
          <w:t>https://globeproject.com/study_2004_2007.html</w:t>
        </w:r>
      </w:hyperlink>
      <w:r w:rsidRPr="007C20C4">
        <w:rPr>
          <w:rFonts w:ascii="Arial" w:eastAsia="Arial" w:hAnsi="Arial" w:cs="Arial"/>
          <w:sz w:val="22"/>
          <w:szCs w:val="22"/>
        </w:rPr>
        <w:t xml:space="preserve"> (Accessed: 22 August 2026</w:t>
      </w:r>
      <w:proofErr w:type="gramStart"/>
      <w:r w:rsidRPr="007C20C4">
        <w:rPr>
          <w:rFonts w:ascii="Arial" w:eastAsia="Arial" w:hAnsi="Arial" w:cs="Arial"/>
          <w:sz w:val="22"/>
          <w:szCs w:val="22"/>
        </w:rPr>
        <w:t>)..</w:t>
      </w:r>
      <w:proofErr w:type="gramEnd"/>
    </w:p>
    <w:p w14:paraId="64BC2E3B" w14:textId="3A214A7A"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GOV.UK (2026) </w:t>
      </w:r>
      <w:r w:rsidRPr="007C20C4">
        <w:rPr>
          <w:rFonts w:ascii="Arial" w:eastAsia="Arial" w:hAnsi="Arial" w:cs="Arial"/>
          <w:i/>
          <w:iCs/>
          <w:sz w:val="22"/>
          <w:szCs w:val="22"/>
        </w:rPr>
        <w:t>Trade with Japan: Summary of the UK-Japan Comprehensive Economic Partnership Agreement.</w:t>
      </w:r>
      <w:r w:rsidRPr="007C20C4">
        <w:rPr>
          <w:rFonts w:ascii="Arial" w:eastAsia="Arial" w:hAnsi="Arial" w:cs="Arial"/>
          <w:sz w:val="22"/>
          <w:szCs w:val="22"/>
        </w:rPr>
        <w:t xml:space="preserve"> Available at: </w:t>
      </w:r>
      <w:hyperlink r:id="rId14" w:history="1">
        <w:r w:rsidRPr="007C20C4">
          <w:rPr>
            <w:rStyle w:val="Hyperlink"/>
            <w:rFonts w:ascii="Arial" w:eastAsia="Arial" w:hAnsi="Arial" w:cs="Arial"/>
            <w:sz w:val="22"/>
            <w:szCs w:val="22"/>
          </w:rPr>
          <w:t>https://www.gov.uk/guidance/summary-of-the-</w:t>
        </w:r>
        <w:r w:rsidRPr="007C20C4">
          <w:rPr>
            <w:rStyle w:val="Hyperlink"/>
            <w:rFonts w:ascii="Arial" w:eastAsia="Arial" w:hAnsi="Arial" w:cs="Arial"/>
            <w:sz w:val="22"/>
            <w:szCs w:val="22"/>
          </w:rPr>
          <w:lastRenderedPageBreak/>
          <w:t>uk-japan-comprehensive-economic-partnership-agreement</w:t>
        </w:r>
      </w:hyperlink>
      <w:r w:rsidRPr="007C20C4">
        <w:rPr>
          <w:rFonts w:ascii="Arial" w:eastAsia="Arial" w:hAnsi="Arial" w:cs="Arial"/>
          <w:sz w:val="22"/>
          <w:szCs w:val="22"/>
        </w:rPr>
        <w:t xml:space="preserve"> (Accessed: 22 August 2026).</w:t>
      </w:r>
    </w:p>
    <w:p w14:paraId="2246774F" w14:textId="77777777"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Hall, E.T. (1976) </w:t>
      </w:r>
      <w:r w:rsidRPr="007C20C4">
        <w:rPr>
          <w:rFonts w:ascii="Arial" w:eastAsia="Arial" w:hAnsi="Arial" w:cs="Arial"/>
          <w:i/>
          <w:iCs/>
          <w:sz w:val="22"/>
          <w:szCs w:val="22"/>
        </w:rPr>
        <w:t>Beyond Culture</w:t>
      </w:r>
      <w:r w:rsidRPr="007C20C4">
        <w:rPr>
          <w:rFonts w:ascii="Arial" w:eastAsia="Arial" w:hAnsi="Arial" w:cs="Arial"/>
          <w:sz w:val="22"/>
          <w:szCs w:val="22"/>
        </w:rPr>
        <w:t>. New York: Anchor Books.</w:t>
      </w:r>
    </w:p>
    <w:p w14:paraId="045BDE6E" w14:textId="77777777"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Hall, E.T. and Hall, M.R. (1990) U</w:t>
      </w:r>
      <w:r w:rsidRPr="007C20C4">
        <w:rPr>
          <w:rFonts w:ascii="Arial" w:eastAsia="Arial" w:hAnsi="Arial" w:cs="Arial"/>
          <w:i/>
          <w:iCs/>
          <w:sz w:val="22"/>
          <w:szCs w:val="22"/>
        </w:rPr>
        <w:t>nderstanding Cultural Differences: Germans, French and Americans.</w:t>
      </w:r>
      <w:r w:rsidRPr="007C20C4">
        <w:rPr>
          <w:rFonts w:ascii="Arial" w:eastAsia="Arial" w:hAnsi="Arial" w:cs="Arial"/>
          <w:sz w:val="22"/>
          <w:szCs w:val="22"/>
        </w:rPr>
        <w:t xml:space="preserve"> Yarmouth, ME: Intercultural Press.</w:t>
      </w:r>
    </w:p>
    <w:p w14:paraId="5370D570" w14:textId="77777777"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Hofstede, G. (1980) </w:t>
      </w:r>
      <w:r w:rsidRPr="007C20C4">
        <w:rPr>
          <w:rFonts w:ascii="Arial" w:eastAsia="Arial" w:hAnsi="Arial" w:cs="Arial"/>
          <w:i/>
          <w:iCs/>
          <w:sz w:val="22"/>
          <w:szCs w:val="22"/>
        </w:rPr>
        <w:t>Culture's Consequences: International Differences in Work-Related Values</w:t>
      </w:r>
      <w:r w:rsidRPr="007C20C4">
        <w:rPr>
          <w:rFonts w:ascii="Arial" w:eastAsia="Arial" w:hAnsi="Arial" w:cs="Arial"/>
          <w:sz w:val="22"/>
          <w:szCs w:val="22"/>
        </w:rPr>
        <w:t>. Beverly Hills, CA: Sage Publications.</w:t>
      </w:r>
    </w:p>
    <w:p w14:paraId="2AB8FB5C" w14:textId="77777777"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Hofstede, G. (2001) </w:t>
      </w:r>
      <w:r w:rsidRPr="007C20C4">
        <w:rPr>
          <w:rFonts w:ascii="Arial" w:eastAsia="Arial" w:hAnsi="Arial" w:cs="Arial"/>
          <w:i/>
          <w:iCs/>
          <w:sz w:val="22"/>
          <w:szCs w:val="22"/>
        </w:rPr>
        <w:t xml:space="preserve">Culture's Consequences: Comparing Values, </w:t>
      </w:r>
      <w:proofErr w:type="spellStart"/>
      <w:r w:rsidRPr="007C20C4">
        <w:rPr>
          <w:rFonts w:ascii="Arial" w:eastAsia="Arial" w:hAnsi="Arial" w:cs="Arial"/>
          <w:i/>
          <w:iCs/>
          <w:sz w:val="22"/>
          <w:szCs w:val="22"/>
        </w:rPr>
        <w:t>Behaviors</w:t>
      </w:r>
      <w:proofErr w:type="spellEnd"/>
      <w:r w:rsidRPr="007C20C4">
        <w:rPr>
          <w:rFonts w:ascii="Arial" w:eastAsia="Arial" w:hAnsi="Arial" w:cs="Arial"/>
          <w:i/>
          <w:iCs/>
          <w:sz w:val="22"/>
          <w:szCs w:val="22"/>
        </w:rPr>
        <w:t>, Institutions, and Organizations Across Nations</w:t>
      </w:r>
      <w:r w:rsidRPr="007C20C4">
        <w:rPr>
          <w:rFonts w:ascii="Arial" w:eastAsia="Arial" w:hAnsi="Arial" w:cs="Arial"/>
          <w:sz w:val="22"/>
          <w:szCs w:val="22"/>
        </w:rPr>
        <w:t xml:space="preserve">. 2nd </w:t>
      </w:r>
      <w:proofErr w:type="spellStart"/>
      <w:r w:rsidRPr="007C20C4">
        <w:rPr>
          <w:rFonts w:ascii="Arial" w:eastAsia="Arial" w:hAnsi="Arial" w:cs="Arial"/>
          <w:sz w:val="22"/>
          <w:szCs w:val="22"/>
        </w:rPr>
        <w:t>edn</w:t>
      </w:r>
      <w:proofErr w:type="spellEnd"/>
      <w:r w:rsidRPr="007C20C4">
        <w:rPr>
          <w:rFonts w:ascii="Arial" w:eastAsia="Arial" w:hAnsi="Arial" w:cs="Arial"/>
          <w:sz w:val="22"/>
          <w:szCs w:val="22"/>
        </w:rPr>
        <w:t>. Thousand Oaks, CA: Sage Publications.</w:t>
      </w:r>
    </w:p>
    <w:p w14:paraId="158FD1D0" w14:textId="77777777"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House, R.J., Hanges, P.J., Javidan, M., Dorfman, P.W. and Gupta, V. (eds.) (2004) </w:t>
      </w:r>
      <w:r w:rsidRPr="007C20C4">
        <w:rPr>
          <w:rFonts w:ascii="Arial" w:eastAsia="Arial" w:hAnsi="Arial" w:cs="Arial"/>
          <w:i/>
          <w:iCs/>
          <w:sz w:val="22"/>
          <w:szCs w:val="22"/>
        </w:rPr>
        <w:t>Culture, Leadership, and Organizations: The GLOBE Study of 62 Societies</w:t>
      </w:r>
      <w:r w:rsidRPr="007C20C4">
        <w:rPr>
          <w:rFonts w:ascii="Arial" w:eastAsia="Arial" w:hAnsi="Arial" w:cs="Arial"/>
          <w:sz w:val="22"/>
          <w:szCs w:val="22"/>
        </w:rPr>
        <w:t>. Thousand Oaks, CA: Sage Publications.</w:t>
      </w:r>
    </w:p>
    <w:p w14:paraId="4970E6CA" w14:textId="6E1855E1"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Japan External Trade Organization (2025) </w:t>
      </w:r>
      <w:r w:rsidRPr="007C20C4">
        <w:rPr>
          <w:rFonts w:ascii="Arial" w:eastAsia="Arial" w:hAnsi="Arial" w:cs="Arial"/>
          <w:i/>
          <w:iCs/>
          <w:sz w:val="22"/>
          <w:szCs w:val="22"/>
        </w:rPr>
        <w:t>JETRO Invest Japan Report 2025.</w:t>
      </w:r>
      <w:r w:rsidRPr="007C20C4">
        <w:rPr>
          <w:rFonts w:ascii="Arial" w:eastAsia="Arial" w:hAnsi="Arial" w:cs="Arial"/>
          <w:sz w:val="22"/>
          <w:szCs w:val="22"/>
        </w:rPr>
        <w:t xml:space="preserve"> Available at: </w:t>
      </w:r>
      <w:hyperlink r:id="rId15" w:history="1">
        <w:r w:rsidRPr="007C20C4">
          <w:rPr>
            <w:rStyle w:val="Hyperlink"/>
            <w:rFonts w:ascii="Arial" w:eastAsia="Arial" w:hAnsi="Arial" w:cs="Arial"/>
            <w:sz w:val="22"/>
            <w:szCs w:val="22"/>
          </w:rPr>
          <w:t>https://www.jetro.go.jp/en/invest/investment_environment/ijre/report2025/</w:t>
        </w:r>
      </w:hyperlink>
      <w:r w:rsidRPr="007C20C4">
        <w:rPr>
          <w:rFonts w:ascii="Arial" w:eastAsia="Arial" w:hAnsi="Arial" w:cs="Arial"/>
          <w:sz w:val="22"/>
          <w:szCs w:val="22"/>
        </w:rPr>
        <w:t xml:space="preserve"> (Accessed: 22 August 2026).</w:t>
      </w:r>
    </w:p>
    <w:p w14:paraId="0B529F24" w14:textId="6188615E"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Japan Intercultural Consulting (2010) </w:t>
      </w:r>
      <w:r w:rsidRPr="007C20C4">
        <w:rPr>
          <w:rFonts w:ascii="Arial" w:eastAsia="Arial" w:hAnsi="Arial" w:cs="Arial"/>
          <w:i/>
          <w:iCs/>
          <w:sz w:val="22"/>
          <w:szCs w:val="22"/>
        </w:rPr>
        <w:t xml:space="preserve">How do the Japanese put in their two cents? </w:t>
      </w:r>
      <w:proofErr w:type="spellStart"/>
      <w:r w:rsidRPr="007C20C4">
        <w:rPr>
          <w:rFonts w:ascii="Arial" w:eastAsia="Arial" w:hAnsi="Arial" w:cs="Arial"/>
          <w:i/>
          <w:iCs/>
          <w:sz w:val="22"/>
          <w:szCs w:val="22"/>
        </w:rPr>
        <w:t>Ringi</w:t>
      </w:r>
      <w:proofErr w:type="spellEnd"/>
      <w:r w:rsidRPr="007C20C4">
        <w:rPr>
          <w:rFonts w:ascii="Arial" w:eastAsia="Arial" w:hAnsi="Arial" w:cs="Arial"/>
          <w:i/>
          <w:iCs/>
          <w:sz w:val="22"/>
          <w:szCs w:val="22"/>
        </w:rPr>
        <w:t>!</w:t>
      </w:r>
      <w:r w:rsidRPr="007C20C4">
        <w:rPr>
          <w:rFonts w:ascii="Arial" w:eastAsia="Arial" w:hAnsi="Arial" w:cs="Arial"/>
          <w:sz w:val="22"/>
          <w:szCs w:val="22"/>
        </w:rPr>
        <w:t xml:space="preserve"> Available at: </w:t>
      </w:r>
      <w:hyperlink r:id="rId16" w:history="1">
        <w:r w:rsidRPr="007C20C4">
          <w:rPr>
            <w:rStyle w:val="Hyperlink"/>
            <w:rFonts w:ascii="Arial" w:eastAsia="Arial" w:hAnsi="Arial" w:cs="Arial"/>
            <w:sz w:val="22"/>
            <w:szCs w:val="22"/>
          </w:rPr>
          <w:t>https://japanintercultural.com/free-resources/articles/how-do-the-japanese-put-in-their-two-cents-ringi/</w:t>
        </w:r>
      </w:hyperlink>
      <w:r w:rsidRPr="007C20C4">
        <w:rPr>
          <w:rFonts w:ascii="Arial" w:eastAsia="Arial" w:hAnsi="Arial" w:cs="Arial"/>
          <w:sz w:val="22"/>
          <w:szCs w:val="22"/>
        </w:rPr>
        <w:t xml:space="preserve"> (Accessed: 22 August 2026).</w:t>
      </w:r>
    </w:p>
    <w:p w14:paraId="7BAFCDB0" w14:textId="3F079A15"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Japan Times (2017) 'The need for more proactive communications', </w:t>
      </w:r>
      <w:r w:rsidRPr="007C20C4">
        <w:rPr>
          <w:rFonts w:ascii="Arial" w:eastAsia="Arial" w:hAnsi="Arial" w:cs="Arial"/>
          <w:i/>
          <w:iCs/>
          <w:sz w:val="22"/>
          <w:szCs w:val="22"/>
        </w:rPr>
        <w:t>The Japan Times</w:t>
      </w:r>
      <w:r w:rsidRPr="007C20C4">
        <w:rPr>
          <w:rFonts w:ascii="Arial" w:eastAsia="Arial" w:hAnsi="Arial" w:cs="Arial"/>
          <w:sz w:val="22"/>
          <w:szCs w:val="22"/>
        </w:rPr>
        <w:t xml:space="preserve">, 15 October. Available at: </w:t>
      </w:r>
      <w:hyperlink r:id="rId17" w:history="1">
        <w:r w:rsidRPr="007C20C4">
          <w:rPr>
            <w:rStyle w:val="Hyperlink"/>
            <w:rFonts w:ascii="Arial" w:eastAsia="Arial" w:hAnsi="Arial" w:cs="Arial"/>
            <w:sz w:val="22"/>
            <w:szCs w:val="22"/>
          </w:rPr>
          <w:t>https://www.japantimes.co.jp/opinion/2017/10/15/commentary/japan-commentary/need-proactive-communications/</w:t>
        </w:r>
      </w:hyperlink>
      <w:r w:rsidRPr="007C20C4">
        <w:rPr>
          <w:rFonts w:ascii="Arial" w:eastAsia="Arial" w:hAnsi="Arial" w:cs="Arial"/>
          <w:sz w:val="22"/>
          <w:szCs w:val="22"/>
        </w:rPr>
        <w:t xml:space="preserve"> (Accessed: 22 August 2026).</w:t>
      </w:r>
    </w:p>
    <w:p w14:paraId="2272E02F" w14:textId="0A8571AB"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Japan Times (2023) 'AstraZeneca's Japan partner to go solo on future cancer drugs', </w:t>
      </w:r>
      <w:r w:rsidRPr="007C20C4">
        <w:rPr>
          <w:rFonts w:ascii="Arial" w:eastAsia="Arial" w:hAnsi="Arial" w:cs="Arial"/>
          <w:i/>
          <w:iCs/>
          <w:sz w:val="22"/>
          <w:szCs w:val="22"/>
        </w:rPr>
        <w:t>The Japan Times</w:t>
      </w:r>
      <w:r w:rsidRPr="007C20C4">
        <w:rPr>
          <w:rFonts w:ascii="Arial" w:eastAsia="Arial" w:hAnsi="Arial" w:cs="Arial"/>
          <w:sz w:val="22"/>
          <w:szCs w:val="22"/>
        </w:rPr>
        <w:t xml:space="preserve">, 7 June. Available at: </w:t>
      </w:r>
      <w:hyperlink r:id="rId18" w:history="1">
        <w:r w:rsidRPr="007C20C4">
          <w:rPr>
            <w:rStyle w:val="Hyperlink"/>
            <w:rFonts w:ascii="Arial" w:eastAsia="Arial" w:hAnsi="Arial" w:cs="Arial"/>
            <w:sz w:val="22"/>
            <w:szCs w:val="22"/>
          </w:rPr>
          <w:t>https://www.japantimes.co.jp/news/2023/06/07/business/corporate-business/daiichi-sankyo-interview/</w:t>
        </w:r>
      </w:hyperlink>
      <w:r w:rsidRPr="007C20C4">
        <w:rPr>
          <w:rFonts w:ascii="Arial" w:eastAsia="Arial" w:hAnsi="Arial" w:cs="Arial"/>
          <w:sz w:val="22"/>
          <w:szCs w:val="22"/>
        </w:rPr>
        <w:t xml:space="preserve"> (Accessed: 22 August 2026).</w:t>
      </w:r>
    </w:p>
    <w:p w14:paraId="2C0F3FAB" w14:textId="162CD474"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Kotoba Interactive (2026) </w:t>
      </w:r>
      <w:proofErr w:type="spellStart"/>
      <w:r w:rsidRPr="007C20C4">
        <w:rPr>
          <w:rFonts w:ascii="Arial" w:eastAsia="Arial" w:hAnsi="Arial" w:cs="Arial"/>
          <w:i/>
          <w:iCs/>
          <w:sz w:val="22"/>
          <w:szCs w:val="22"/>
        </w:rPr>
        <w:t>Nemawashi</w:t>
      </w:r>
      <w:proofErr w:type="spellEnd"/>
      <w:r w:rsidRPr="007C20C4">
        <w:rPr>
          <w:rFonts w:ascii="Arial" w:eastAsia="Arial" w:hAnsi="Arial" w:cs="Arial"/>
          <w:i/>
          <w:iCs/>
          <w:sz w:val="22"/>
          <w:szCs w:val="22"/>
        </w:rPr>
        <w:t>: The Japanese art of deciding by consensus</w:t>
      </w:r>
      <w:r w:rsidRPr="007C20C4">
        <w:rPr>
          <w:rFonts w:ascii="Arial" w:eastAsia="Arial" w:hAnsi="Arial" w:cs="Arial"/>
          <w:sz w:val="22"/>
          <w:szCs w:val="22"/>
        </w:rPr>
        <w:t xml:space="preserve">. Available at: </w:t>
      </w:r>
      <w:hyperlink r:id="rId19" w:history="1">
        <w:r w:rsidRPr="007C20C4">
          <w:rPr>
            <w:rStyle w:val="Hyperlink"/>
            <w:rFonts w:ascii="Arial" w:eastAsia="Arial" w:hAnsi="Arial" w:cs="Arial"/>
            <w:sz w:val="22"/>
            <w:szCs w:val="22"/>
          </w:rPr>
          <w:t>https://www.kotobainteractive.com/en/blog/nemawashi-prise-decision-consensus-japon</w:t>
        </w:r>
      </w:hyperlink>
      <w:r w:rsidRPr="007C20C4">
        <w:rPr>
          <w:rFonts w:ascii="Arial" w:eastAsia="Arial" w:hAnsi="Arial" w:cs="Arial"/>
          <w:sz w:val="22"/>
          <w:szCs w:val="22"/>
        </w:rPr>
        <w:t xml:space="preserve"> (Accessed: 22 August 2026).</w:t>
      </w:r>
    </w:p>
    <w:p w14:paraId="600A5FBB" w14:textId="51148C14"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McSweeney, B. (2002) 'Hofstede's model of national cultural differences and their consequences: A triumph of faith - a failure of analysis', </w:t>
      </w:r>
      <w:r w:rsidRPr="007C20C4">
        <w:rPr>
          <w:rFonts w:ascii="Arial" w:eastAsia="Arial" w:hAnsi="Arial" w:cs="Arial"/>
          <w:i/>
          <w:iCs/>
          <w:sz w:val="22"/>
          <w:szCs w:val="22"/>
        </w:rPr>
        <w:t>Human Relations</w:t>
      </w:r>
      <w:r w:rsidRPr="007C20C4">
        <w:rPr>
          <w:rFonts w:ascii="Arial" w:eastAsia="Arial" w:hAnsi="Arial" w:cs="Arial"/>
          <w:sz w:val="22"/>
          <w:szCs w:val="22"/>
        </w:rPr>
        <w:t xml:space="preserve">, 55(1), pp. </w:t>
      </w:r>
      <w:r w:rsidRPr="007C20C4">
        <w:rPr>
          <w:rFonts w:ascii="Arial" w:eastAsia="Arial" w:hAnsi="Arial" w:cs="Arial"/>
          <w:sz w:val="22"/>
          <w:szCs w:val="22"/>
        </w:rPr>
        <w:lastRenderedPageBreak/>
        <w:t xml:space="preserve">89-118. Available at: </w:t>
      </w:r>
      <w:hyperlink r:id="rId20" w:history="1">
        <w:r w:rsidRPr="007C20C4">
          <w:rPr>
            <w:rStyle w:val="Hyperlink"/>
            <w:rFonts w:ascii="Arial" w:eastAsia="Arial" w:hAnsi="Arial" w:cs="Arial"/>
            <w:sz w:val="22"/>
            <w:szCs w:val="22"/>
          </w:rPr>
          <w:t>https://journals.sagepub.com/doi/10.1177/0018726702551004</w:t>
        </w:r>
      </w:hyperlink>
      <w:r w:rsidRPr="007C20C4">
        <w:rPr>
          <w:rFonts w:ascii="Arial" w:eastAsia="Arial" w:hAnsi="Arial" w:cs="Arial"/>
          <w:sz w:val="22"/>
          <w:szCs w:val="22"/>
        </w:rPr>
        <w:t xml:space="preserve"> (Accessed: 22 August 2026).</w:t>
      </w:r>
    </w:p>
    <w:p w14:paraId="09077642" w14:textId="77777777"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McSweeney, B. (2013) 'Fashion founded on a flaw: The ecological mono-deterministic fallacy of Hofstede, GLOBE, and followers', </w:t>
      </w:r>
      <w:r w:rsidRPr="007C20C4">
        <w:rPr>
          <w:rFonts w:ascii="Arial" w:eastAsia="Arial" w:hAnsi="Arial" w:cs="Arial"/>
          <w:i/>
          <w:iCs/>
          <w:sz w:val="22"/>
          <w:szCs w:val="22"/>
        </w:rPr>
        <w:t>International Marketing Review</w:t>
      </w:r>
      <w:r w:rsidRPr="007C20C4">
        <w:rPr>
          <w:rFonts w:ascii="Arial" w:eastAsia="Arial" w:hAnsi="Arial" w:cs="Arial"/>
          <w:sz w:val="22"/>
          <w:szCs w:val="22"/>
        </w:rPr>
        <w:t>, 30(5), pp. 483-504.</w:t>
      </w:r>
    </w:p>
    <w:p w14:paraId="7E5075F9" w14:textId="77777777"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Meyer, E. (2014) The Culture Map: Breaking Through the Invisible Boundaries of Global Business. New York: PublicAffairs.</w:t>
      </w:r>
    </w:p>
    <w:p w14:paraId="6FCAD3E8" w14:textId="695CBE70" w:rsidR="00EC6BFA" w:rsidRPr="007C20C4" w:rsidRDefault="00EC6BFA" w:rsidP="007C20C4">
      <w:pPr>
        <w:spacing w:after="200" w:line="360" w:lineRule="auto"/>
        <w:ind w:left="720" w:hanging="720"/>
        <w:jc w:val="both"/>
        <w:rPr>
          <w:rFonts w:ascii="Arial" w:hAnsi="Arial" w:cs="Arial"/>
        </w:rPr>
      </w:pPr>
      <w:proofErr w:type="spellStart"/>
      <w:r w:rsidRPr="007C20C4">
        <w:rPr>
          <w:rFonts w:ascii="Arial" w:eastAsia="Arial" w:hAnsi="Arial" w:cs="Arial"/>
          <w:sz w:val="22"/>
          <w:szCs w:val="22"/>
        </w:rPr>
        <w:t>MedCity</w:t>
      </w:r>
      <w:proofErr w:type="spellEnd"/>
      <w:r w:rsidRPr="007C20C4">
        <w:rPr>
          <w:rFonts w:ascii="Arial" w:eastAsia="Arial" w:hAnsi="Arial" w:cs="Arial"/>
          <w:sz w:val="22"/>
          <w:szCs w:val="22"/>
        </w:rPr>
        <w:t xml:space="preserve"> News (2025) 'AstraZeneca, Daiichi Sankyo ADC </w:t>
      </w:r>
      <w:proofErr w:type="spellStart"/>
      <w:r w:rsidRPr="007C20C4">
        <w:rPr>
          <w:rFonts w:ascii="Arial" w:eastAsia="Arial" w:hAnsi="Arial" w:cs="Arial"/>
          <w:sz w:val="22"/>
          <w:szCs w:val="22"/>
        </w:rPr>
        <w:t>Enhertu</w:t>
      </w:r>
      <w:proofErr w:type="spellEnd"/>
      <w:r w:rsidRPr="007C20C4">
        <w:rPr>
          <w:rFonts w:ascii="Arial" w:eastAsia="Arial" w:hAnsi="Arial" w:cs="Arial"/>
          <w:sz w:val="22"/>
          <w:szCs w:val="22"/>
        </w:rPr>
        <w:t xml:space="preserve"> moves up to first-line breast cancer treatment', </w:t>
      </w:r>
      <w:proofErr w:type="spellStart"/>
      <w:r w:rsidRPr="007C20C4">
        <w:rPr>
          <w:rFonts w:ascii="Arial" w:eastAsia="Arial" w:hAnsi="Arial" w:cs="Arial"/>
          <w:i/>
          <w:iCs/>
          <w:sz w:val="22"/>
          <w:szCs w:val="22"/>
        </w:rPr>
        <w:t>MedCity</w:t>
      </w:r>
      <w:proofErr w:type="spellEnd"/>
      <w:r w:rsidRPr="007C20C4">
        <w:rPr>
          <w:rFonts w:ascii="Arial" w:eastAsia="Arial" w:hAnsi="Arial" w:cs="Arial"/>
          <w:i/>
          <w:iCs/>
          <w:sz w:val="22"/>
          <w:szCs w:val="22"/>
        </w:rPr>
        <w:t xml:space="preserve"> News</w:t>
      </w:r>
      <w:r w:rsidRPr="007C20C4">
        <w:rPr>
          <w:rFonts w:ascii="Arial" w:eastAsia="Arial" w:hAnsi="Arial" w:cs="Arial"/>
          <w:sz w:val="22"/>
          <w:szCs w:val="22"/>
        </w:rPr>
        <w:t xml:space="preserve">, 16 December. Available at: </w:t>
      </w:r>
      <w:hyperlink r:id="rId21" w:history="1">
        <w:r w:rsidRPr="007C20C4">
          <w:rPr>
            <w:rStyle w:val="Hyperlink"/>
            <w:rFonts w:ascii="Arial" w:eastAsia="Arial" w:hAnsi="Arial" w:cs="Arial"/>
            <w:sz w:val="22"/>
            <w:szCs w:val="22"/>
          </w:rPr>
          <w:t>https://medcitynews.com/2025/12/astrazeneca-daiichi-sankyo-her2-adc-enhertu-first-line-breast-cancer-azn-dsnky/</w:t>
        </w:r>
      </w:hyperlink>
      <w:r w:rsidRPr="007C20C4">
        <w:rPr>
          <w:rFonts w:ascii="Arial" w:eastAsia="Arial" w:hAnsi="Arial" w:cs="Arial"/>
          <w:sz w:val="22"/>
          <w:szCs w:val="22"/>
        </w:rPr>
        <w:t xml:space="preserve"> (Accessed: 22 August 2026).</w:t>
      </w:r>
    </w:p>
    <w:p w14:paraId="53304E43" w14:textId="71686C95"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Nagoya University (n.d.) </w:t>
      </w:r>
      <w:r w:rsidRPr="007C20C4">
        <w:rPr>
          <w:rFonts w:ascii="Arial" w:eastAsia="Arial" w:hAnsi="Arial" w:cs="Arial"/>
          <w:i/>
          <w:iCs/>
          <w:sz w:val="22"/>
          <w:szCs w:val="22"/>
        </w:rPr>
        <w:t>Changing dimensions of national culture in Japan</w:t>
      </w:r>
      <w:r w:rsidRPr="007C20C4">
        <w:rPr>
          <w:rFonts w:ascii="Arial" w:eastAsia="Arial" w:hAnsi="Arial" w:cs="Arial"/>
          <w:sz w:val="22"/>
          <w:szCs w:val="22"/>
        </w:rPr>
        <w:t xml:space="preserve">. Available at: </w:t>
      </w:r>
      <w:hyperlink r:id="rId22" w:history="1">
        <w:r w:rsidRPr="007C20C4">
          <w:rPr>
            <w:rStyle w:val="Hyperlink"/>
            <w:rFonts w:ascii="Arial" w:eastAsia="Arial" w:hAnsi="Arial" w:cs="Arial"/>
            <w:sz w:val="22"/>
            <w:szCs w:val="22"/>
          </w:rPr>
          <w:t>http://www2.soec.nagoya-u.ac.jp/wp-content/uploads/2016/04/paper143.pdf</w:t>
        </w:r>
      </w:hyperlink>
      <w:r w:rsidRPr="007C20C4">
        <w:rPr>
          <w:rFonts w:ascii="Arial" w:eastAsia="Arial" w:hAnsi="Arial" w:cs="Arial"/>
          <w:sz w:val="22"/>
          <w:szCs w:val="22"/>
        </w:rPr>
        <w:t xml:space="preserve"> (Accessed: 22 August 2026).</w:t>
      </w:r>
    </w:p>
    <w:p w14:paraId="7F37383A" w14:textId="17EFB681"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Nishimura, S., </w:t>
      </w:r>
      <w:proofErr w:type="spellStart"/>
      <w:r w:rsidRPr="007C20C4">
        <w:rPr>
          <w:rFonts w:ascii="Arial" w:eastAsia="Arial" w:hAnsi="Arial" w:cs="Arial"/>
          <w:sz w:val="22"/>
          <w:szCs w:val="22"/>
        </w:rPr>
        <w:t>Nevgi</w:t>
      </w:r>
      <w:proofErr w:type="spellEnd"/>
      <w:r w:rsidRPr="007C20C4">
        <w:rPr>
          <w:rFonts w:ascii="Arial" w:eastAsia="Arial" w:hAnsi="Arial" w:cs="Arial"/>
          <w:sz w:val="22"/>
          <w:szCs w:val="22"/>
        </w:rPr>
        <w:t xml:space="preserve">, A. and Tella, S. (n.d.) </w:t>
      </w:r>
      <w:r w:rsidRPr="007C20C4">
        <w:rPr>
          <w:rFonts w:ascii="Arial" w:eastAsia="Arial" w:hAnsi="Arial" w:cs="Arial"/>
          <w:i/>
          <w:iCs/>
          <w:sz w:val="22"/>
          <w:szCs w:val="22"/>
        </w:rPr>
        <w:t>Communication style and cultural features in high/low context communication cultures: A case study of Finland, Japan and India</w:t>
      </w:r>
      <w:r w:rsidRPr="007C20C4">
        <w:rPr>
          <w:rFonts w:ascii="Arial" w:eastAsia="Arial" w:hAnsi="Arial" w:cs="Arial"/>
          <w:sz w:val="22"/>
          <w:szCs w:val="22"/>
        </w:rPr>
        <w:t xml:space="preserve">. Available at: </w:t>
      </w:r>
      <w:hyperlink r:id="rId23" w:history="1">
        <w:r w:rsidRPr="007C20C4">
          <w:rPr>
            <w:rStyle w:val="Hyperlink"/>
            <w:rFonts w:ascii="Arial" w:eastAsia="Arial" w:hAnsi="Arial" w:cs="Arial"/>
            <w:sz w:val="22"/>
            <w:szCs w:val="22"/>
          </w:rPr>
          <w:t>https://mycourses.aalto.fi/pluginfile.php/1189342/mod_resource/content/3/nishimuranevgitella299.pdf</w:t>
        </w:r>
      </w:hyperlink>
      <w:r w:rsidRPr="007C20C4">
        <w:rPr>
          <w:rFonts w:ascii="Arial" w:eastAsia="Arial" w:hAnsi="Arial" w:cs="Arial"/>
          <w:sz w:val="22"/>
          <w:szCs w:val="22"/>
        </w:rPr>
        <w:t xml:space="preserve"> (Accessed: 22 August 2026).</w:t>
      </w:r>
    </w:p>
    <w:p w14:paraId="301F85B1" w14:textId="77777777" w:rsidR="00EC6BFA" w:rsidRPr="007C20C4" w:rsidRDefault="00EC6BFA" w:rsidP="007C20C4">
      <w:pPr>
        <w:spacing w:after="200" w:line="360" w:lineRule="auto"/>
        <w:ind w:left="720" w:hanging="720"/>
        <w:jc w:val="both"/>
        <w:rPr>
          <w:rFonts w:ascii="Arial" w:eastAsia="Arial" w:hAnsi="Arial" w:cs="Arial"/>
          <w:sz w:val="22"/>
          <w:szCs w:val="22"/>
        </w:rPr>
      </w:pPr>
      <w:r w:rsidRPr="007C20C4">
        <w:rPr>
          <w:rFonts w:ascii="Arial" w:eastAsia="Arial" w:hAnsi="Arial" w:cs="Arial"/>
          <w:sz w:val="22"/>
          <w:szCs w:val="22"/>
        </w:rPr>
        <w:t xml:space="preserve">Osaka Language Solutions (2026) </w:t>
      </w:r>
      <w:proofErr w:type="spellStart"/>
      <w:r w:rsidRPr="007C20C4">
        <w:rPr>
          <w:rFonts w:ascii="Arial" w:eastAsia="Arial" w:hAnsi="Arial" w:cs="Arial"/>
          <w:i/>
          <w:iCs/>
          <w:sz w:val="22"/>
          <w:szCs w:val="22"/>
        </w:rPr>
        <w:t>Tatemae</w:t>
      </w:r>
      <w:proofErr w:type="spellEnd"/>
      <w:r w:rsidRPr="007C20C4">
        <w:rPr>
          <w:rFonts w:ascii="Arial" w:eastAsia="Arial" w:hAnsi="Arial" w:cs="Arial"/>
          <w:i/>
          <w:iCs/>
          <w:sz w:val="22"/>
          <w:szCs w:val="22"/>
        </w:rPr>
        <w:t xml:space="preserve"> and </w:t>
      </w:r>
      <w:proofErr w:type="spellStart"/>
      <w:r w:rsidRPr="007C20C4">
        <w:rPr>
          <w:rFonts w:ascii="Arial" w:eastAsia="Arial" w:hAnsi="Arial" w:cs="Arial"/>
          <w:i/>
          <w:iCs/>
          <w:sz w:val="22"/>
          <w:szCs w:val="22"/>
        </w:rPr>
        <w:t>honne</w:t>
      </w:r>
      <w:proofErr w:type="spellEnd"/>
      <w:r w:rsidRPr="007C20C4">
        <w:rPr>
          <w:rFonts w:ascii="Arial" w:eastAsia="Arial" w:hAnsi="Arial" w:cs="Arial"/>
          <w:i/>
          <w:iCs/>
          <w:sz w:val="22"/>
          <w:szCs w:val="22"/>
        </w:rPr>
        <w:t xml:space="preserve"> in Japanese business: The complete cultural guide for foreign executives. </w:t>
      </w:r>
      <w:r w:rsidRPr="007C20C4">
        <w:rPr>
          <w:rFonts w:ascii="Arial" w:eastAsia="Arial" w:hAnsi="Arial" w:cs="Arial"/>
          <w:sz w:val="22"/>
          <w:szCs w:val="22"/>
        </w:rPr>
        <w:t xml:space="preserve">Available at: </w:t>
      </w:r>
      <w:hyperlink r:id="rId24" w:history="1">
        <w:r w:rsidRPr="007C20C4">
          <w:rPr>
            <w:rStyle w:val="Hyperlink"/>
            <w:rFonts w:ascii="Arial" w:eastAsia="Arial" w:hAnsi="Arial" w:cs="Arial"/>
            <w:sz w:val="22"/>
            <w:szCs w:val="22"/>
          </w:rPr>
          <w:t>https://osakalanguagesolutions.com/tatemae-honne-in-japanese-business-the-complete-cultural-guide-for-foreign-executives-in-kansai-2026-2027/</w:t>
        </w:r>
      </w:hyperlink>
      <w:r w:rsidRPr="007C20C4">
        <w:rPr>
          <w:rFonts w:ascii="Arial" w:eastAsia="Arial" w:hAnsi="Arial" w:cs="Arial"/>
          <w:sz w:val="22"/>
          <w:szCs w:val="22"/>
        </w:rPr>
        <w:t xml:space="preserve"> (Accessed: 22 August 2026).</w:t>
      </w:r>
    </w:p>
    <w:p w14:paraId="19506FD6" w14:textId="0FEDC808"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Pharmaceutical Technology (2022) 'More big wins for the AstraZeneca-Daiichi Sankyo collaboration', </w:t>
      </w:r>
      <w:r w:rsidRPr="007C20C4">
        <w:rPr>
          <w:rFonts w:ascii="Arial" w:eastAsia="Arial" w:hAnsi="Arial" w:cs="Arial"/>
          <w:i/>
          <w:iCs/>
          <w:sz w:val="22"/>
          <w:szCs w:val="22"/>
        </w:rPr>
        <w:t>Pharmaceutical Technology</w:t>
      </w:r>
      <w:r w:rsidRPr="007C20C4">
        <w:rPr>
          <w:rFonts w:ascii="Arial" w:eastAsia="Arial" w:hAnsi="Arial" w:cs="Arial"/>
          <w:sz w:val="22"/>
          <w:szCs w:val="22"/>
        </w:rPr>
        <w:t xml:space="preserve">, 16 August. Available at: </w:t>
      </w:r>
      <w:hyperlink r:id="rId25" w:history="1">
        <w:r w:rsidRPr="007C20C4">
          <w:rPr>
            <w:rStyle w:val="Hyperlink"/>
            <w:rFonts w:ascii="Arial" w:eastAsia="Arial" w:hAnsi="Arial" w:cs="Arial"/>
            <w:sz w:val="22"/>
            <w:szCs w:val="22"/>
          </w:rPr>
          <w:t>https://www.pharmaceutical-technology.com/analyst-comment/astrazeneca-daiichi-sankyo/</w:t>
        </w:r>
      </w:hyperlink>
      <w:r w:rsidRPr="007C20C4">
        <w:rPr>
          <w:rFonts w:ascii="Arial" w:eastAsia="Arial" w:hAnsi="Arial" w:cs="Arial"/>
          <w:sz w:val="22"/>
          <w:szCs w:val="22"/>
        </w:rPr>
        <w:t xml:space="preserve"> (Accessed: 22 August 2026).</w:t>
      </w:r>
    </w:p>
    <w:p w14:paraId="3DDF293A" w14:textId="2418E700" w:rsidR="00EC6BFA" w:rsidRPr="007C20C4" w:rsidRDefault="00EC6BFA" w:rsidP="007C20C4">
      <w:pPr>
        <w:spacing w:after="200" w:line="360" w:lineRule="auto"/>
        <w:ind w:left="720" w:hanging="720"/>
        <w:jc w:val="both"/>
        <w:rPr>
          <w:rFonts w:ascii="Arial" w:hAnsi="Arial" w:cs="Arial"/>
        </w:rPr>
      </w:pPr>
      <w:proofErr w:type="spellStart"/>
      <w:r w:rsidRPr="007C20C4">
        <w:rPr>
          <w:rFonts w:ascii="Arial" w:eastAsia="Arial" w:hAnsi="Arial" w:cs="Arial"/>
          <w:sz w:val="22"/>
          <w:szCs w:val="22"/>
        </w:rPr>
        <w:t>Silkdrive</w:t>
      </w:r>
      <w:proofErr w:type="spellEnd"/>
      <w:r w:rsidRPr="007C20C4">
        <w:rPr>
          <w:rFonts w:ascii="Arial" w:eastAsia="Arial" w:hAnsi="Arial" w:cs="Arial"/>
          <w:sz w:val="22"/>
          <w:szCs w:val="22"/>
        </w:rPr>
        <w:t xml:space="preserve"> (2026) </w:t>
      </w:r>
      <w:r w:rsidRPr="007C20C4">
        <w:rPr>
          <w:rFonts w:ascii="Arial" w:eastAsia="Arial" w:hAnsi="Arial" w:cs="Arial"/>
          <w:i/>
          <w:iCs/>
          <w:sz w:val="22"/>
          <w:szCs w:val="22"/>
        </w:rPr>
        <w:t xml:space="preserve">How </w:t>
      </w:r>
      <w:proofErr w:type="spellStart"/>
      <w:r w:rsidRPr="007C20C4">
        <w:rPr>
          <w:rFonts w:ascii="Arial" w:eastAsia="Arial" w:hAnsi="Arial" w:cs="Arial"/>
          <w:i/>
          <w:iCs/>
          <w:sz w:val="22"/>
          <w:szCs w:val="22"/>
        </w:rPr>
        <w:t>nemawashi</w:t>
      </w:r>
      <w:proofErr w:type="spellEnd"/>
      <w:r w:rsidRPr="007C20C4">
        <w:rPr>
          <w:rFonts w:ascii="Arial" w:eastAsia="Arial" w:hAnsi="Arial" w:cs="Arial"/>
          <w:i/>
          <w:iCs/>
          <w:sz w:val="22"/>
          <w:szCs w:val="22"/>
        </w:rPr>
        <w:t xml:space="preserve"> connects to Japanese business decision-making</w:t>
      </w:r>
      <w:r w:rsidRPr="007C20C4">
        <w:rPr>
          <w:rFonts w:ascii="Arial" w:eastAsia="Arial" w:hAnsi="Arial" w:cs="Arial"/>
          <w:sz w:val="22"/>
          <w:szCs w:val="22"/>
        </w:rPr>
        <w:t xml:space="preserve">. Available at: </w:t>
      </w:r>
      <w:hyperlink r:id="rId26" w:history="1">
        <w:r w:rsidRPr="007C20C4">
          <w:rPr>
            <w:rStyle w:val="Hyperlink"/>
            <w:rFonts w:ascii="Arial" w:eastAsia="Arial" w:hAnsi="Arial" w:cs="Arial"/>
            <w:sz w:val="22"/>
            <w:szCs w:val="22"/>
          </w:rPr>
          <w:t>https://www.silkdrive.com/insights/nemawashi-japanese-decision-making</w:t>
        </w:r>
      </w:hyperlink>
      <w:r w:rsidRPr="007C20C4">
        <w:rPr>
          <w:rFonts w:ascii="Arial" w:eastAsia="Arial" w:hAnsi="Arial" w:cs="Arial"/>
          <w:sz w:val="22"/>
          <w:szCs w:val="22"/>
        </w:rPr>
        <w:t xml:space="preserve"> (Accessed: 22 August 2026).</w:t>
      </w:r>
    </w:p>
    <w:p w14:paraId="353D70A9" w14:textId="77777777"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lastRenderedPageBreak/>
        <w:t xml:space="preserve">Trompenaars, F. and Hampden-Turner, C. (1997) </w:t>
      </w:r>
      <w:r w:rsidRPr="007C20C4">
        <w:rPr>
          <w:rFonts w:ascii="Arial" w:eastAsia="Arial" w:hAnsi="Arial" w:cs="Arial"/>
          <w:i/>
          <w:iCs/>
          <w:sz w:val="22"/>
          <w:szCs w:val="22"/>
        </w:rPr>
        <w:t>Riding the Waves of Culture: Understanding Diversity in Global Business</w:t>
      </w:r>
      <w:r w:rsidRPr="007C20C4">
        <w:rPr>
          <w:rFonts w:ascii="Arial" w:eastAsia="Arial" w:hAnsi="Arial" w:cs="Arial"/>
          <w:sz w:val="22"/>
          <w:szCs w:val="22"/>
        </w:rPr>
        <w:t xml:space="preserve">. 2nd </w:t>
      </w:r>
      <w:proofErr w:type="spellStart"/>
      <w:r w:rsidRPr="007C20C4">
        <w:rPr>
          <w:rFonts w:ascii="Arial" w:eastAsia="Arial" w:hAnsi="Arial" w:cs="Arial"/>
          <w:sz w:val="22"/>
          <w:szCs w:val="22"/>
        </w:rPr>
        <w:t>edn</w:t>
      </w:r>
      <w:proofErr w:type="spellEnd"/>
      <w:r w:rsidRPr="007C20C4">
        <w:rPr>
          <w:rFonts w:ascii="Arial" w:eastAsia="Arial" w:hAnsi="Arial" w:cs="Arial"/>
          <w:sz w:val="22"/>
          <w:szCs w:val="22"/>
        </w:rPr>
        <w:t>. London: Nicholas Brealey Publishing.</w:t>
      </w:r>
    </w:p>
    <w:p w14:paraId="1117CE07" w14:textId="094E83ED" w:rsidR="00EC6BFA" w:rsidRPr="007C20C4" w:rsidRDefault="00EC6BFA" w:rsidP="007C20C4">
      <w:pPr>
        <w:spacing w:after="200" w:line="360" w:lineRule="auto"/>
        <w:ind w:left="720" w:hanging="720"/>
        <w:jc w:val="both"/>
        <w:rPr>
          <w:rFonts w:ascii="Arial" w:hAnsi="Arial" w:cs="Arial"/>
        </w:rPr>
      </w:pPr>
      <w:proofErr w:type="spellStart"/>
      <w:r w:rsidRPr="007C20C4">
        <w:rPr>
          <w:rFonts w:ascii="Arial" w:eastAsia="Arial" w:hAnsi="Arial" w:cs="Arial"/>
          <w:sz w:val="22"/>
          <w:szCs w:val="22"/>
        </w:rPr>
        <w:t>Umbrex</w:t>
      </w:r>
      <w:proofErr w:type="spellEnd"/>
      <w:r w:rsidRPr="007C20C4">
        <w:rPr>
          <w:rFonts w:ascii="Arial" w:eastAsia="Arial" w:hAnsi="Arial" w:cs="Arial"/>
          <w:sz w:val="22"/>
          <w:szCs w:val="22"/>
        </w:rPr>
        <w:t xml:space="preserve"> (2026) </w:t>
      </w:r>
      <w:r w:rsidRPr="007C20C4">
        <w:rPr>
          <w:rFonts w:ascii="Arial" w:eastAsia="Arial" w:hAnsi="Arial" w:cs="Arial"/>
          <w:i/>
          <w:iCs/>
          <w:sz w:val="22"/>
          <w:szCs w:val="22"/>
        </w:rPr>
        <w:t>Trompenaars seven dimensions of culture</w:t>
      </w:r>
      <w:r w:rsidRPr="007C20C4">
        <w:rPr>
          <w:rFonts w:ascii="Arial" w:eastAsia="Arial" w:hAnsi="Arial" w:cs="Arial"/>
          <w:sz w:val="22"/>
          <w:szCs w:val="22"/>
        </w:rPr>
        <w:t xml:space="preserve">. Available at: </w:t>
      </w:r>
      <w:hyperlink r:id="rId27" w:history="1">
        <w:r w:rsidRPr="007C20C4">
          <w:rPr>
            <w:rStyle w:val="Hyperlink"/>
            <w:rFonts w:ascii="Arial" w:eastAsia="Arial" w:hAnsi="Arial" w:cs="Arial"/>
            <w:sz w:val="22"/>
            <w:szCs w:val="22"/>
          </w:rPr>
          <w:t>https://umbrex.com/resources/frameworks/organization-frameworks/trompenaars-seven-dimensions-of-culture/</w:t>
        </w:r>
      </w:hyperlink>
      <w:r w:rsidRPr="007C20C4">
        <w:rPr>
          <w:rFonts w:ascii="Arial" w:eastAsia="Arial" w:hAnsi="Arial" w:cs="Arial"/>
          <w:sz w:val="22"/>
          <w:szCs w:val="22"/>
        </w:rPr>
        <w:t xml:space="preserve"> (Accessed: 22 August 2026).</w:t>
      </w:r>
    </w:p>
    <w:p w14:paraId="594792B8" w14:textId="77777777" w:rsidR="00EC6BFA" w:rsidRPr="007C20C4" w:rsidRDefault="00EC6BFA" w:rsidP="007C20C4">
      <w:pPr>
        <w:spacing w:after="200" w:line="360" w:lineRule="auto"/>
        <w:ind w:left="720" w:hanging="720"/>
        <w:jc w:val="both"/>
        <w:rPr>
          <w:rFonts w:ascii="Arial" w:hAnsi="Arial" w:cs="Arial"/>
        </w:rPr>
      </w:pPr>
      <w:proofErr w:type="spellStart"/>
      <w:r w:rsidRPr="007C20C4">
        <w:rPr>
          <w:rFonts w:ascii="Arial" w:eastAsia="Arial" w:hAnsi="Arial" w:cs="Arial"/>
          <w:sz w:val="22"/>
          <w:szCs w:val="22"/>
        </w:rPr>
        <w:t>Venaik</w:t>
      </w:r>
      <w:proofErr w:type="spellEnd"/>
      <w:r w:rsidRPr="007C20C4">
        <w:rPr>
          <w:rFonts w:ascii="Arial" w:eastAsia="Arial" w:hAnsi="Arial" w:cs="Arial"/>
          <w:sz w:val="22"/>
          <w:szCs w:val="22"/>
        </w:rPr>
        <w:t xml:space="preserve">, S. and Brewer, P. (2016) 'National culture dimensions: The perpetuation of cultural ignorance', </w:t>
      </w:r>
      <w:r w:rsidRPr="007C20C4">
        <w:rPr>
          <w:rFonts w:ascii="Arial" w:eastAsia="Arial" w:hAnsi="Arial" w:cs="Arial"/>
          <w:i/>
          <w:iCs/>
          <w:sz w:val="22"/>
          <w:szCs w:val="22"/>
        </w:rPr>
        <w:t>Management Learning</w:t>
      </w:r>
      <w:r w:rsidRPr="007C20C4">
        <w:rPr>
          <w:rFonts w:ascii="Arial" w:eastAsia="Arial" w:hAnsi="Arial" w:cs="Arial"/>
          <w:sz w:val="22"/>
          <w:szCs w:val="22"/>
        </w:rPr>
        <w:t>, 47(5), pp. 563-589.</w:t>
      </w:r>
    </w:p>
    <w:p w14:paraId="29D4952E" w14:textId="3BA21451" w:rsidR="00EC6BFA" w:rsidRPr="007C20C4" w:rsidRDefault="00EC6BFA" w:rsidP="007C20C4">
      <w:pPr>
        <w:spacing w:after="200" w:line="360" w:lineRule="auto"/>
        <w:ind w:left="720" w:hanging="720"/>
        <w:jc w:val="both"/>
        <w:rPr>
          <w:rFonts w:ascii="Arial" w:hAnsi="Arial" w:cs="Arial"/>
        </w:rPr>
      </w:pPr>
      <w:r w:rsidRPr="007C20C4">
        <w:rPr>
          <w:rFonts w:ascii="Arial" w:eastAsia="Arial" w:hAnsi="Arial" w:cs="Arial"/>
          <w:sz w:val="22"/>
          <w:szCs w:val="22"/>
        </w:rPr>
        <w:t xml:space="preserve">wa-japan.org (2025) </w:t>
      </w:r>
      <w:r w:rsidRPr="007C20C4">
        <w:rPr>
          <w:rFonts w:ascii="Arial" w:eastAsia="Arial" w:hAnsi="Arial" w:cs="Arial"/>
          <w:i/>
          <w:iCs/>
          <w:sz w:val="22"/>
          <w:szCs w:val="22"/>
        </w:rPr>
        <w:t>How does direct vs. indirect communication work in Japan?</w:t>
      </w:r>
      <w:r w:rsidRPr="007C20C4">
        <w:rPr>
          <w:rFonts w:ascii="Arial" w:eastAsia="Arial" w:hAnsi="Arial" w:cs="Arial"/>
          <w:sz w:val="22"/>
          <w:szCs w:val="22"/>
        </w:rPr>
        <w:t xml:space="preserve"> Available at: </w:t>
      </w:r>
      <w:hyperlink r:id="rId28" w:history="1">
        <w:r w:rsidRPr="007C20C4">
          <w:rPr>
            <w:rStyle w:val="Hyperlink"/>
            <w:rFonts w:ascii="Arial" w:eastAsia="Arial" w:hAnsi="Arial" w:cs="Arial"/>
            <w:sz w:val="22"/>
            <w:szCs w:val="22"/>
          </w:rPr>
          <w:t>https://wa-japan.org/understanding-communication-in-japan/</w:t>
        </w:r>
      </w:hyperlink>
      <w:r w:rsidRPr="007C20C4">
        <w:rPr>
          <w:rFonts w:ascii="Arial" w:eastAsia="Arial" w:hAnsi="Arial" w:cs="Arial"/>
          <w:sz w:val="22"/>
          <w:szCs w:val="22"/>
        </w:rPr>
        <w:t xml:space="preserve"> (Accessed: 2</w:t>
      </w:r>
      <w:r w:rsidRPr="007C20C4">
        <w:rPr>
          <w:rFonts w:ascii="Arial" w:eastAsia="Arial" w:hAnsi="Arial" w:cs="Arial"/>
          <w:sz w:val="22"/>
          <w:szCs w:val="22"/>
        </w:rPr>
        <w:t>2</w:t>
      </w:r>
      <w:r w:rsidRPr="007C20C4">
        <w:rPr>
          <w:rFonts w:ascii="Arial" w:eastAsia="Arial" w:hAnsi="Arial" w:cs="Arial"/>
          <w:sz w:val="22"/>
          <w:szCs w:val="22"/>
        </w:rPr>
        <w:t xml:space="preserve"> August 2026).</w:t>
      </w:r>
    </w:p>
    <w:p w14:paraId="76AC9226" w14:textId="77777777" w:rsidR="00EC6BFA" w:rsidRPr="007C20C4" w:rsidRDefault="00EC6BFA" w:rsidP="007C20C4">
      <w:pPr>
        <w:spacing w:line="360" w:lineRule="auto"/>
        <w:jc w:val="both"/>
        <w:rPr>
          <w:rFonts w:ascii="Arial" w:hAnsi="Arial" w:cs="Arial"/>
        </w:rPr>
      </w:pPr>
    </w:p>
    <w:sectPr w:rsidR="00EC6BFA" w:rsidRPr="007C20C4" w:rsidSect="006C325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C947A1"/>
    <w:multiLevelType w:val="hybridMultilevel"/>
    <w:tmpl w:val="5A049D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C51B82"/>
    <w:multiLevelType w:val="hybridMultilevel"/>
    <w:tmpl w:val="F3941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3257965">
    <w:abstractNumId w:val="1"/>
  </w:num>
  <w:num w:numId="2" w16cid:durableId="1996687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25A"/>
    <w:rsid w:val="000B7536"/>
    <w:rsid w:val="00187CE5"/>
    <w:rsid w:val="00336AFD"/>
    <w:rsid w:val="006A511E"/>
    <w:rsid w:val="006C325A"/>
    <w:rsid w:val="007033BD"/>
    <w:rsid w:val="007C20C4"/>
    <w:rsid w:val="009E199C"/>
    <w:rsid w:val="00C825A6"/>
    <w:rsid w:val="00CC5FFA"/>
    <w:rsid w:val="00CE3EFA"/>
    <w:rsid w:val="00EC6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57192"/>
  <w15:chartTrackingRefBased/>
  <w15:docId w15:val="{49C207BD-23EA-8F46-A2D6-A41BEF13A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2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32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32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32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32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325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325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32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32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2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32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32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32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32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32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32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32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325A"/>
    <w:rPr>
      <w:rFonts w:eastAsiaTheme="majorEastAsia" w:cstheme="majorBidi"/>
      <w:color w:val="272727" w:themeColor="text1" w:themeTint="D8"/>
    </w:rPr>
  </w:style>
  <w:style w:type="paragraph" w:styleId="Title">
    <w:name w:val="Title"/>
    <w:basedOn w:val="Normal"/>
    <w:next w:val="Normal"/>
    <w:link w:val="TitleChar"/>
    <w:uiPriority w:val="10"/>
    <w:qFormat/>
    <w:rsid w:val="006C32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32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325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32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25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C325A"/>
    <w:rPr>
      <w:i/>
      <w:iCs/>
      <w:color w:val="404040" w:themeColor="text1" w:themeTint="BF"/>
    </w:rPr>
  </w:style>
  <w:style w:type="paragraph" w:styleId="ListParagraph">
    <w:name w:val="List Paragraph"/>
    <w:basedOn w:val="Normal"/>
    <w:uiPriority w:val="34"/>
    <w:qFormat/>
    <w:rsid w:val="006C325A"/>
    <w:pPr>
      <w:ind w:left="720"/>
      <w:contextualSpacing/>
    </w:pPr>
  </w:style>
  <w:style w:type="character" w:styleId="IntenseEmphasis">
    <w:name w:val="Intense Emphasis"/>
    <w:basedOn w:val="DefaultParagraphFont"/>
    <w:uiPriority w:val="21"/>
    <w:qFormat/>
    <w:rsid w:val="006C325A"/>
    <w:rPr>
      <w:i/>
      <w:iCs/>
      <w:color w:val="0F4761" w:themeColor="accent1" w:themeShade="BF"/>
    </w:rPr>
  </w:style>
  <w:style w:type="paragraph" w:styleId="IntenseQuote">
    <w:name w:val="Intense Quote"/>
    <w:basedOn w:val="Normal"/>
    <w:next w:val="Normal"/>
    <w:link w:val="IntenseQuoteChar"/>
    <w:uiPriority w:val="30"/>
    <w:qFormat/>
    <w:rsid w:val="006C32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325A"/>
    <w:rPr>
      <w:i/>
      <w:iCs/>
      <w:color w:val="0F4761" w:themeColor="accent1" w:themeShade="BF"/>
    </w:rPr>
  </w:style>
  <w:style w:type="character" w:styleId="IntenseReference">
    <w:name w:val="Intense Reference"/>
    <w:basedOn w:val="DefaultParagraphFont"/>
    <w:uiPriority w:val="32"/>
    <w:qFormat/>
    <w:rsid w:val="006C325A"/>
    <w:rPr>
      <w:b/>
      <w:bCs/>
      <w:smallCaps/>
      <w:color w:val="0F4761" w:themeColor="accent1" w:themeShade="BF"/>
      <w:spacing w:val="5"/>
    </w:rPr>
  </w:style>
  <w:style w:type="paragraph" w:styleId="NoSpacing">
    <w:name w:val="No Spacing"/>
    <w:link w:val="NoSpacingChar"/>
    <w:uiPriority w:val="1"/>
    <w:qFormat/>
    <w:rsid w:val="006C325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C325A"/>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6C325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C325A"/>
    <w:pPr>
      <w:spacing w:before="360" w:after="360"/>
    </w:pPr>
    <w:rPr>
      <w:b/>
      <w:bCs/>
      <w:caps/>
      <w:sz w:val="22"/>
      <w:szCs w:val="22"/>
      <w:u w:val="single"/>
    </w:rPr>
  </w:style>
  <w:style w:type="paragraph" w:styleId="TOC2">
    <w:name w:val="toc 2"/>
    <w:basedOn w:val="Normal"/>
    <w:next w:val="Normal"/>
    <w:autoRedefine/>
    <w:uiPriority w:val="39"/>
    <w:unhideWhenUsed/>
    <w:rsid w:val="006C325A"/>
    <w:rPr>
      <w:b/>
      <w:bCs/>
      <w:smallCaps/>
      <w:sz w:val="22"/>
      <w:szCs w:val="22"/>
    </w:rPr>
  </w:style>
  <w:style w:type="paragraph" w:styleId="TOC3">
    <w:name w:val="toc 3"/>
    <w:basedOn w:val="Normal"/>
    <w:next w:val="Normal"/>
    <w:autoRedefine/>
    <w:uiPriority w:val="39"/>
    <w:semiHidden/>
    <w:unhideWhenUsed/>
    <w:rsid w:val="006C325A"/>
    <w:rPr>
      <w:smallCaps/>
      <w:sz w:val="22"/>
      <w:szCs w:val="22"/>
    </w:rPr>
  </w:style>
  <w:style w:type="paragraph" w:styleId="TOC4">
    <w:name w:val="toc 4"/>
    <w:basedOn w:val="Normal"/>
    <w:next w:val="Normal"/>
    <w:autoRedefine/>
    <w:uiPriority w:val="39"/>
    <w:semiHidden/>
    <w:unhideWhenUsed/>
    <w:rsid w:val="006C325A"/>
    <w:rPr>
      <w:sz w:val="22"/>
      <w:szCs w:val="22"/>
    </w:rPr>
  </w:style>
  <w:style w:type="paragraph" w:styleId="TOC5">
    <w:name w:val="toc 5"/>
    <w:basedOn w:val="Normal"/>
    <w:next w:val="Normal"/>
    <w:autoRedefine/>
    <w:uiPriority w:val="39"/>
    <w:semiHidden/>
    <w:unhideWhenUsed/>
    <w:rsid w:val="006C325A"/>
    <w:rPr>
      <w:sz w:val="22"/>
      <w:szCs w:val="22"/>
    </w:rPr>
  </w:style>
  <w:style w:type="paragraph" w:styleId="TOC6">
    <w:name w:val="toc 6"/>
    <w:basedOn w:val="Normal"/>
    <w:next w:val="Normal"/>
    <w:autoRedefine/>
    <w:uiPriority w:val="39"/>
    <w:semiHidden/>
    <w:unhideWhenUsed/>
    <w:rsid w:val="006C325A"/>
    <w:rPr>
      <w:sz w:val="22"/>
      <w:szCs w:val="22"/>
    </w:rPr>
  </w:style>
  <w:style w:type="paragraph" w:styleId="TOC7">
    <w:name w:val="toc 7"/>
    <w:basedOn w:val="Normal"/>
    <w:next w:val="Normal"/>
    <w:autoRedefine/>
    <w:uiPriority w:val="39"/>
    <w:semiHidden/>
    <w:unhideWhenUsed/>
    <w:rsid w:val="006C325A"/>
    <w:rPr>
      <w:sz w:val="22"/>
      <w:szCs w:val="22"/>
    </w:rPr>
  </w:style>
  <w:style w:type="paragraph" w:styleId="TOC8">
    <w:name w:val="toc 8"/>
    <w:basedOn w:val="Normal"/>
    <w:next w:val="Normal"/>
    <w:autoRedefine/>
    <w:uiPriority w:val="39"/>
    <w:semiHidden/>
    <w:unhideWhenUsed/>
    <w:rsid w:val="006C325A"/>
    <w:rPr>
      <w:sz w:val="22"/>
      <w:szCs w:val="22"/>
    </w:rPr>
  </w:style>
  <w:style w:type="paragraph" w:styleId="TOC9">
    <w:name w:val="toc 9"/>
    <w:basedOn w:val="Normal"/>
    <w:next w:val="Normal"/>
    <w:autoRedefine/>
    <w:uiPriority w:val="39"/>
    <w:semiHidden/>
    <w:unhideWhenUsed/>
    <w:rsid w:val="006C325A"/>
    <w:rPr>
      <w:sz w:val="22"/>
      <w:szCs w:val="22"/>
    </w:rPr>
  </w:style>
  <w:style w:type="character" w:styleId="Hyperlink">
    <w:name w:val="Hyperlink"/>
    <w:uiPriority w:val="99"/>
    <w:unhideWhenUsed/>
    <w:rsid w:val="00EC6BF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79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razeneca.com/media-centre/press-releases/2020/astrazeneca-and-daiichi-sankyo-enter-collaboration-to-develop-and-commercialise-new-antibody-drug-conjugate.html" TargetMode="External"/><Relationship Id="rId13" Type="http://schemas.openxmlformats.org/officeDocument/2006/relationships/hyperlink" Target="https://globeproject.com/study_2004_2007.html" TargetMode="External"/><Relationship Id="rId18" Type="http://schemas.openxmlformats.org/officeDocument/2006/relationships/hyperlink" Target="https://www.japantimes.co.jp/news/2023/06/07/business/corporate-business/daiichi-sankyo-interview/" TargetMode="External"/><Relationship Id="rId26" Type="http://schemas.openxmlformats.org/officeDocument/2006/relationships/hyperlink" Target="https://www.silkdrive.com/insights/nemawashi-japanese-decision-making" TargetMode="External"/><Relationship Id="rId3" Type="http://schemas.openxmlformats.org/officeDocument/2006/relationships/styles" Target="styles.xml"/><Relationship Id="rId21" Type="http://schemas.openxmlformats.org/officeDocument/2006/relationships/hyperlink" Target="https://medcitynews.com/2025/12/astrazeneca-daiichi-sankyo-her2-adc-enhertu-first-line-breast-cancer-azn-dsnky/" TargetMode="External"/><Relationship Id="rId7" Type="http://schemas.openxmlformats.org/officeDocument/2006/relationships/image" Target="media/image2.png"/><Relationship Id="rId12" Type="http://schemas.openxmlformats.org/officeDocument/2006/relationships/hyperlink" Target="https://global-iq.org/the-globe-study/" TargetMode="External"/><Relationship Id="rId17" Type="http://schemas.openxmlformats.org/officeDocument/2006/relationships/hyperlink" Target="https://www.japantimes.co.jp/opinion/2017/10/15/commentary/japan-commentary/need-proactive-communications/" TargetMode="External"/><Relationship Id="rId25" Type="http://schemas.openxmlformats.org/officeDocument/2006/relationships/hyperlink" Target="https://www.pharmaceutical-technology.com/analyst-comment/astrazeneca-daiichi-sankyo/" TargetMode="External"/><Relationship Id="rId2" Type="http://schemas.openxmlformats.org/officeDocument/2006/relationships/numbering" Target="numbering.xml"/><Relationship Id="rId16" Type="http://schemas.openxmlformats.org/officeDocument/2006/relationships/hyperlink" Target="https://japanintercultural.com/free-resources/articles/how-do-the-japanese-put-in-their-two-cents-ringi/" TargetMode="External"/><Relationship Id="rId20" Type="http://schemas.openxmlformats.org/officeDocument/2006/relationships/hyperlink" Target="https://journals.sagepub.com/doi/10.1177/001872670255100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ssets.publishing.service.gov.uk/media/697a30b31d8c53a85d6bd3f0/japan-trade-and-investment-factsheet-2026-02-02.pdf" TargetMode="External"/><Relationship Id="rId24" Type="http://schemas.openxmlformats.org/officeDocument/2006/relationships/hyperlink" Target="https://osakalanguagesolutions.com/tatemae-honne-in-japanese-business-the-complete-cultural-guide-for-foreign-executives-in-kansai-2026-2027/" TargetMode="External"/><Relationship Id="rId5" Type="http://schemas.openxmlformats.org/officeDocument/2006/relationships/webSettings" Target="webSettings.xml"/><Relationship Id="rId15" Type="http://schemas.openxmlformats.org/officeDocument/2006/relationships/hyperlink" Target="https://www.jetro.go.jp/en/invest/investment_environment/ijre/report2025/" TargetMode="External"/><Relationship Id="rId23" Type="http://schemas.openxmlformats.org/officeDocument/2006/relationships/hyperlink" Target="https://mycourses.aalto.fi/pluginfile.php/1189342/mod_resource/content/3/nishimuranevgitella299.pdf" TargetMode="External"/><Relationship Id="rId28" Type="http://schemas.openxmlformats.org/officeDocument/2006/relationships/hyperlink" Target="https://wa-japan.org/understanding-communication-in-japan/" TargetMode="External"/><Relationship Id="rId10" Type="http://schemas.openxmlformats.org/officeDocument/2006/relationships/hyperlink" Target="https://bccjapan.com/news/fireside-chat-dbt-permanent-secretary-gareth-davies" TargetMode="External"/><Relationship Id="rId19" Type="http://schemas.openxmlformats.org/officeDocument/2006/relationships/hyperlink" Target="https://www.kotobainteractive.com/en/blog/nemawashi-prise-decision-consensus-japon" TargetMode="External"/><Relationship Id="rId4" Type="http://schemas.openxmlformats.org/officeDocument/2006/relationships/settings" Target="settings.xml"/><Relationship Id="rId9" Type="http://schemas.openxmlformats.org/officeDocument/2006/relationships/hyperlink" Target="https://journals.sagepub.com/doi/10.1177/0170840613517602" TargetMode="External"/><Relationship Id="rId14" Type="http://schemas.openxmlformats.org/officeDocument/2006/relationships/hyperlink" Target="https://www.gov.uk/guidance/summary-of-the-uk-japan-comprehensive-economic-partnership-agreement" TargetMode="External"/><Relationship Id="rId22" Type="http://schemas.openxmlformats.org/officeDocument/2006/relationships/hyperlink" Target="http://www2.soec.nagoya-u.ac.jp/wp-content/uploads/2016/04/paper143.pdf" TargetMode="External"/><Relationship Id="rId27" Type="http://schemas.openxmlformats.org/officeDocument/2006/relationships/hyperlink" Target="https://umbrex.com/resources/frameworks/organization-frameworks/trompenaars-seven-dimensions-of-cultur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2C1EB-51D3-0543-ADB8-F294D6779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13</Pages>
  <Words>3825</Words>
  <Characters>21807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Lector: Afzal Munna</Company>
  <LinksUpToDate>false</LinksUpToDate>
  <CharactersWithSpaces>25581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Coursework: Essay</dc:title>
  <dc:subject>International Business Communications (LCBB6023)</dc:subject>
  <dc:creator>Adelina Gabriela Stanciu (2245080)</dc:creator>
  <cp:keywords/>
  <dc:description/>
  <cp:lastModifiedBy>Adelina Gabriela Stanciu (2245080)</cp:lastModifiedBy>
  <cp:revision>2</cp:revision>
  <dcterms:created xsi:type="dcterms:W3CDTF">2026-08-24T09:55:00Z</dcterms:created>
  <dcterms:modified xsi:type="dcterms:W3CDTF">2026-08-24T10:56:00Z</dcterms:modified>
</cp:coreProperties>
</file>