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xmlns:pic="http://schemas.openxmlformats.org/drawingml/2006/picture" mc:Ignorable="w14 w15 w16se w16cid w16 w16cex w16sdtdh w16sdtfl w16du wp14">
  <w:background w:color="FFFFFF"/>
  <w:body>
    <w:p xmlns:wp14="http://schemas.microsoft.com/office/word/2010/wordml" w:rsidR="00F95E67" w:rsidRDefault="00F95E67" w14:paraId="672A6659" wp14:textId="77777777">
      <w:pPr>
        <w:rPr>
          <w:b/>
          <w:i/>
          <w:sz w:val="88"/>
          <w:szCs w:val="88"/>
        </w:rPr>
      </w:pPr>
    </w:p>
    <w:p xmlns:wp14="http://schemas.microsoft.com/office/word/2010/wordml" w:rsidR="00F95E67" w:rsidRDefault="00F95E67" w14:paraId="0A37501D" wp14:textId="77777777">
      <w:pPr>
        <w:jc w:val="center"/>
        <w:rPr>
          <w:b/>
          <w:i/>
          <w:sz w:val="88"/>
          <w:szCs w:val="88"/>
        </w:rPr>
      </w:pPr>
    </w:p>
    <w:p xmlns:wp14="http://schemas.microsoft.com/office/word/2010/wordml" w:rsidR="00F95E67" w:rsidRDefault="00F95E67" w14:paraId="123D9836" wp14:textId="77777777">
      <w:pPr>
        <w:jc w:val="center"/>
      </w:pPr>
      <w:r w:rsidRPr="6C30626E" w:rsidR="00F95E67">
        <w:rPr>
          <w:b w:val="1"/>
          <w:bCs w:val="1"/>
          <w:i w:val="1"/>
          <w:iCs w:val="1"/>
          <w:sz w:val="72"/>
          <w:szCs w:val="72"/>
        </w:rPr>
        <w:t>LCLM5001 Understanding and Engaging Stakeholders  </w:t>
      </w:r>
      <w:r w:rsidRPr="6C30626E" w:rsidR="00F95E67">
        <w:rPr>
          <w:b w:val="1"/>
          <w:bCs w:val="1"/>
          <w:i w:val="1"/>
          <w:iCs w:val="1"/>
          <w:sz w:val="72"/>
          <w:szCs w:val="72"/>
        </w:rPr>
        <w:t xml:space="preserve"> </w:t>
      </w:r>
    </w:p>
    <w:p w:rsidR="6C30626E" w:rsidP="6C30626E" w:rsidRDefault="6C30626E" w14:paraId="2CF8D40C" w14:textId="5E6A8E80">
      <w:pPr>
        <w:spacing w:line="360" w:lineRule="auto"/>
        <w:jc w:val="center"/>
        <w:rPr>
          <w:rFonts w:ascii="Times New Roman" w:hAnsi="Times New Roman" w:eastAsia="Times New Roman" w:cs="Times New Roman"/>
          <w:b w:val="1"/>
          <w:bCs w:val="1"/>
          <w:i w:val="1"/>
          <w:iCs w:val="1"/>
          <w:caps w:val="0"/>
          <w:smallCaps w:val="0"/>
          <w:noProof w:val="0"/>
          <w:color w:val="333333"/>
          <w:sz w:val="22"/>
          <w:szCs w:val="22"/>
          <w:lang w:val="en-GB"/>
        </w:rPr>
      </w:pPr>
    </w:p>
    <w:p w:rsidR="6C30626E" w:rsidP="6C30626E" w:rsidRDefault="6C30626E" w14:paraId="51AFDFB3" w14:textId="7EB11459">
      <w:pPr>
        <w:spacing w:line="360" w:lineRule="auto"/>
        <w:jc w:val="center"/>
        <w:rPr>
          <w:rFonts w:ascii="Times New Roman" w:hAnsi="Times New Roman" w:eastAsia="Times New Roman" w:cs="Times New Roman"/>
          <w:b w:val="1"/>
          <w:bCs w:val="1"/>
          <w:i w:val="1"/>
          <w:iCs w:val="1"/>
          <w:caps w:val="0"/>
          <w:smallCaps w:val="0"/>
          <w:noProof w:val="0"/>
          <w:color w:val="333333"/>
          <w:sz w:val="22"/>
          <w:szCs w:val="22"/>
          <w:lang w:val="en-GB"/>
        </w:rPr>
      </w:pPr>
    </w:p>
    <w:p w:rsidR="23CC8313" w:rsidP="6C30626E" w:rsidRDefault="23CC8313" w14:paraId="2E9BAEBD" w14:textId="008AD2AB">
      <w:pPr>
        <w:spacing w:line="360" w:lineRule="auto"/>
        <w:jc w:val="center"/>
        <w:rPr>
          <w:rFonts w:ascii="Times New Roman" w:hAnsi="Times New Roman" w:eastAsia="Times New Roman" w:cs="Times New Roman"/>
          <w:b w:val="0"/>
          <w:bCs w:val="0"/>
          <w:i w:val="0"/>
          <w:iCs w:val="0"/>
          <w:caps w:val="0"/>
          <w:smallCaps w:val="0"/>
          <w:noProof w:val="0"/>
          <w:color w:val="333333"/>
          <w:sz w:val="22"/>
          <w:szCs w:val="22"/>
          <w:lang w:val="en-GB"/>
        </w:rPr>
      </w:pPr>
      <w:r w:rsidRPr="6C30626E" w:rsidR="23CC8313">
        <w:rPr>
          <w:rFonts w:ascii="Times New Roman" w:hAnsi="Times New Roman" w:eastAsia="Times New Roman" w:cs="Times New Roman"/>
          <w:b w:val="1"/>
          <w:bCs w:val="1"/>
          <w:i w:val="1"/>
          <w:iCs w:val="1"/>
          <w:caps w:val="0"/>
          <w:smallCaps w:val="0"/>
          <w:noProof w:val="0"/>
          <w:color w:val="333333"/>
          <w:sz w:val="22"/>
          <w:szCs w:val="22"/>
          <w:lang w:val="en-GB"/>
        </w:rPr>
        <w:t>Name Boghiu Catalin Alexandru</w:t>
      </w:r>
    </w:p>
    <w:p w:rsidR="23CC8313" w:rsidP="6C30626E" w:rsidRDefault="23CC8313" w14:paraId="63E4FCD7" w14:textId="61917B4D">
      <w:pPr>
        <w:spacing w:line="360" w:lineRule="auto"/>
        <w:jc w:val="center"/>
        <w:rPr>
          <w:rFonts w:ascii="Times New Roman" w:hAnsi="Times New Roman" w:eastAsia="Times New Roman" w:cs="Times New Roman"/>
          <w:b w:val="0"/>
          <w:bCs w:val="0"/>
          <w:i w:val="0"/>
          <w:iCs w:val="0"/>
          <w:caps w:val="0"/>
          <w:smallCaps w:val="0"/>
          <w:noProof w:val="0"/>
          <w:color w:val="333333"/>
          <w:sz w:val="22"/>
          <w:szCs w:val="22"/>
          <w:lang w:val="en-GB"/>
        </w:rPr>
      </w:pPr>
      <w:r w:rsidRPr="6C30626E" w:rsidR="23CC8313">
        <w:rPr>
          <w:rFonts w:ascii="Times New Roman" w:hAnsi="Times New Roman" w:eastAsia="Times New Roman" w:cs="Times New Roman"/>
          <w:b w:val="1"/>
          <w:bCs w:val="1"/>
          <w:i w:val="1"/>
          <w:iCs w:val="1"/>
          <w:caps w:val="0"/>
          <w:smallCaps w:val="0"/>
          <w:noProof w:val="0"/>
          <w:color w:val="333333"/>
          <w:sz w:val="22"/>
          <w:szCs w:val="22"/>
          <w:lang w:val="en-GB"/>
        </w:rPr>
        <w:t>Student ID:2333790</w:t>
      </w:r>
    </w:p>
    <w:p w:rsidR="23CC8313" w:rsidP="6C30626E" w:rsidRDefault="23CC8313" w14:paraId="0843E3D7" w14:textId="03DF8967">
      <w:pPr>
        <w:spacing w:line="360" w:lineRule="auto"/>
        <w:jc w:val="center"/>
        <w:rPr>
          <w:rFonts w:ascii="Times New Roman" w:hAnsi="Times New Roman" w:eastAsia="Times New Roman" w:cs="Times New Roman"/>
          <w:b w:val="0"/>
          <w:bCs w:val="0"/>
          <w:i w:val="0"/>
          <w:iCs w:val="0"/>
          <w:caps w:val="0"/>
          <w:smallCaps w:val="0"/>
          <w:noProof w:val="0"/>
          <w:color w:val="333333"/>
          <w:sz w:val="22"/>
          <w:szCs w:val="22"/>
          <w:lang w:val="en-GB"/>
        </w:rPr>
      </w:pPr>
      <w:r w:rsidRPr="6C30626E" w:rsidR="23CC8313">
        <w:rPr>
          <w:rFonts w:ascii="Times New Roman" w:hAnsi="Times New Roman" w:eastAsia="Times New Roman" w:cs="Times New Roman"/>
          <w:b w:val="1"/>
          <w:bCs w:val="1"/>
          <w:i w:val="1"/>
          <w:iCs w:val="1"/>
          <w:caps w:val="0"/>
          <w:smallCaps w:val="0"/>
          <w:noProof w:val="0"/>
          <w:color w:val="333333"/>
          <w:sz w:val="22"/>
          <w:szCs w:val="22"/>
          <w:lang w:val="en-GB"/>
        </w:rPr>
        <w:t>Lecture:</w:t>
      </w:r>
    </w:p>
    <w:p w:rsidR="23CC8313" w:rsidP="6C30626E" w:rsidRDefault="23CC8313" w14:paraId="2C538EC3" w14:textId="309803EE">
      <w:pPr>
        <w:spacing w:line="360" w:lineRule="auto"/>
        <w:jc w:val="center"/>
        <w:rPr>
          <w:rFonts w:ascii="Times New Roman" w:hAnsi="Times New Roman" w:eastAsia="Times New Roman" w:cs="Times New Roman"/>
          <w:b w:val="0"/>
          <w:bCs w:val="0"/>
          <w:i w:val="0"/>
          <w:iCs w:val="0"/>
          <w:caps w:val="0"/>
          <w:smallCaps w:val="0"/>
          <w:noProof w:val="0"/>
          <w:color w:val="333333"/>
          <w:sz w:val="22"/>
          <w:szCs w:val="22"/>
          <w:lang w:val="en-GB"/>
        </w:rPr>
      </w:pPr>
      <w:r w:rsidRPr="6C30626E" w:rsidR="23CC8313">
        <w:rPr>
          <w:rFonts w:ascii="Times New Roman" w:hAnsi="Times New Roman" w:eastAsia="Times New Roman" w:cs="Times New Roman"/>
          <w:b w:val="1"/>
          <w:bCs w:val="1"/>
          <w:i w:val="1"/>
          <w:iCs w:val="1"/>
          <w:caps w:val="0"/>
          <w:smallCaps w:val="0"/>
          <w:noProof w:val="0"/>
          <w:color w:val="333333"/>
          <w:sz w:val="22"/>
          <w:szCs w:val="22"/>
          <w:lang w:val="en-GB"/>
        </w:rPr>
        <w:t>Course name: Developing and Managing individuals and Teams</w:t>
      </w:r>
    </w:p>
    <w:p w:rsidR="23CC8313" w:rsidP="0A7A2319" w:rsidRDefault="23CC8313" w14:paraId="17F9604F" w14:textId="63BF380B">
      <w:pPr>
        <w:spacing w:line="360" w:lineRule="auto"/>
        <w:jc w:val="center"/>
        <w:rPr>
          <w:rFonts w:ascii="Times New Roman" w:hAnsi="Times New Roman" w:eastAsia="Times New Roman" w:cs="Times New Roman"/>
          <w:b w:val="0"/>
          <w:bCs w:val="0"/>
          <w:i w:val="0"/>
          <w:iCs w:val="0"/>
          <w:caps w:val="0"/>
          <w:smallCaps w:val="0"/>
          <w:noProof w:val="0"/>
          <w:color w:val="333333"/>
          <w:sz w:val="22"/>
          <w:szCs w:val="22"/>
          <w:lang w:val="en-GB"/>
        </w:rPr>
      </w:pPr>
      <w:r w:rsidRPr="0A7A2319" w:rsidR="23CC8313">
        <w:rPr>
          <w:rFonts w:ascii="Times New Roman" w:hAnsi="Times New Roman" w:eastAsia="Times New Roman" w:cs="Times New Roman"/>
          <w:b w:val="1"/>
          <w:bCs w:val="1"/>
          <w:i w:val="1"/>
          <w:iCs w:val="1"/>
          <w:caps w:val="0"/>
          <w:smallCaps w:val="0"/>
          <w:noProof w:val="0"/>
          <w:color w:val="333333"/>
          <w:sz w:val="22"/>
          <w:szCs w:val="22"/>
          <w:lang w:val="en-GB"/>
        </w:rPr>
        <w:t>Module code: LCLM500</w:t>
      </w:r>
      <w:r w:rsidRPr="0A7A2319" w:rsidR="5991B0AF">
        <w:rPr>
          <w:rFonts w:ascii="Times New Roman" w:hAnsi="Times New Roman" w:eastAsia="Times New Roman" w:cs="Times New Roman"/>
          <w:b w:val="1"/>
          <w:bCs w:val="1"/>
          <w:i w:val="1"/>
          <w:iCs w:val="1"/>
          <w:caps w:val="0"/>
          <w:smallCaps w:val="0"/>
          <w:noProof w:val="0"/>
          <w:color w:val="333333"/>
          <w:sz w:val="22"/>
          <w:szCs w:val="22"/>
          <w:lang w:val="en-GB"/>
        </w:rPr>
        <w:t>1</w:t>
      </w:r>
    </w:p>
    <w:p w:rsidR="6C30626E" w:rsidP="6C30626E" w:rsidRDefault="6C30626E" w14:paraId="38883932" w14:textId="28D69AA6">
      <w:pPr>
        <w:jc w:val="center"/>
        <w:rPr>
          <w:b w:val="1"/>
          <w:bCs w:val="1"/>
          <w:i w:val="1"/>
          <w:iCs w:val="1"/>
          <w:sz w:val="72"/>
          <w:szCs w:val="72"/>
        </w:rPr>
      </w:pPr>
    </w:p>
    <w:p xmlns:wp14="http://schemas.microsoft.com/office/word/2010/wordml" w:rsidR="00F95E67" w:rsidRDefault="00F95E67" w14:paraId="22E0FC93" wp14:textId="77777777">
      <w:pPr>
        <w:pStyle w:val="TOCHeading"/>
        <w:pageBreakBefore/>
      </w:pPr>
      <w:r>
        <w:t>Table of Contents</w:t>
      </w:r>
    </w:p>
    <w:p xmlns:wp14="http://schemas.microsoft.com/office/word/2010/wordml" w:rsidR="00F95E67" w:rsidRDefault="00F95E67" w14:paraId="6501270D" wp14:textId="77777777">
      <w:pPr>
        <w:pStyle w:val="TOC1"/>
        <w:tabs>
          <w:tab w:val="clear" w:pos="9360"/>
          <w:tab w:val="right" w:leader="dot" w:pos="9359"/>
        </w:tabs>
      </w:pPr>
      <w:r>
        <w:fldChar w:fldCharType="begin"/>
      </w:r>
      <w:r>
        <w:instrText xml:space="preserve"> TOC \f \o "1-9" \o "1-9" </w:instrText>
      </w:r>
      <w:r>
        <w:fldChar w:fldCharType="separate"/>
      </w:r>
      <w:r>
        <w:t>Introduction</w:t>
      </w:r>
      <w:r>
        <w:tab/>
      </w:r>
      <w:hyperlink w:history="1" w:anchor="__RefHeading___Toc215226394">
        <w:r>
          <w:rPr>
            <w:rStyle w:val="IndexLink"/>
          </w:rPr>
          <w:t>4</w:t>
        </w:r>
      </w:hyperlink>
    </w:p>
    <w:p xmlns:wp14="http://schemas.microsoft.com/office/word/2010/wordml" w:rsidR="00F95E67" w:rsidRDefault="00F95E67" w14:paraId="436D8683" wp14:textId="77777777">
      <w:pPr>
        <w:pStyle w:val="TOC1"/>
        <w:tabs>
          <w:tab w:val="clear" w:pos="9360"/>
          <w:tab w:val="right" w:leader="dot" w:pos="9359"/>
        </w:tabs>
      </w:pPr>
      <w:r>
        <w:t>SMART Objectives</w:t>
      </w:r>
      <w:r>
        <w:tab/>
      </w:r>
      <w:hyperlink w:history="1" w:anchor="__RefHeading___Toc4568_6490335">
        <w:r>
          <w:rPr>
            <w:rStyle w:val="IndexLink"/>
          </w:rPr>
          <w:t>5</w:t>
        </w:r>
      </w:hyperlink>
    </w:p>
    <w:p xmlns:wp14="http://schemas.microsoft.com/office/word/2010/wordml" w:rsidR="00F95E67" w:rsidRDefault="00F95E67" w14:paraId="190D20BD" wp14:textId="77777777">
      <w:pPr>
        <w:pStyle w:val="TOC1"/>
        <w:tabs>
          <w:tab w:val="clear" w:pos="9360"/>
          <w:tab w:val="right" w:leader="dot" w:pos="9359"/>
        </w:tabs>
      </w:pPr>
      <w:r>
        <w:t>Stakeholders Identification and Engagement</w:t>
      </w:r>
      <w:r>
        <w:tab/>
      </w:r>
      <w:hyperlink w:history="1" w:anchor="__RefHeading___Toc4570_6490335">
        <w:r>
          <w:rPr>
            <w:rStyle w:val="IndexLink"/>
          </w:rPr>
          <w:t>8</w:t>
        </w:r>
      </w:hyperlink>
    </w:p>
    <w:p xmlns:wp14="http://schemas.microsoft.com/office/word/2010/wordml" w:rsidR="00F95E67" w:rsidRDefault="00F95E67" w14:paraId="7177C591" wp14:textId="77777777">
      <w:pPr>
        <w:pStyle w:val="TOC2"/>
        <w:tabs>
          <w:tab w:val="clear" w:pos="9077"/>
          <w:tab w:val="right" w:leader="dot" w:pos="9359"/>
        </w:tabs>
      </w:pPr>
      <w:r>
        <w:t>Internal Stakeholders</w:t>
      </w:r>
      <w:r>
        <w:tab/>
      </w:r>
      <w:hyperlink w:history="1" w:anchor="__RefHeading___Toc4572_6490335">
        <w:r>
          <w:rPr>
            <w:rStyle w:val="IndexLink"/>
          </w:rPr>
          <w:t>8</w:t>
        </w:r>
      </w:hyperlink>
    </w:p>
    <w:p xmlns:wp14="http://schemas.microsoft.com/office/word/2010/wordml" w:rsidR="00F95E67" w:rsidRDefault="00F95E67" w14:paraId="7498F476" wp14:textId="77777777">
      <w:pPr>
        <w:pStyle w:val="TOC2"/>
        <w:tabs>
          <w:tab w:val="clear" w:pos="9077"/>
          <w:tab w:val="right" w:leader="dot" w:pos="9359"/>
        </w:tabs>
      </w:pPr>
      <w:r>
        <w:t>External Stakeholders</w:t>
      </w:r>
      <w:r>
        <w:tab/>
      </w:r>
      <w:hyperlink w:history="1" w:anchor="__RefHeading___Toc4574_6490335">
        <w:r>
          <w:rPr>
            <w:rStyle w:val="IndexLink"/>
          </w:rPr>
          <w:t>9</w:t>
        </w:r>
      </w:hyperlink>
    </w:p>
    <w:p xmlns:wp14="http://schemas.microsoft.com/office/word/2010/wordml" w:rsidR="00F95E67" w:rsidRDefault="00F95E67" w14:paraId="45109823" wp14:textId="77777777">
      <w:pPr>
        <w:pStyle w:val="TOC2"/>
        <w:tabs>
          <w:tab w:val="clear" w:pos="9077"/>
          <w:tab w:val="right" w:leader="dot" w:pos="9359"/>
        </w:tabs>
      </w:pPr>
      <w:r>
        <w:t>Roles and Responsibilities</w:t>
      </w:r>
      <w:r>
        <w:tab/>
      </w:r>
      <w:hyperlink w:history="1" w:anchor="__RefHeading___Toc4576_6490335">
        <w:r>
          <w:rPr>
            <w:rStyle w:val="IndexLink"/>
          </w:rPr>
          <w:t>9</w:t>
        </w:r>
      </w:hyperlink>
    </w:p>
    <w:p xmlns:wp14="http://schemas.microsoft.com/office/word/2010/wordml" w:rsidR="00F95E67" w:rsidRDefault="00F95E67" w14:paraId="4DC6C873" wp14:textId="77777777">
      <w:pPr>
        <w:pStyle w:val="TOC2"/>
        <w:tabs>
          <w:tab w:val="clear" w:pos="9077"/>
          <w:tab w:val="right" w:leader="dot" w:pos="9359"/>
        </w:tabs>
      </w:pPr>
      <w:r>
        <w:t>Importance</w:t>
      </w:r>
      <w:r>
        <w:tab/>
      </w:r>
      <w:hyperlink w:history="1" w:anchor="__RefHeading___Toc4578_6490335">
        <w:r>
          <w:rPr>
            <w:rStyle w:val="IndexLink"/>
          </w:rPr>
          <w:t>10</w:t>
        </w:r>
      </w:hyperlink>
    </w:p>
    <w:p xmlns:wp14="http://schemas.microsoft.com/office/word/2010/wordml" w:rsidR="00F95E67" w:rsidRDefault="00F95E67" w14:paraId="34359E96" wp14:textId="77777777">
      <w:pPr>
        <w:pStyle w:val="TOC1"/>
        <w:tabs>
          <w:tab w:val="clear" w:pos="9360"/>
          <w:tab w:val="right" w:leader="dot" w:pos="9359"/>
        </w:tabs>
      </w:pPr>
      <w:r>
        <w:t>Stakeholder Analysis Using Frameworks</w:t>
      </w:r>
      <w:r>
        <w:tab/>
      </w:r>
      <w:hyperlink w:history="1" w:anchor="__RefHeading___Toc4580_6490335">
        <w:r>
          <w:rPr>
            <w:rStyle w:val="IndexLink"/>
          </w:rPr>
          <w:t>11</w:t>
        </w:r>
      </w:hyperlink>
    </w:p>
    <w:p xmlns:wp14="http://schemas.microsoft.com/office/word/2010/wordml" w:rsidR="00F95E67" w:rsidRDefault="00F95E67" w14:paraId="1E678475" wp14:textId="77777777">
      <w:pPr>
        <w:pStyle w:val="TOC2"/>
        <w:tabs>
          <w:tab w:val="clear" w:pos="9077"/>
          <w:tab w:val="right" w:leader="dot" w:pos="9359"/>
        </w:tabs>
      </w:pPr>
      <w:r>
        <w:t>Mendelow’s Stakeholder Matrix</w:t>
      </w:r>
      <w:r>
        <w:tab/>
      </w:r>
      <w:hyperlink w:history="1" w:anchor="__RefHeading___Toc4582_6490335">
        <w:r>
          <w:rPr>
            <w:rStyle w:val="IndexLink"/>
          </w:rPr>
          <w:t>11</w:t>
        </w:r>
      </w:hyperlink>
    </w:p>
    <w:p xmlns:wp14="http://schemas.microsoft.com/office/word/2010/wordml" w:rsidR="00F95E67" w:rsidRDefault="00F95E67" w14:paraId="3CEEC959" wp14:textId="77777777">
      <w:pPr>
        <w:pStyle w:val="TOC2"/>
        <w:tabs>
          <w:tab w:val="clear" w:pos="9077"/>
          <w:tab w:val="right" w:leader="dot" w:pos="9359"/>
        </w:tabs>
      </w:pPr>
      <w:r>
        <w:t>Engagement Plans</w:t>
      </w:r>
      <w:r>
        <w:tab/>
      </w:r>
      <w:hyperlink w:history="1" w:anchor="__RefHeading___Toc4584_6490335">
        <w:r>
          <w:rPr>
            <w:rStyle w:val="IndexLink"/>
          </w:rPr>
          <w:t>12</w:t>
        </w:r>
      </w:hyperlink>
    </w:p>
    <w:p xmlns:wp14="http://schemas.microsoft.com/office/word/2010/wordml" w:rsidR="00F95E67" w:rsidRDefault="00F95E67" w14:paraId="6DFFADC0" wp14:textId="77777777">
      <w:pPr>
        <w:pStyle w:val="TOC1"/>
        <w:tabs>
          <w:tab w:val="clear" w:pos="9360"/>
          <w:tab w:val="right" w:leader="dot" w:pos="9359"/>
        </w:tabs>
      </w:pPr>
      <w:r>
        <w:t>Roles of the Project Manager in Engaging Stakeholders</w:t>
      </w:r>
      <w:r>
        <w:tab/>
      </w:r>
      <w:hyperlink w:history="1" w:anchor="__RefHeading___Toc4586_6490335">
        <w:r>
          <w:rPr>
            <w:rStyle w:val="IndexLink"/>
          </w:rPr>
          <w:t>14</w:t>
        </w:r>
      </w:hyperlink>
    </w:p>
    <w:p xmlns:wp14="http://schemas.microsoft.com/office/word/2010/wordml" w:rsidR="00F95E67" w:rsidRDefault="00F95E67" w14:paraId="3F0CE0CB" wp14:textId="77777777">
      <w:pPr>
        <w:pStyle w:val="TOC2"/>
        <w:tabs>
          <w:tab w:val="clear" w:pos="9077"/>
          <w:tab w:val="right" w:leader="dot" w:pos="9359"/>
        </w:tabs>
      </w:pPr>
      <w:r>
        <w:t>Engagement Process</w:t>
      </w:r>
      <w:r>
        <w:tab/>
      </w:r>
      <w:hyperlink w:history="1" w:anchor="__RefHeading___Toc4588_6490335">
        <w:r>
          <w:rPr>
            <w:rStyle w:val="IndexLink"/>
          </w:rPr>
          <w:t>14</w:t>
        </w:r>
      </w:hyperlink>
    </w:p>
    <w:p xmlns:wp14="http://schemas.microsoft.com/office/word/2010/wordml" w:rsidR="00F95E67" w:rsidRDefault="00F95E67" w14:paraId="605216F3" wp14:textId="77777777">
      <w:pPr>
        <w:pStyle w:val="TOC3"/>
        <w:tabs>
          <w:tab w:val="clear" w:pos="9072"/>
          <w:tab w:val="right" w:leader="dot" w:pos="9359"/>
        </w:tabs>
      </w:pPr>
      <w:r>
        <w:t>Internal Stakeholder Engagement</w:t>
      </w:r>
      <w:r>
        <w:tab/>
      </w:r>
      <w:hyperlink w:history="1" w:anchor="__RefHeading___Toc4590_6490335">
        <w:r>
          <w:rPr>
            <w:rStyle w:val="IndexLink"/>
          </w:rPr>
          <w:t>14</w:t>
        </w:r>
      </w:hyperlink>
    </w:p>
    <w:p xmlns:wp14="http://schemas.microsoft.com/office/word/2010/wordml" w:rsidR="00F95E67" w:rsidRDefault="00F95E67" w14:paraId="0DC3515F" wp14:textId="77777777">
      <w:pPr>
        <w:pStyle w:val="TOC3"/>
        <w:tabs>
          <w:tab w:val="clear" w:pos="9072"/>
          <w:tab w:val="right" w:leader="dot" w:pos="9359"/>
        </w:tabs>
      </w:pPr>
      <w:r>
        <w:t>External Stakeholder Engagement</w:t>
      </w:r>
      <w:r>
        <w:tab/>
      </w:r>
      <w:hyperlink w:history="1" w:anchor="__RefHeading___Toc4592_6490335">
        <w:r>
          <w:rPr>
            <w:rStyle w:val="IndexLink"/>
          </w:rPr>
          <w:t>14</w:t>
        </w:r>
      </w:hyperlink>
    </w:p>
    <w:p xmlns:wp14="http://schemas.microsoft.com/office/word/2010/wordml" w:rsidR="00F95E67" w:rsidRDefault="00F95E67" w14:paraId="305D0C45" wp14:textId="77777777">
      <w:pPr>
        <w:pStyle w:val="TOC2"/>
        <w:tabs>
          <w:tab w:val="clear" w:pos="9077"/>
          <w:tab w:val="right" w:leader="dot" w:pos="9359"/>
        </w:tabs>
      </w:pPr>
      <w:r>
        <w:t>Managing Conflicts</w:t>
      </w:r>
      <w:r>
        <w:tab/>
      </w:r>
      <w:hyperlink w:history="1" w:anchor="__RefHeading___Toc4594_6490335">
        <w:r>
          <w:rPr>
            <w:rStyle w:val="IndexLink"/>
          </w:rPr>
          <w:t>15</w:t>
        </w:r>
      </w:hyperlink>
    </w:p>
    <w:p xmlns:wp14="http://schemas.microsoft.com/office/word/2010/wordml" w:rsidR="00F95E67" w:rsidRDefault="00F95E67" w14:paraId="31E69182" wp14:textId="77777777">
      <w:pPr>
        <w:pStyle w:val="TOC2"/>
        <w:tabs>
          <w:tab w:val="clear" w:pos="9077"/>
          <w:tab w:val="right" w:leader="dot" w:pos="9359"/>
        </w:tabs>
      </w:pPr>
      <w:r>
        <w:t>Communication Plan</w:t>
      </w:r>
      <w:r>
        <w:tab/>
      </w:r>
      <w:hyperlink w:history="1" w:anchor="__RefHeading___Toc4596_6490335">
        <w:r>
          <w:rPr>
            <w:rStyle w:val="IndexLink"/>
          </w:rPr>
          <w:t>16</w:t>
        </w:r>
      </w:hyperlink>
    </w:p>
    <w:p xmlns:wp14="http://schemas.microsoft.com/office/word/2010/wordml" w:rsidR="00F95E67" w:rsidRDefault="00F95E67" w14:paraId="7514DE48" wp14:textId="77777777">
      <w:pPr>
        <w:pStyle w:val="TOC1"/>
        <w:tabs>
          <w:tab w:val="clear" w:pos="9360"/>
          <w:tab w:val="right" w:leader="dot" w:pos="9359"/>
        </w:tabs>
      </w:pPr>
      <w:r>
        <w:t>Impact of Stakeholder Engagement on Business Performance</w:t>
      </w:r>
      <w:r>
        <w:tab/>
      </w:r>
      <w:hyperlink w:history="1" w:anchor="__RefHeading___Toc4598_6490335">
        <w:r>
          <w:rPr>
            <w:rStyle w:val="IndexLink"/>
          </w:rPr>
          <w:t>16</w:t>
        </w:r>
      </w:hyperlink>
    </w:p>
    <w:p xmlns:wp14="http://schemas.microsoft.com/office/word/2010/wordml" w:rsidR="00F95E67" w:rsidRDefault="00F95E67" w14:paraId="3715F100" wp14:textId="77777777">
      <w:pPr>
        <w:pStyle w:val="TOC2"/>
        <w:tabs>
          <w:tab w:val="clear" w:pos="9077"/>
          <w:tab w:val="right" w:leader="dot" w:pos="9359"/>
        </w:tabs>
      </w:pPr>
      <w:r>
        <w:t>Product Success</w:t>
      </w:r>
      <w:r>
        <w:tab/>
      </w:r>
      <w:hyperlink w:history="1" w:anchor="__RefHeading___Toc4600_6490335">
        <w:r>
          <w:rPr>
            <w:rStyle w:val="IndexLink"/>
          </w:rPr>
          <w:t>17</w:t>
        </w:r>
      </w:hyperlink>
    </w:p>
    <w:p xmlns:wp14="http://schemas.microsoft.com/office/word/2010/wordml" w:rsidR="00F95E67" w:rsidRDefault="00F95E67" w14:paraId="4364C460" wp14:textId="77777777">
      <w:pPr>
        <w:pStyle w:val="TOC2"/>
        <w:tabs>
          <w:tab w:val="clear" w:pos="9077"/>
          <w:tab w:val="right" w:leader="dot" w:pos="9359"/>
        </w:tabs>
      </w:pPr>
      <w:r>
        <w:t>Brand Reputation</w:t>
      </w:r>
      <w:r>
        <w:tab/>
      </w:r>
      <w:hyperlink w:history="1" w:anchor="__RefHeading___Toc4602_6490335">
        <w:r>
          <w:rPr>
            <w:rStyle w:val="IndexLink"/>
          </w:rPr>
          <w:t>17</w:t>
        </w:r>
      </w:hyperlink>
    </w:p>
    <w:p xmlns:wp14="http://schemas.microsoft.com/office/word/2010/wordml" w:rsidR="00F95E67" w:rsidRDefault="00F95E67" w14:paraId="3C5BC13A" wp14:textId="77777777">
      <w:pPr>
        <w:pStyle w:val="TOC2"/>
        <w:tabs>
          <w:tab w:val="clear" w:pos="9077"/>
          <w:tab w:val="right" w:leader="dot" w:pos="9359"/>
        </w:tabs>
      </w:pPr>
      <w:r>
        <w:t>Operational Efficiency</w:t>
      </w:r>
      <w:r>
        <w:tab/>
      </w:r>
      <w:hyperlink w:history="1" w:anchor="__RefHeading___Toc4604_6490335">
        <w:r>
          <w:rPr>
            <w:rStyle w:val="IndexLink"/>
          </w:rPr>
          <w:t>17</w:t>
        </w:r>
      </w:hyperlink>
    </w:p>
    <w:p xmlns:wp14="http://schemas.microsoft.com/office/word/2010/wordml" w:rsidR="00F95E67" w:rsidRDefault="00F95E67" w14:paraId="30E9E8E8" wp14:textId="77777777">
      <w:pPr>
        <w:pStyle w:val="TOC2"/>
        <w:tabs>
          <w:tab w:val="clear" w:pos="9077"/>
          <w:tab w:val="right" w:leader="dot" w:pos="9359"/>
        </w:tabs>
      </w:pPr>
      <w:r>
        <w:t>Quantitative and Qualitative Impact</w:t>
      </w:r>
      <w:r>
        <w:tab/>
      </w:r>
      <w:hyperlink w:history="1" w:anchor="__RefHeading___Toc4606_6490335">
        <w:r>
          <w:rPr>
            <w:rStyle w:val="IndexLink"/>
          </w:rPr>
          <w:t>17</w:t>
        </w:r>
      </w:hyperlink>
    </w:p>
    <w:p xmlns:wp14="http://schemas.microsoft.com/office/word/2010/wordml" w:rsidR="00F95E67" w:rsidRDefault="00F95E67" w14:paraId="29654432" wp14:textId="77777777">
      <w:pPr>
        <w:pStyle w:val="TOC2"/>
        <w:tabs>
          <w:tab w:val="clear" w:pos="9077"/>
          <w:tab w:val="right" w:leader="dot" w:pos="9359"/>
        </w:tabs>
      </w:pPr>
      <w:r>
        <w:t>Qualitative measures, there are:</w:t>
      </w:r>
      <w:r>
        <w:tab/>
      </w:r>
      <w:hyperlink w:history="1" w:anchor="__RefHeading___Toc4608_6490335">
        <w:r>
          <w:rPr>
            <w:rStyle w:val="IndexLink"/>
          </w:rPr>
          <w:t>18</w:t>
        </w:r>
      </w:hyperlink>
    </w:p>
    <w:p xmlns:wp14="http://schemas.microsoft.com/office/word/2010/wordml" w:rsidR="00F95E67" w:rsidRDefault="00F95E67" w14:paraId="1CFADB3D" wp14:textId="77777777">
      <w:pPr>
        <w:pStyle w:val="TOC1"/>
        <w:tabs>
          <w:tab w:val="clear" w:pos="9360"/>
          <w:tab w:val="right" w:leader="dot" w:pos="9359"/>
        </w:tabs>
      </w:pPr>
      <w:r>
        <w:t>Recommendations for Future Stakeholder Engagement</w:t>
      </w:r>
      <w:r>
        <w:tab/>
      </w:r>
      <w:hyperlink w:history="1" w:anchor="__RefHeading___Toc4610_6490335">
        <w:r>
          <w:rPr>
            <w:rStyle w:val="IndexLink"/>
          </w:rPr>
          <w:t>18</w:t>
        </w:r>
      </w:hyperlink>
    </w:p>
    <w:p xmlns:wp14="http://schemas.microsoft.com/office/word/2010/wordml" w:rsidR="00F95E67" w:rsidRDefault="00F95E67" w14:paraId="68C350FB" wp14:textId="77777777">
      <w:pPr>
        <w:pStyle w:val="TOC1"/>
        <w:tabs>
          <w:tab w:val="clear" w:pos="9360"/>
          <w:tab w:val="right" w:leader="dot" w:pos="9359"/>
        </w:tabs>
      </w:pPr>
      <w:r>
        <w:t>Conclusion</w:t>
      </w:r>
      <w:r>
        <w:tab/>
      </w:r>
      <w:hyperlink w:history="1" w:anchor="__RefHeading___Toc4612_6490335">
        <w:r>
          <w:rPr>
            <w:rStyle w:val="IndexLink"/>
          </w:rPr>
          <w:t>19</w:t>
        </w:r>
      </w:hyperlink>
    </w:p>
    <w:p xmlns:wp14="http://schemas.microsoft.com/office/word/2010/wordml" w:rsidR="00F95E67" w:rsidRDefault="00F95E67" w14:paraId="31FB76AF" wp14:textId="77777777">
      <w:pPr>
        <w:pStyle w:val="TOC1"/>
        <w:tabs>
          <w:tab w:val="clear" w:pos="9360"/>
          <w:tab w:val="right" w:leader="dot" w:pos="9359"/>
        </w:tabs>
      </w:pPr>
      <w:r>
        <w:t>References</w:t>
      </w:r>
      <w:r>
        <w:tab/>
      </w:r>
      <w:hyperlink w:history="1" w:anchor="__RefHeading___Toc214_3969001654">
        <w:r>
          <w:rPr>
            <w:rStyle w:val="IndexLink"/>
          </w:rPr>
          <w:t>20</w:t>
        </w:r>
      </w:hyperlink>
    </w:p>
    <w:p xmlns:wp14="http://schemas.microsoft.com/office/word/2010/wordml" w:rsidR="00F95E67" w:rsidRDefault="00F95E67" w14:paraId="0DF3BBD8" wp14:textId="77777777">
      <w:pPr>
        <w:pStyle w:val="TableIndexHeading"/>
      </w:pPr>
      <w:r>
        <w:fldChar w:fldCharType="end"/>
      </w:r>
      <w:r>
        <w:t>Index of Tables</w:t>
      </w:r>
    </w:p>
    <w:p xmlns:wp14="http://schemas.microsoft.com/office/word/2010/wordml" w:rsidR="00F95E67" w:rsidRDefault="00F95E67" w14:paraId="554CA06A" wp14:textId="77777777">
      <w:pPr>
        <w:pStyle w:val="TableofFigures"/>
        <w:tabs>
          <w:tab w:val="clear" w:pos="9360"/>
          <w:tab w:val="right" w:leader="dot" w:pos="9359"/>
        </w:tabs>
      </w:pPr>
      <w:r>
        <w:fldChar w:fldCharType="begin"/>
      </w:r>
      <w:r>
        <w:instrText xml:space="preserve"> TOC \c "Table" \h </w:instrText>
      </w:r>
      <w:r>
        <w:fldChar w:fldCharType="separate"/>
      </w:r>
      <w:hyperlink w:history="1" w:anchor="TABLE!0|sequence">
        <w:r>
          <w:rPr>
            <w:rStyle w:val="IndexLink"/>
          </w:rPr>
          <w:t>Table 1: SMART Objectives</w:t>
        </w:r>
        <w:r>
          <w:rPr>
            <w:rStyle w:val="IndexLink"/>
          </w:rPr>
          <w:tab/>
        </w:r>
        <w:r>
          <w:rPr>
            <w:rStyle w:val="IndexLink"/>
          </w:rPr>
          <w:t>5</w:t>
        </w:r>
      </w:hyperlink>
    </w:p>
    <w:p xmlns:wp14="http://schemas.microsoft.com/office/word/2010/wordml" w:rsidR="00F95E67" w:rsidRDefault="00F95E67" w14:paraId="26DA1C8E" wp14:textId="77777777">
      <w:pPr>
        <w:pStyle w:val="TableofFigures"/>
        <w:tabs>
          <w:tab w:val="clear" w:pos="9360"/>
          <w:tab w:val="right" w:leader="dot" w:pos="9359"/>
        </w:tabs>
      </w:pPr>
      <w:hyperlink w:history="1" w:anchor="TABLE!1|sequence">
        <w:r>
          <w:rPr>
            <w:rStyle w:val="IndexLink"/>
          </w:rPr>
          <w:t>Table 2: Mendelow’s Stakeholder Matrix</w:t>
        </w:r>
        <w:r>
          <w:rPr>
            <w:rStyle w:val="IndexLink"/>
          </w:rPr>
          <w:tab/>
        </w:r>
        <w:r>
          <w:rPr>
            <w:rStyle w:val="IndexLink"/>
          </w:rPr>
          <w:t>11</w:t>
        </w:r>
      </w:hyperlink>
    </w:p>
    <w:p xmlns:wp14="http://schemas.microsoft.com/office/word/2010/wordml" w:rsidR="00F95E67" w:rsidRDefault="00F95E67" w14:paraId="0BE0454F" wp14:textId="77777777">
      <w:pPr>
        <w:pStyle w:val="TableofFigures"/>
        <w:tabs>
          <w:tab w:val="clear" w:pos="9360"/>
          <w:tab w:val="right" w:leader="dot" w:pos="9359"/>
        </w:tabs>
      </w:pPr>
      <w:hyperlink w:history="1" w:anchor="TABLE!2|sequence">
        <w:r>
          <w:rPr>
            <w:rStyle w:val="IndexLink"/>
          </w:rPr>
          <w:t>Table 3: 4C Model</w:t>
        </w:r>
        <w:r>
          <w:rPr>
            <w:rStyle w:val="IndexLink"/>
          </w:rPr>
          <w:tab/>
        </w:r>
        <w:r>
          <w:rPr>
            <w:rStyle w:val="IndexLink"/>
          </w:rPr>
          <w:t>15</w:t>
        </w:r>
      </w:hyperlink>
    </w:p>
    <w:p xmlns:wp14="http://schemas.microsoft.com/office/word/2010/wordml" w:rsidR="00F95E67" w:rsidRDefault="00F95E67" w14:paraId="2650E3BD" wp14:textId="77777777">
      <w:pPr>
        <w:pStyle w:val="FigureIndexHeading"/>
      </w:pPr>
      <w:r>
        <w:fldChar w:fldCharType="end"/>
      </w:r>
      <w:r>
        <w:t>List of Figures</w:t>
      </w:r>
    </w:p>
    <w:p xmlns:wp14="http://schemas.microsoft.com/office/word/2010/wordml" w:rsidR="00F95E67" w:rsidRDefault="00F95E67" w14:paraId="5454A4CD" wp14:textId="77777777">
      <w:pPr>
        <w:pStyle w:val="TableofFigures"/>
        <w:tabs>
          <w:tab w:val="clear" w:pos="9360"/>
          <w:tab w:val="right" w:leader="dot" w:pos="9359"/>
        </w:tabs>
      </w:pPr>
      <w:r>
        <w:fldChar w:fldCharType="begin"/>
      </w:r>
      <w:r>
        <w:instrText xml:space="preserve"> TOC \c "Figure" \h </w:instrText>
      </w:r>
      <w:r>
        <w:fldChar w:fldCharType="separate"/>
      </w:r>
      <w:hyperlink w:history="1" w:anchor="Figure!0|sequence">
        <w:r>
          <w:rPr>
            <w:rStyle w:val="IndexLink"/>
          </w:rPr>
          <w:t>Figure 1: Logo</w:t>
        </w:r>
        <w:r>
          <w:rPr>
            <w:rStyle w:val="IndexLink"/>
          </w:rPr>
          <w:tab/>
        </w:r>
        <w:r>
          <w:rPr>
            <w:rStyle w:val="IndexLink"/>
          </w:rPr>
          <w:t>4</w:t>
        </w:r>
      </w:hyperlink>
    </w:p>
    <w:p xmlns:wp14="http://schemas.microsoft.com/office/word/2010/wordml" w:rsidR="00F95E67" w:rsidRDefault="00F95E67" w14:paraId="460B5EBB" wp14:textId="77777777">
      <w:pPr>
        <w:pStyle w:val="TableofFigures"/>
        <w:tabs>
          <w:tab w:val="clear" w:pos="9360"/>
          <w:tab w:val="right" w:leader="dot" w:pos="9359"/>
        </w:tabs>
      </w:pPr>
      <w:hyperlink w:history="1" w:anchor="Figure!1|sequence">
        <w:r>
          <w:rPr>
            <w:rStyle w:val="IndexLink"/>
          </w:rPr>
          <w:t>Figure 2: Wearable Medical Devices</w:t>
        </w:r>
        <w:r>
          <w:rPr>
            <w:rStyle w:val="IndexLink"/>
          </w:rPr>
          <w:tab/>
        </w:r>
        <w:r>
          <w:rPr>
            <w:rStyle w:val="IndexLink"/>
          </w:rPr>
          <w:t>10</w:t>
        </w:r>
      </w:hyperlink>
    </w:p>
    <w:p xmlns:wp14="http://schemas.microsoft.com/office/word/2010/wordml" w:rsidR="00F95E67" w:rsidRDefault="00F95E67" w14:paraId="5DAB6C7B" wp14:textId="77777777">
      <w:pPr>
        <w:pStyle w:val="FigureIndexHeading"/>
        <w:rPr>
          <w:rFonts w:ascii="Calibri" w:hAnsi="Calibri" w:eastAsia="Times New Roman" w:cs="Calibri"/>
          <w:sz w:val="22"/>
          <w:szCs w:val="24"/>
          <w:lang w:val="en-IN" w:eastAsia="ja-JP"/>
        </w:rPr>
      </w:pPr>
      <w:r>
        <w:fldChar w:fldCharType="end"/>
      </w:r>
    </w:p>
    <w:p xmlns:wp14="http://schemas.microsoft.com/office/word/2010/wordml" w:rsidR="00F95E67" w:rsidRDefault="00F95E67" w14:paraId="02EB378F" wp14:textId="77777777">
      <w:pPr>
        <w:rPr>
          <w:rFonts w:ascii="Calibri" w:hAnsi="Calibri" w:eastAsia="Times New Roman" w:cs="Calibri"/>
          <w:sz w:val="22"/>
          <w:szCs w:val="24"/>
          <w:lang w:val="en-IN" w:eastAsia="ja-JP"/>
        </w:rPr>
      </w:pPr>
    </w:p>
    <w:p xmlns:wp14="http://schemas.microsoft.com/office/word/2010/wordml" w:rsidR="00F95E67" w:rsidRDefault="00F95E67" w14:paraId="6A05A809" wp14:textId="77777777">
      <w:pPr>
        <w:rPr>
          <w:rFonts w:ascii="Calibri" w:hAnsi="Calibri" w:eastAsia="Times New Roman" w:cs="Calibri"/>
          <w:sz w:val="22"/>
          <w:szCs w:val="24"/>
          <w:lang w:val="en-IN" w:eastAsia="ja-JP"/>
        </w:rPr>
      </w:pPr>
    </w:p>
    <w:p xmlns:wp14="http://schemas.microsoft.com/office/word/2010/wordml" w:rsidR="00F95E67" w:rsidRDefault="00F95E67" w14:paraId="3E7A9F1C" wp14:textId="77777777">
      <w:pPr>
        <w:pStyle w:val="Heading1"/>
        <w:pageBreakBefore/>
        <w:ind w:left="0" w:firstLine="0"/>
      </w:pPr>
      <w:bookmarkStart w:name="__RefHeading___Toc215226394" w:id="0"/>
      <w:bookmarkEnd w:id="0"/>
      <w:r>
        <w:t>Introduction</w:t>
      </w:r>
    </w:p>
    <w:p xmlns:wp14="http://schemas.microsoft.com/office/word/2010/wordml" w:rsidR="00F95E67" w:rsidRDefault="00F95E67" w14:paraId="48567E1B" wp14:textId="77777777">
      <w:r>
        <w:t>Owen Mumford which is based in Oxford in the UK is a large manufacturer and manufacturing company of medical equipment and technology as well as being an expert in innovative products to enhance the care of patients. The company is over 60 years old and has been reputed to have come up with diagnostic and monitoring equipments particularly in the sector of healthcare. Owen Mumford product range includes the product of drug delivery, diagnostic tests, and patient monitoring and they are extensive in the hos</w:t>
      </w:r>
      <w:r>
        <w:t>pital, clinic and homecare settings of the world. Research and development continues to be invested in and this factor is one of the key players in the medical technology industry with the company being dedicated to the aspect of innovation and quality.</w:t>
      </w:r>
    </w:p>
    <w:p xmlns:wp14="http://schemas.microsoft.com/office/word/2010/wordml" w:rsidR="00F95E67" w:rsidRDefault="00F95E67" w14:paraId="374DC462" wp14:textId="77777777">
      <w:r>
        <w:tab/>
      </w:r>
      <w:r>
        <w:t>Owen Mumford being a continuous aspect of their innovation in the healthcare market will be providing a different wearable health device to the customers (Woudstra et al., 2023). Among other things, this device will monitor key health indicators such as hea</w:t>
      </w:r>
      <w:r>
        <w:t>rt rate, oxygen, sleep patterns among others to give the user real-time water regarding the management of their health. The growing demand of personal healthcare solution will be covered by the project.</w:t>
      </w:r>
    </w:p>
    <w:p xmlns:wp14="http://schemas.microsoft.com/office/word/2010/wordml" w:rsidR="00F95E67" w:rsidRDefault="00F95E67" w14:paraId="5A39BBE3" wp14:textId="77777777"/>
    <w:p xmlns:wp14="http://schemas.microsoft.com/office/word/2010/wordml" w:rsidR="00F95E67" w:rsidRDefault="00F31935" w14:paraId="5A3526FE" wp14:textId="77777777">
      <w:pPr>
        <w:pStyle w:val="Heading1"/>
        <w:numPr>
          <w:ilvl w:val="0"/>
          <w:numId w:val="0"/>
        </w:numPr>
      </w:pPr>
      <w:r>
        <w:rPr>
          <w:noProof/>
        </w:rPr>
        <mc:AlternateContent>
          <mc:Choice Requires="wps">
            <w:drawing>
              <wp:anchor xmlns:wp14="http://schemas.microsoft.com/office/word/2010/wordprocessingDrawing" distT="0" distB="0" distL="0" distR="0" simplePos="0" relativeHeight="251657216" behindDoc="0" locked="0" layoutInCell="0" allowOverlap="1" wp14:anchorId="02268071" wp14:editId="7777777">
                <wp:simplePos x="0" y="0"/>
                <wp:positionH relativeFrom="column">
                  <wp:align>center</wp:align>
                </wp:positionH>
                <wp:positionV relativeFrom="paragraph">
                  <wp:align>top</wp:align>
                </wp:positionV>
                <wp:extent cx="5941695" cy="2331720"/>
                <wp:effectExtent l="635" t="1905" r="1270" b="0"/>
                <wp:wrapTopAndBottom/>
                <wp:docPr id="7072712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1695" cy="23317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xmlns:wp14="http://schemas.microsoft.com/office/word/2010/wordml" w:rsidR="00F95E67" w:rsidRDefault="00F31935" w14:paraId="7F6EBABD" wp14:textId="77777777">
                            <w:pPr>
                              <w:pStyle w:val="Figure"/>
                              <w:jc w:val="center"/>
                              <w:rPr>
                                <w:rFonts w:cs="Times New Roman"/>
                              </w:rPr>
                            </w:pPr>
                            <w:r>
                              <w:rPr>
                                <w:noProof/>
                              </w:rPr>
                              <w:drawing>
                                <wp:inline xmlns:wp14="http://schemas.microsoft.com/office/word/2010/wordprocessingDrawing" distT="0" distB="0" distL="0" distR="0" wp14:anchorId="1C6C16C8" wp14:editId="7777777">
                                  <wp:extent cx="5943600" cy="158115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l="-11" t="-40" r="-11" b="-40"/>
                                          <a:stretch>
                                            <a:fillRect/>
                                          </a:stretch>
                                        </pic:blipFill>
                                        <pic:spPr bwMode="auto">
                                          <a:xfrm>
                                            <a:off x="0" y="0"/>
                                            <a:ext cx="5943600" cy="1581150"/>
                                          </a:xfrm>
                                          <a:prstGeom prst="rect">
                                            <a:avLst/>
                                          </a:prstGeom>
                                          <a:solidFill>
                                            <a:srgbClr val="FFFFFF"/>
                                          </a:solidFill>
                                          <a:ln>
                                            <a:noFill/>
                                          </a:ln>
                                        </pic:spPr>
                                      </pic:pic>
                                    </a:graphicData>
                                  </a:graphic>
                                </wp:inline>
                              </w:drawing>
                            </w:r>
                            <w:r w:rsidR="00F95E67">
                              <w:t xml:space="preserve">Figure </w:t>
                            </w:r>
                            <w:r w:rsidR="00F95E67">
                              <w:fldChar w:fldCharType="begin"/>
                            </w:r>
                            <w:r w:rsidR="00F95E67">
                              <w:instrText xml:space="preserve"> SEQ "Figure" \* ARABIC </w:instrText>
                            </w:r>
                            <w:r w:rsidR="00F95E67">
                              <w:fldChar w:fldCharType="separate"/>
                            </w:r>
                            <w:r w:rsidR="00F95E67">
                              <w:t>1</w:t>
                            </w:r>
                            <w:r w:rsidR="00F95E67">
                              <w:fldChar w:fldCharType="end"/>
                            </w:r>
                            <w:r w:rsidR="00F95E67">
                              <w:t>: Logo</w:t>
                            </w:r>
                          </w:p>
                          <w:p xmlns:wp14="http://schemas.microsoft.com/office/word/2010/wordml" w:rsidR="00F95E67" w:rsidRDefault="00F95E67" w14:paraId="585770D9" wp14:textId="77777777">
                            <w:pPr>
                              <w:pStyle w:val="Figure"/>
                              <w:jc w:val="center"/>
                            </w:pPr>
                            <w:r>
                              <w:rPr>
                                <w:rFonts w:cs="Times New Roman"/>
                              </w:rPr>
                              <w:t xml:space="preserve">Source: </w:t>
                            </w:r>
                            <w:r>
                              <w:rPr>
                                <w:rFonts w:cs="Times New Roman"/>
                              </w:rPr>
                              <w:t>(Drugdeliverybusiness, 2025)</w:t>
                            </w:r>
                            <w:r>
                              <w:t xml:space="preserve"> </w:t>
                            </w:r>
                          </w:p>
                        </w:txbxContent>
                      </wps:txbx>
                      <wps:bodyPr rot="0" vert="horz" wrap="square" lIns="1270" tIns="1270" rIns="1270" bIns="1270" anchor="t" anchorCtr="0" upright="1">
                        <a:noAutofit/>
                      </wps:bodyPr>
                    </wps:wsp>
                  </a:graphicData>
                </a:graphic>
                <wp14:sizeRelH relativeFrom="page">
                  <wp14:pctWidth>0</wp14:pctWidth>
                </wp14:sizeRelH>
                <wp14:sizeRelV relativeFrom="page">
                  <wp14:pctHeight>0</wp14:pctHeight>
                </wp14:sizeRelV>
              </wp:anchor>
            </w:drawing>
          </mc:Choice>
          <mc:Fallback>
            <w:pict w14:anchorId="1F827B49">
              <v:shapetype id="_x0000_t202" coordsize="21600,21600" o:spt="202" path="m,l,21600r21600,l21600,xe">
                <v:stroke joinstyle="miter"/>
                <v:path gradientshapeok="t" o:connecttype="rect"/>
              </v:shapetype>
              <v:shape id="Text Box 2" style="position:absolute;left:0;text-align:left;margin-left:0;margin-top:0;width:467.85pt;height:183.6pt;z-index:251657216;visibility:visible;mso-wrap-style:square;mso-width-percent:0;mso-height-percent:0;mso-wrap-distance-left:0;mso-wrap-distance-top:0;mso-wrap-distance-right:0;mso-wrap-distance-bottom:0;mso-position-horizontal:center;mso-position-horizontal-relative:text;mso-position-vertical:top;mso-position-vertical-relative:text;mso-width-percent:0;mso-height-percent:0;mso-width-relative:page;mso-height-relative:page;v-text-anchor:top" o:spid="_x0000_s1026" o:allowincell="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">
                <v:textbox inset=".1pt,.1pt,.1pt,.1pt">
                  <w:txbxContent>
                    <w:p w:rsidR="00F95E67" w:rsidRDefault="00F31935" w14:paraId="2B5CFB1C" wp14:textId="77777777">
                      <w:pPr>
                        <w:pStyle w:val="Figure"/>
                        <w:jc w:val="center"/>
                        <w:rPr>
                          <w:rFonts w:cs="Times New Roman"/>
                        </w:rPr>
                      </w:pPr>
                      <w:r>
                        <w:rPr>
                          <w:noProof/>
                        </w:rPr>
                        <w:drawing>
                          <wp:inline xmlns:wp14="http://schemas.microsoft.com/office/word/2010/wordprocessingDrawing" distT="0" distB="0" distL="0" distR="0" wp14:anchorId="77C7D022" wp14:editId="7777777">
                            <wp:extent cx="5943600" cy="1581150"/>
                            <wp:effectExtent l="0" t="0" r="0" b="0"/>
                            <wp:docPr id="8447103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l="-11" t="-40" r="-11" b="-40"/>
                                    <a:stretch>
                                      <a:fillRect/>
                                    </a:stretch>
                                  </pic:blipFill>
                                  <pic:spPr bwMode="auto">
                                    <a:xfrm>
                                      <a:off x="0" y="0"/>
                                      <a:ext cx="5943600" cy="1581150"/>
                                    </a:xfrm>
                                    <a:prstGeom prst="rect">
                                      <a:avLst/>
                                    </a:prstGeom>
                                    <a:solidFill>
                                      <a:srgbClr val="FFFFFF"/>
                                    </a:solidFill>
                                    <a:ln>
                                      <a:noFill/>
                                    </a:ln>
                                  </pic:spPr>
                                </pic:pic>
                              </a:graphicData>
                            </a:graphic>
                          </wp:inline>
                        </w:drawing>
                      </w:r>
                      <w:r w:rsidR="00F95E67">
                        <w:t xml:space="preserve">Figure </w:t>
                      </w:r>
                      <w:r w:rsidR="00F95E67">
                        <w:fldChar w:fldCharType="begin"/>
                      </w:r>
                      <w:r w:rsidR="00F95E67">
                        <w:instrText xml:space="preserve"> SEQ "Figure" \* ARABIC </w:instrText>
                      </w:r>
                      <w:r w:rsidR="00F95E67">
                        <w:fldChar w:fldCharType="separate"/>
                      </w:r>
                      <w:r w:rsidR="00F95E67">
                        <w:t>1</w:t>
                      </w:r>
                      <w:r w:rsidR="00F95E67">
                        <w:fldChar w:fldCharType="end"/>
                      </w:r>
                      <w:r w:rsidR="00F95E67">
                        <w:t>: Logo</w:t>
                      </w:r>
                    </w:p>
                    <w:p w:rsidR="00F95E67" w:rsidRDefault="00F95E67" w14:paraId="49E7FDDE" wp14:textId="77777777">
                      <w:pPr>
                        <w:pStyle w:val="Figure"/>
                        <w:jc w:val="center"/>
                      </w:pPr>
                      <w:r>
                        <w:rPr>
                          <w:rFonts w:cs="Times New Roman"/>
                        </w:rPr>
                        <w:t xml:space="preserve">Source: </w:t>
                      </w:r>
                      <w:r>
                        <w:rPr>
                          <w:rFonts w:cs="Times New Roman"/>
                        </w:rPr>
                        <w:t>(Drugdeliverybusiness, 2025)</w:t>
                      </w:r>
                      <w:r>
                        <w:t xml:space="preserve"> </w:t>
                      </w:r>
                    </w:p>
                  </w:txbxContent>
                </v:textbox>
                <w10:wrap type="topAndBottom"/>
              </v:shape>
            </w:pict>
          </mc:Fallback>
        </mc:AlternateContent>
      </w:r>
    </w:p>
    <w:p xmlns:wp14="http://schemas.microsoft.com/office/word/2010/wordml" w:rsidR="00F95E67" w:rsidRDefault="00F95E67" w14:paraId="532DE7D9" wp14:textId="77777777">
      <w:pPr>
        <w:pStyle w:val="Heading1"/>
        <w:pageBreakBefore/>
        <w:ind w:left="0" w:firstLine="0"/>
      </w:pPr>
      <w:bookmarkStart w:name="__RefHeading___Toc4568_6490335" w:id="1"/>
      <w:bookmarkEnd w:id="1"/>
      <w:r>
        <w:t xml:space="preserve">SMART Objectives </w:t>
      </w:r>
    </w:p>
    <w:p xmlns:wp14="http://schemas.microsoft.com/office/word/2010/wordml" w:rsidR="00F95E67" w:rsidRDefault="00F95E67" w14:paraId="33D1F975" wp14:textId="77777777">
      <w:r>
        <w:t>To ensure the theoretically successful involvement of the stakeholders and the opportunity to introduce the wearable health device designed by Owen Mumford to the market on time, the next SMART goals are established. These objectives will assist in jump starting the project to successful production of its products into the market and at the same time will align with the overall objectives of the corporation which involve being innovative, sustainable and market leader of the medical device.</w:t>
      </w:r>
    </w:p>
    <w:p xmlns:wp14="http://schemas.microsoft.com/office/word/2010/wordml" w:rsidR="00F95E67" w:rsidRDefault="00F95E67" w14:paraId="0634FD19" wp14:textId="77777777">
      <w:pPr>
        <w:pStyle w:val="Table"/>
        <w:keepNext/>
        <w:jc w:val="center"/>
      </w:pPr>
      <w:r>
        <w:t xml:space="preserve">Table </w:t>
      </w:r>
      <w:r>
        <w:fldChar w:fldCharType="begin"/>
      </w:r>
      <w:r>
        <w:instrText xml:space="preserve"> SEQ "Table" \* ARABIC </w:instrText>
      </w:r>
      <w:r>
        <w:fldChar w:fldCharType="separate"/>
      </w:r>
      <w:r>
        <w:t>1</w:t>
      </w:r>
      <w:r>
        <w:fldChar w:fldCharType="end"/>
      </w:r>
      <w:r>
        <w:t>: SMART Objectives</w:t>
      </w:r>
    </w:p>
    <w:tbl>
      <w:tblPr>
        <w:tblW w:w="5000" w:type="pct"/>
        <w:tblInd w:w="8" w:type="dxa"/>
        <w:tblLayout w:type="fixed"/>
        <w:tblCellMar>
          <w:left w:w="0" w:type="dxa"/>
          <w:right w:w="0" w:type="dxa"/>
        </w:tblCellMar>
        <w:tblLook w:val="0000" w:firstRow="0" w:lastRow="0" w:firstColumn="0" w:lastColumn="0" w:noHBand="0" w:noVBand="0"/>
      </w:tblPr>
      <w:tblGrid>
        <w:gridCol w:w="1558"/>
        <w:gridCol w:w="1558"/>
        <w:gridCol w:w="1557"/>
        <w:gridCol w:w="1557"/>
        <w:gridCol w:w="1557"/>
        <w:gridCol w:w="1557"/>
      </w:tblGrid>
      <w:tr xmlns:wp14="http://schemas.microsoft.com/office/word/2010/wordml" w:rsidR="00000000" w14:paraId="7D9F0936" wp14:textId="77777777">
        <w:tc>
          <w:tcPr>
            <w:tcW w:w="1560" w:type="dxa"/>
            <w:tcBorders>
              <w:top w:val="single" w:color="FAA61A" w:sz="6" w:space="0"/>
              <w:left w:val="single" w:color="FAA61A" w:sz="6" w:space="0"/>
              <w:bottom w:val="single" w:color="FAA61A" w:sz="6" w:space="0"/>
            </w:tcBorders>
            <w:shd w:val="clear" w:color="auto" w:fill="FFE994"/>
          </w:tcPr>
          <w:p w:rsidR="00F95E67" w:rsidRDefault="00F95E67" w14:paraId="106DD217" wp14:textId="77777777">
            <w:pPr>
              <w:pStyle w:val="TableContents"/>
            </w:pPr>
            <w:r>
              <w:t>Objectives</w:t>
            </w:r>
          </w:p>
        </w:tc>
        <w:tc>
          <w:tcPr>
            <w:tcW w:w="1560" w:type="dxa"/>
            <w:tcBorders>
              <w:top w:val="single" w:color="FAA61A" w:sz="6" w:space="0"/>
              <w:left w:val="single" w:color="FAA61A" w:sz="6" w:space="0"/>
              <w:bottom w:val="single" w:color="FAA61A" w:sz="6" w:space="0"/>
            </w:tcBorders>
            <w:shd w:val="clear" w:color="auto" w:fill="FFE994"/>
          </w:tcPr>
          <w:p w:rsidR="00F95E67" w:rsidRDefault="00F95E67" w14:paraId="32D9F3C6" wp14:textId="77777777">
            <w:pPr>
              <w:pStyle w:val="TableContents"/>
            </w:pPr>
            <w:r>
              <w:t>Specific</w:t>
            </w:r>
          </w:p>
        </w:tc>
        <w:tc>
          <w:tcPr>
            <w:tcW w:w="1560" w:type="dxa"/>
            <w:tcBorders>
              <w:top w:val="single" w:color="FAA61A" w:sz="6" w:space="0"/>
              <w:left w:val="single" w:color="FAA61A" w:sz="6" w:space="0"/>
              <w:bottom w:val="single" w:color="FAA61A" w:sz="6" w:space="0"/>
            </w:tcBorders>
            <w:shd w:val="clear" w:color="auto" w:fill="FFE994"/>
          </w:tcPr>
          <w:p w:rsidR="00F95E67" w:rsidRDefault="00F95E67" w14:paraId="6E8858D4" wp14:textId="77777777">
            <w:pPr>
              <w:pStyle w:val="TableContents"/>
            </w:pPr>
            <w:r>
              <w:t>Measurable</w:t>
            </w:r>
          </w:p>
        </w:tc>
        <w:tc>
          <w:tcPr>
            <w:tcW w:w="1560" w:type="dxa"/>
            <w:tcBorders>
              <w:top w:val="single" w:color="FAA61A" w:sz="6" w:space="0"/>
              <w:left w:val="single" w:color="FAA61A" w:sz="6" w:space="0"/>
              <w:bottom w:val="single" w:color="FAA61A" w:sz="6" w:space="0"/>
            </w:tcBorders>
            <w:shd w:val="clear" w:color="auto" w:fill="FFE994"/>
          </w:tcPr>
          <w:p w:rsidR="00F95E67" w:rsidRDefault="00F95E67" w14:paraId="35653531" wp14:textId="77777777">
            <w:pPr>
              <w:pStyle w:val="TableContents"/>
            </w:pPr>
            <w:r>
              <w:t>Achievable</w:t>
            </w:r>
          </w:p>
        </w:tc>
        <w:tc>
          <w:tcPr>
            <w:tcW w:w="1560" w:type="dxa"/>
            <w:tcBorders>
              <w:top w:val="single" w:color="FAA61A" w:sz="6" w:space="0"/>
              <w:left w:val="single" w:color="FAA61A" w:sz="6" w:space="0"/>
              <w:bottom w:val="single" w:color="FAA61A" w:sz="6" w:space="0"/>
            </w:tcBorders>
            <w:shd w:val="clear" w:color="auto" w:fill="FFE994"/>
          </w:tcPr>
          <w:p w:rsidR="00F95E67" w:rsidRDefault="00F95E67" w14:paraId="2B29ED3B" wp14:textId="77777777">
            <w:pPr>
              <w:pStyle w:val="TableContents"/>
            </w:pPr>
            <w:r>
              <w:t>Relevant</w:t>
            </w:r>
          </w:p>
        </w:tc>
        <w:tc>
          <w:tcPr>
            <w:tcW w:w="1560" w:type="dxa"/>
            <w:tcBorders>
              <w:top w:val="single" w:color="FAA61A" w:sz="6" w:space="0"/>
              <w:left w:val="single" w:color="FAA61A" w:sz="6" w:space="0"/>
              <w:bottom w:val="single" w:color="FAA61A" w:sz="6" w:space="0"/>
              <w:right w:val="single" w:color="FAA61A" w:sz="6" w:space="0"/>
            </w:tcBorders>
            <w:shd w:val="clear" w:color="auto" w:fill="FFE994"/>
          </w:tcPr>
          <w:p w:rsidR="00F95E67" w:rsidRDefault="00F95E67" w14:paraId="3378BDA4" wp14:textId="77777777">
            <w:pPr>
              <w:pStyle w:val="TableContents"/>
            </w:pPr>
            <w:r>
              <w:t>Time-bound</w:t>
            </w:r>
          </w:p>
        </w:tc>
      </w:tr>
      <w:tr xmlns:wp14="http://schemas.microsoft.com/office/word/2010/wordml" w:rsidR="00000000" w14:paraId="5B0252FE" wp14:textId="77777777">
        <w:tc>
          <w:tcPr>
            <w:tcW w:w="1560" w:type="dxa"/>
            <w:tcBorders>
              <w:left w:val="single" w:color="FAA61A" w:sz="6" w:space="0"/>
              <w:bottom w:val="single" w:color="FAA61A" w:sz="6" w:space="0"/>
            </w:tcBorders>
            <w:shd w:val="clear" w:color="auto" w:fill="FFF5CE"/>
          </w:tcPr>
          <w:p w:rsidR="00F95E67" w:rsidRDefault="00F95E67" w14:paraId="53EE74AF" wp14:textId="77777777">
            <w:r>
              <w:t>Improve Interaction with the Stakeholders</w:t>
            </w:r>
          </w:p>
        </w:tc>
        <w:tc>
          <w:tcPr>
            <w:tcW w:w="1560" w:type="dxa"/>
            <w:tcBorders>
              <w:left w:val="single" w:color="FAA61A" w:sz="6" w:space="0"/>
              <w:bottom w:val="single" w:color="FAA61A" w:sz="6" w:space="0"/>
            </w:tcBorders>
            <w:shd w:val="clear" w:color="auto" w:fill="FFF5CE"/>
          </w:tcPr>
          <w:p w:rsidR="00F95E67" w:rsidRDefault="00F95E67" w14:paraId="0BA1AE09" wp14:textId="77777777">
            <w:r>
              <w:t>Develop and actualize an entire stakeholder engagement plan, which entails identifying the different stakeholders (internal and external) and the communication strategies and plans of the stakeholders to provide feedback and engagement at all times.</w:t>
            </w:r>
          </w:p>
        </w:tc>
        <w:tc>
          <w:tcPr>
            <w:tcW w:w="1560" w:type="dxa"/>
            <w:tcBorders>
              <w:left w:val="single" w:color="FAA61A" w:sz="6" w:space="0"/>
              <w:bottom w:val="single" w:color="FAA61A" w:sz="6" w:space="0"/>
            </w:tcBorders>
            <w:shd w:val="clear" w:color="auto" w:fill="FFF5CE"/>
          </w:tcPr>
          <w:p w:rsidR="00F95E67" w:rsidRDefault="00F95E67" w14:paraId="564E4443" wp14:textId="77777777">
            <w:r>
              <w:t>The following ways will be used to measure the success and these are the use of stakeholder survey, feedbacks, the engagement tracking tools where at least 85 percent of the internal stakeholders and 70 percent of the external stakeholders will participate successfully.</w:t>
            </w:r>
          </w:p>
        </w:tc>
        <w:tc>
          <w:tcPr>
            <w:tcW w:w="1560" w:type="dxa"/>
            <w:tcBorders>
              <w:left w:val="single" w:color="FAA61A" w:sz="6" w:space="0"/>
              <w:bottom w:val="single" w:color="FAA61A" w:sz="6" w:space="0"/>
            </w:tcBorders>
            <w:shd w:val="clear" w:color="auto" w:fill="FFF5CE"/>
          </w:tcPr>
          <w:p w:rsidR="00F95E67" w:rsidRDefault="00F95E67" w14:paraId="708AF645" wp14:textId="77777777">
            <w:r>
              <w:t>It is possible to implement the engagement plan by using the available resources that consists of, project management team and the internal communication systems and external communication channels.</w:t>
            </w:r>
          </w:p>
        </w:tc>
        <w:tc>
          <w:tcPr>
            <w:tcW w:w="1560" w:type="dxa"/>
            <w:tcBorders>
              <w:left w:val="single" w:color="FAA61A" w:sz="6" w:space="0"/>
              <w:bottom w:val="single" w:color="FAA61A" w:sz="6" w:space="0"/>
            </w:tcBorders>
            <w:shd w:val="clear" w:color="auto" w:fill="FFF5CE"/>
          </w:tcPr>
          <w:p w:rsidR="00F95E67" w:rsidRDefault="00F95E67" w14:paraId="392B8C92" wp14:textId="77777777">
            <w:r>
              <w:t>It is a matter of ability to follow up with the stakeholders and make sure that the project is moving in the right direction and meets the expectations as well as finds the support of the requisite stakeholders, internal (e.g., product development, marketing) and external (e.g., suppliers, regulatory organs).</w:t>
            </w:r>
          </w:p>
        </w:tc>
        <w:tc>
          <w:tcPr>
            <w:tcW w:w="1560" w:type="dxa"/>
            <w:tcBorders>
              <w:left w:val="single" w:color="FAA61A" w:sz="6" w:space="0"/>
              <w:bottom w:val="single" w:color="FAA61A" w:sz="6" w:space="0"/>
              <w:right w:val="single" w:color="FAA61A" w:sz="6" w:space="0"/>
            </w:tcBorders>
            <w:shd w:val="clear" w:color="auto" w:fill="FFF5CE"/>
          </w:tcPr>
          <w:p w:rsidR="00F95E67" w:rsidRDefault="00F95E67" w14:paraId="0C2CB261" wp14:textId="77777777">
            <w:r>
              <w:t>The engagement plan is to be completed by the Q2 2025, and it will be necessary to monitor it continually and update it quarterly (Sun et al., 2025).</w:t>
            </w:r>
          </w:p>
        </w:tc>
      </w:tr>
      <w:tr xmlns:wp14="http://schemas.microsoft.com/office/word/2010/wordml" w:rsidR="00000000" w14:paraId="2B554E10" wp14:textId="77777777">
        <w:tc>
          <w:tcPr>
            <w:tcW w:w="1560" w:type="dxa"/>
            <w:tcBorders>
              <w:left w:val="single" w:color="FAA61A" w:sz="6" w:space="0"/>
              <w:bottom w:val="single" w:color="FAA61A" w:sz="6" w:space="0"/>
            </w:tcBorders>
            <w:shd w:val="clear" w:color="auto" w:fill="FFF5CE"/>
          </w:tcPr>
          <w:p w:rsidR="00F95E67" w:rsidRDefault="00F95E67" w14:paraId="48832EEC" wp14:textId="77777777">
            <w:r>
              <w:t>Achieve On time Product development.</w:t>
            </w:r>
          </w:p>
        </w:tc>
        <w:tc>
          <w:tcPr>
            <w:tcW w:w="1560" w:type="dxa"/>
            <w:tcBorders>
              <w:left w:val="single" w:color="FAA61A" w:sz="6" w:space="0"/>
              <w:bottom w:val="single" w:color="FAA61A" w:sz="6" w:space="0"/>
            </w:tcBorders>
            <w:shd w:val="clear" w:color="auto" w:fill="FFF5CE"/>
          </w:tcPr>
          <w:p w:rsidR="00F95E67" w:rsidRDefault="00F95E67" w14:paraId="44C8920A" wp14:textId="77777777">
            <w:r>
              <w:t>make sure that the wearable health product is made according to the established product timeline that has the milestones such as prototyping, testing, regulatory tests and manufacturing.</w:t>
            </w:r>
          </w:p>
        </w:tc>
        <w:tc>
          <w:tcPr>
            <w:tcW w:w="1560" w:type="dxa"/>
            <w:tcBorders>
              <w:left w:val="single" w:color="FAA61A" w:sz="6" w:space="0"/>
              <w:bottom w:val="single" w:color="FAA61A" w:sz="6" w:space="0"/>
            </w:tcBorders>
            <w:shd w:val="clear" w:color="auto" w:fill="FFF5CE"/>
          </w:tcPr>
          <w:p w:rsidR="00F95E67" w:rsidRDefault="00F95E67" w14:paraId="5F9231EF" wp14:textId="77777777">
            <w:r>
              <w:t>The progress will be assessed according to the plan milestones: the prototype will be prepared in Q1 2025, regulatory compliance will be prepared in Q2 2025, a full-scale production will be prepared in Q3 2025.</w:t>
            </w:r>
          </w:p>
        </w:tc>
        <w:tc>
          <w:tcPr>
            <w:tcW w:w="1560" w:type="dxa"/>
            <w:tcBorders>
              <w:left w:val="single" w:color="FAA61A" w:sz="6" w:space="0"/>
              <w:bottom w:val="single" w:color="FAA61A" w:sz="6" w:space="0"/>
            </w:tcBorders>
            <w:shd w:val="clear" w:color="auto" w:fill="FFF5CE"/>
          </w:tcPr>
          <w:p w:rsidR="00F95E67" w:rsidRDefault="00F95E67" w14:paraId="7E9B32AB" wp14:textId="77777777">
            <w:r>
              <w:t>The delay or the problems that may be encountered will be overcome by using project management software to control the time scale and frequent progress review.</w:t>
            </w:r>
          </w:p>
        </w:tc>
        <w:tc>
          <w:tcPr>
            <w:tcW w:w="1560" w:type="dxa"/>
            <w:tcBorders>
              <w:left w:val="single" w:color="FAA61A" w:sz="6" w:space="0"/>
              <w:bottom w:val="single" w:color="FAA61A" w:sz="6" w:space="0"/>
            </w:tcBorders>
            <w:shd w:val="clear" w:color="auto" w:fill="FFF5CE"/>
          </w:tcPr>
          <w:p w:rsidR="00F95E67" w:rsidRDefault="00F95E67" w14:paraId="004BA780" wp14:textId="77777777">
            <w:r>
              <w:t>Timely product development is needed to meet the market demands so as that it meets the design goal of introducing innovation as put forward by Owen Mumford, and is ready at the very moment of the planned launch.</w:t>
            </w:r>
          </w:p>
        </w:tc>
        <w:tc>
          <w:tcPr>
            <w:tcW w:w="1560" w:type="dxa"/>
            <w:tcBorders>
              <w:left w:val="single" w:color="FAA61A" w:sz="6" w:space="0"/>
              <w:bottom w:val="single" w:color="FAA61A" w:sz="6" w:space="0"/>
              <w:right w:val="single" w:color="FAA61A" w:sz="6" w:space="0"/>
            </w:tcBorders>
            <w:shd w:val="clear" w:color="auto" w:fill="FFF5CE"/>
          </w:tcPr>
          <w:p w:rsidR="00F95E67" w:rsidRDefault="00F95E67" w14:paraId="0DEFD207" wp14:textId="77777777">
            <w:r>
              <w:t>The product is to be developed and launched into the market before the end of the Q 4 2025 and the milestones will be achieved by the specified deadlines.</w:t>
            </w:r>
          </w:p>
        </w:tc>
      </w:tr>
      <w:tr xmlns:wp14="http://schemas.microsoft.com/office/word/2010/wordml" w:rsidR="00000000" w14:paraId="47D01CDD" wp14:textId="77777777">
        <w:tc>
          <w:tcPr>
            <w:tcW w:w="1560" w:type="dxa"/>
            <w:tcBorders>
              <w:left w:val="single" w:color="FAA61A" w:sz="6" w:space="0"/>
              <w:bottom w:val="single" w:color="FAA61A" w:sz="6" w:space="0"/>
            </w:tcBorders>
            <w:shd w:val="clear" w:color="auto" w:fill="FFF5CE"/>
          </w:tcPr>
          <w:p w:rsidR="00F95E67" w:rsidRDefault="00F95E67" w14:paraId="750490BA" wp14:textId="77777777">
            <w:r>
              <w:t>Encourage Customer Action and Demand.</w:t>
            </w:r>
          </w:p>
        </w:tc>
        <w:tc>
          <w:tcPr>
            <w:tcW w:w="1560" w:type="dxa"/>
            <w:tcBorders>
              <w:left w:val="single" w:color="FAA61A" w:sz="6" w:space="0"/>
              <w:bottom w:val="single" w:color="FAA61A" w:sz="6" w:space="0"/>
            </w:tcBorders>
            <w:shd w:val="clear" w:color="auto" w:fill="FFF5CE"/>
          </w:tcPr>
          <w:p w:rsidR="00F95E67" w:rsidRDefault="00F95E67" w14:paraId="0A060BF1" wp14:textId="77777777">
            <w:r>
              <w:t>Prepare and introduce a targeted advertising campaign to be conversant with the new wearable health device and generate a demand in a prospective consumer.</w:t>
            </w:r>
          </w:p>
        </w:tc>
        <w:tc>
          <w:tcPr>
            <w:tcW w:w="1560" w:type="dxa"/>
            <w:tcBorders>
              <w:left w:val="single" w:color="FAA61A" w:sz="6" w:space="0"/>
              <w:bottom w:val="single" w:color="FAA61A" w:sz="6" w:space="0"/>
            </w:tcBorders>
            <w:shd w:val="clear" w:color="auto" w:fill="FFF5CE"/>
          </w:tcPr>
          <w:p w:rsidR="00F95E67" w:rsidRDefault="00F95E67" w14:paraId="0CF67E21" wp14:textId="77777777">
            <w:r>
              <w:t>To measure the success, it will be the number of marketing touches (socialized in social media, responding to emails, attending events and so forth) and reaching 20 percent of pre-orders by the date of product launch.</w:t>
            </w:r>
          </w:p>
        </w:tc>
        <w:tc>
          <w:tcPr>
            <w:tcW w:w="1560" w:type="dxa"/>
            <w:tcBorders>
              <w:left w:val="single" w:color="FAA61A" w:sz="6" w:space="0"/>
              <w:bottom w:val="single" w:color="FAA61A" w:sz="6" w:space="0"/>
            </w:tcBorders>
            <w:shd w:val="clear" w:color="auto" w:fill="FFF5CE"/>
          </w:tcPr>
          <w:p w:rsidR="00F95E67" w:rsidRDefault="00F95E67" w14:paraId="13F186A5" wp14:textId="77777777">
            <w:r>
              <w:t>The marketing campaign will tap the current online media of Owen Mumford, including the availability of its site, social media, and email newsletters, and cooperation with healthcare influencers.</w:t>
            </w:r>
          </w:p>
        </w:tc>
        <w:tc>
          <w:tcPr>
            <w:tcW w:w="1560" w:type="dxa"/>
            <w:tcBorders>
              <w:left w:val="single" w:color="FAA61A" w:sz="6" w:space="0"/>
              <w:bottom w:val="single" w:color="FAA61A" w:sz="6" w:space="0"/>
            </w:tcBorders>
            <w:shd w:val="clear" w:color="auto" w:fill="FFF5CE"/>
          </w:tcPr>
          <w:p w:rsidR="00F95E67" w:rsidRDefault="00F95E67" w14:paraId="4BA5859D" wp14:textId="77777777">
            <w:r>
              <w:t>Consumer awareness will be critical in successful product launching, as well as achievement of the financial goals desired by the company. This also follows the innovation promises of the health technology where Owen Mumford is invested.</w:t>
            </w:r>
          </w:p>
        </w:tc>
        <w:tc>
          <w:tcPr>
            <w:tcW w:w="1560" w:type="dxa"/>
            <w:tcBorders>
              <w:left w:val="single" w:color="FAA61A" w:sz="6" w:space="0"/>
              <w:bottom w:val="single" w:color="FAA61A" w:sz="6" w:space="0"/>
              <w:right w:val="single" w:color="FAA61A" w:sz="6" w:space="0"/>
            </w:tcBorders>
            <w:shd w:val="clear" w:color="auto" w:fill="FFF5CE"/>
          </w:tcPr>
          <w:p w:rsidR="00F95E67" w:rsidRDefault="00F95E67" w14:paraId="5BE6AA08" wp14:textId="77777777">
            <w:r>
              <w:t>The marketing program would begin on Q3 2025, and then will be concluded on Q4 2025 when the actual product will be launched.</w:t>
            </w:r>
          </w:p>
        </w:tc>
      </w:tr>
      <w:tr xmlns:wp14="http://schemas.microsoft.com/office/word/2010/wordml" w:rsidR="00000000" w14:paraId="4670DB1A" wp14:textId="77777777">
        <w:tc>
          <w:tcPr>
            <w:tcW w:w="1560" w:type="dxa"/>
            <w:tcBorders>
              <w:left w:val="single" w:color="FAA61A" w:sz="6" w:space="0"/>
              <w:bottom w:val="single" w:color="FAA61A" w:sz="6" w:space="0"/>
            </w:tcBorders>
            <w:shd w:val="clear" w:color="auto" w:fill="FFF5CE"/>
          </w:tcPr>
          <w:p w:rsidR="00F95E67" w:rsidRDefault="00F95E67" w14:paraId="08D8F712" wp14:textId="77777777">
            <w:r>
              <w:t>Ensure Regulatory Compliance and Approval.</w:t>
            </w:r>
          </w:p>
        </w:tc>
        <w:tc>
          <w:tcPr>
            <w:tcW w:w="1560" w:type="dxa"/>
            <w:tcBorders>
              <w:left w:val="single" w:color="FAA61A" w:sz="6" w:space="0"/>
              <w:bottom w:val="single" w:color="FAA61A" w:sz="6" w:space="0"/>
            </w:tcBorders>
            <w:shd w:val="clear" w:color="auto" w:fill="FFF5CE"/>
          </w:tcPr>
          <w:p w:rsidR="00F95E67" w:rsidRDefault="00F95E67" w14:paraId="3AEB6CD9" wp14:textId="77777777">
            <w:r>
              <w:t>Sport all the necessary administrative regulations of the wearable health device, and also ensure that according to the medical regulations and to be certified (e.g. CE mark, FDA approval).</w:t>
            </w:r>
          </w:p>
        </w:tc>
        <w:tc>
          <w:tcPr>
            <w:tcW w:w="1560" w:type="dxa"/>
            <w:tcBorders>
              <w:left w:val="single" w:color="FAA61A" w:sz="6" w:space="0"/>
              <w:bottom w:val="single" w:color="FAA61A" w:sz="6" w:space="0"/>
            </w:tcBorders>
            <w:shd w:val="clear" w:color="auto" w:fill="FFF5CE"/>
          </w:tcPr>
          <w:p w:rsidR="00F95E67" w:rsidRDefault="00F95E67" w14:paraId="1E6F7264" wp14:textId="77777777">
            <w:r>
              <w:t>Once the product receives a regulatory approval prior to Q2 2025 when the product is ready to conform to all of the relevant health and safety standards, the objective will be termed successful.</w:t>
            </w:r>
          </w:p>
        </w:tc>
        <w:tc>
          <w:tcPr>
            <w:tcW w:w="1560" w:type="dxa"/>
            <w:tcBorders>
              <w:left w:val="single" w:color="FAA61A" w:sz="6" w:space="0"/>
              <w:bottom w:val="single" w:color="FAA61A" w:sz="6" w:space="0"/>
            </w:tcBorders>
            <w:shd w:val="clear" w:color="auto" w:fill="FFF5CE"/>
          </w:tcPr>
          <w:p w:rsidR="00F95E67" w:rsidRDefault="00F95E67" w14:paraId="216D8896" wp14:textId="77777777">
            <w:r>
              <w:t>Compliance team will work out the process of regulatory approval with the outsourced regulatory consultants in such a way that the complete documentation and requirements will be obtained.</w:t>
            </w:r>
          </w:p>
        </w:tc>
        <w:tc>
          <w:tcPr>
            <w:tcW w:w="1560" w:type="dxa"/>
            <w:tcBorders>
              <w:left w:val="single" w:color="FAA61A" w:sz="6" w:space="0"/>
              <w:bottom w:val="single" w:color="FAA61A" w:sz="6" w:space="0"/>
            </w:tcBorders>
            <w:shd w:val="clear" w:color="auto" w:fill="FFF5CE"/>
          </w:tcPr>
          <w:p w:rsidR="00F95E67" w:rsidRDefault="00F95E67" w14:paraId="36C4739D" wp14:textId="77777777">
            <w:r>
              <w:rPr>
                <w:rFonts w:eastAsia="Times New Roman"/>
              </w:rPr>
              <w:t xml:space="preserve"> </w:t>
            </w:r>
            <w:r>
              <w:t>To ensure that both the wearable device can be legally permitted to market and sold in the target markets (e.g. UK and EU, USA), regulatory approval is necessary.</w:t>
            </w:r>
          </w:p>
        </w:tc>
        <w:tc>
          <w:tcPr>
            <w:tcW w:w="1560" w:type="dxa"/>
            <w:tcBorders>
              <w:left w:val="single" w:color="FAA61A" w:sz="6" w:space="0"/>
              <w:bottom w:val="single" w:color="FAA61A" w:sz="6" w:space="0"/>
              <w:right w:val="single" w:color="FAA61A" w:sz="6" w:space="0"/>
            </w:tcBorders>
            <w:shd w:val="clear" w:color="auto" w:fill="FFF5CE"/>
          </w:tcPr>
          <w:p w:rsidR="00F95E67" w:rsidRDefault="00F95E67" w14:paraId="306D334B" wp14:textId="77777777">
            <w:r>
              <w:t>The approval of regulations should be achieved by Q2 2025 and this will be followed by the constant monitoring to ensure that the project is on schedule to be certified as per time.</w:t>
            </w:r>
          </w:p>
        </w:tc>
      </w:tr>
      <w:tr xmlns:wp14="http://schemas.microsoft.com/office/word/2010/wordml" w:rsidR="00000000" w14:paraId="456F139C" wp14:textId="77777777">
        <w:tc>
          <w:tcPr>
            <w:tcW w:w="1560" w:type="dxa"/>
            <w:tcBorders>
              <w:left w:val="single" w:color="FAA61A" w:sz="6" w:space="0"/>
              <w:bottom w:val="single" w:color="FAA61A" w:sz="6" w:space="0"/>
            </w:tcBorders>
            <w:shd w:val="clear" w:color="auto" w:fill="FFF5CE"/>
          </w:tcPr>
          <w:p w:rsidR="00F95E67" w:rsidRDefault="00F95E67" w14:paraId="513F65A6" wp14:textId="77777777">
            <w:pPr>
              <w:pStyle w:val="TableContents"/>
            </w:pPr>
            <w:r>
              <w:t xml:space="preserve">Achieve Financial Targets for Product Launch </w:t>
            </w:r>
          </w:p>
        </w:tc>
        <w:tc>
          <w:tcPr>
            <w:tcW w:w="1560" w:type="dxa"/>
            <w:tcBorders>
              <w:left w:val="single" w:color="FAA61A" w:sz="6" w:space="0"/>
              <w:bottom w:val="single" w:color="FAA61A" w:sz="6" w:space="0"/>
            </w:tcBorders>
            <w:shd w:val="clear" w:color="auto" w:fill="FFF5CE"/>
          </w:tcPr>
          <w:p w:rsidR="00F95E67" w:rsidRDefault="00F95E67" w14:paraId="1AF81FBF" wp14:textId="77777777">
            <w:r>
              <w:t>Enhance that the introduction of the product would meet the financial target of Owen Mumford by making sure that a specific target sales of the wearable device will target a specific targeted sales level within the first 12 months of launch.</w:t>
            </w:r>
          </w:p>
        </w:tc>
        <w:tc>
          <w:tcPr>
            <w:tcW w:w="1560" w:type="dxa"/>
            <w:tcBorders>
              <w:left w:val="single" w:color="FAA61A" w:sz="6" w:space="0"/>
              <w:bottom w:val="single" w:color="FAA61A" w:sz="6" w:space="0"/>
            </w:tcBorders>
            <w:shd w:val="clear" w:color="auto" w:fill="FFF5CE"/>
          </w:tcPr>
          <w:p w:rsidR="00F95E67" w:rsidRDefault="00F95E67" w14:paraId="11C58566" wp14:textId="77777777">
            <w:r>
              <w:t>The target will be to achieve sales of at least 5 million pounds in the first year of the product being in the market and this will be measured by the sales of the product and distribution mediums.</w:t>
            </w:r>
          </w:p>
        </w:tc>
        <w:tc>
          <w:tcPr>
            <w:tcW w:w="1560" w:type="dxa"/>
            <w:tcBorders>
              <w:left w:val="single" w:color="FAA61A" w:sz="6" w:space="0"/>
              <w:bottom w:val="single" w:color="FAA61A" w:sz="6" w:space="0"/>
            </w:tcBorders>
            <w:shd w:val="clear" w:color="auto" w:fill="FFF5CE"/>
          </w:tcPr>
          <w:p w:rsidR="00F95E67" w:rsidRDefault="00F95E67" w14:paraId="76C45356" wp14:textId="77777777">
            <w:r>
              <w:t>Achievable Sales target will be possible due to the market research, price measures, and reputation of the company in the field of healthcare (Vahdati, Laamarti and El Saddik, 2025).</w:t>
            </w:r>
          </w:p>
        </w:tc>
        <w:tc>
          <w:tcPr>
            <w:tcW w:w="1560" w:type="dxa"/>
            <w:tcBorders>
              <w:left w:val="single" w:color="FAA61A" w:sz="6" w:space="0"/>
              <w:bottom w:val="single" w:color="FAA61A" w:sz="6" w:space="0"/>
            </w:tcBorders>
            <w:shd w:val="clear" w:color="auto" w:fill="FFF5CE"/>
          </w:tcPr>
          <w:p w:rsidR="00F95E67" w:rsidRDefault="00F95E67" w14:paraId="79BF4072" wp14:textId="77777777">
            <w:r>
              <w:t>Due to the realization of financial goals, it will be easier to position the wearable device as a potential addition to the products of the Owen Mumford with respect to long-term growth and profitability.</w:t>
            </w:r>
          </w:p>
        </w:tc>
        <w:tc>
          <w:tcPr>
            <w:tcW w:w="1560" w:type="dxa"/>
            <w:tcBorders>
              <w:left w:val="single" w:color="FAA61A" w:sz="6" w:space="0"/>
              <w:bottom w:val="single" w:color="FAA61A" w:sz="6" w:space="0"/>
              <w:right w:val="single" w:color="FAA61A" w:sz="6" w:space="0"/>
            </w:tcBorders>
            <w:shd w:val="clear" w:color="auto" w:fill="FFF5CE"/>
          </w:tcPr>
          <w:p w:rsidR="00F95E67" w:rsidRDefault="00F95E67" w14:paraId="1157EBC7" wp14:textId="77777777">
            <w:r>
              <w:t>Time-bound Sales to be made on the products shall take 5 million pounds in the first 12 months of new products launching followed by the performance reviews in the sixth month to monitor the performances and adjust the strategies whenever they are needed.</w:t>
            </w:r>
          </w:p>
        </w:tc>
      </w:tr>
    </w:tbl>
    <w:p xmlns:wp14="http://schemas.microsoft.com/office/word/2010/wordml" w:rsidR="00F95E67" w:rsidRDefault="00F95E67" w14:paraId="41C8F396" wp14:textId="77777777"/>
    <w:p xmlns:wp14="http://schemas.microsoft.com/office/word/2010/wordml" w:rsidR="00F95E67" w:rsidRDefault="00F95E67" w14:paraId="6396CA1A" wp14:textId="77777777">
      <w:r>
        <w:t>These types of SMART objectives are supposed to ensure that the wearable health device grows successfully, past the regulatory stage and make it in the market. Consulting with the stakeholders, creating the product within the timeframe, and very specific financial targets will assist Owen Mumford in ensuring that this device launch is a subset of the overarching strategic goals of the company and its supremacy in the health equipment market.</w:t>
      </w:r>
    </w:p>
    <w:p xmlns:wp14="http://schemas.microsoft.com/office/word/2010/wordml" w:rsidR="00F95E67" w:rsidRDefault="00F95E67" w14:paraId="730484E5" wp14:textId="77777777">
      <w:pPr>
        <w:pStyle w:val="Heading1"/>
        <w:ind w:left="0" w:firstLine="0"/>
      </w:pPr>
      <w:bookmarkStart w:name="__RefHeading___Toc4570_6490335" w:id="2"/>
      <w:bookmarkEnd w:id="2"/>
      <w:r>
        <w:t>Stakeholders Identification and Engagement</w:t>
      </w:r>
    </w:p>
    <w:p xmlns:wp14="http://schemas.microsoft.com/office/word/2010/wordml" w:rsidR="00F95E67" w:rsidRDefault="00F95E67" w14:paraId="0900CA71" wp14:textId="77777777">
      <w:pPr>
        <w:pStyle w:val="Heading2"/>
        <w:ind w:left="0" w:firstLine="0"/>
        <w:rPr>
          <w:b/>
        </w:rPr>
      </w:pPr>
      <w:bookmarkStart w:name="__RefHeading___Toc4572_6490335" w:id="3"/>
      <w:bookmarkEnd w:id="3"/>
      <w:r>
        <w:t>Internal Stakeholders</w:t>
      </w:r>
    </w:p>
    <w:p xmlns:wp14="http://schemas.microsoft.com/office/word/2010/wordml" w:rsidR="00F95E67" w:rsidRDefault="00F95E67" w14:paraId="5035E701" wp14:textId="77777777">
      <w:pPr>
        <w:numPr>
          <w:ilvl w:val="0"/>
          <w:numId w:val="4"/>
        </w:numPr>
        <w:rPr>
          <w:b/>
          <w:bCs/>
        </w:rPr>
      </w:pPr>
      <w:r>
        <w:rPr>
          <w:b/>
          <w:bCs/>
        </w:rPr>
        <w:t>Product</w:t>
      </w:r>
      <w:r>
        <w:t xml:space="preserve"> </w:t>
      </w:r>
      <w:r>
        <w:rPr>
          <w:b/>
          <w:bCs/>
        </w:rPr>
        <w:t>Development</w:t>
      </w:r>
      <w:r>
        <w:t xml:space="preserve"> Team: This team will be the one engaged in designing and developing the wearable health device. They ensure that the device can measure the parameters of monitoring the heart rate, oxygen and sleeping required. They also liaise closely with research groups to make them incorporate the new health technologies and innovation into the product.</w:t>
      </w:r>
    </w:p>
    <w:p xmlns:wp14="http://schemas.microsoft.com/office/word/2010/wordml" w:rsidR="00F95E67" w:rsidRDefault="00F95E67" w14:paraId="39EAD355" wp14:textId="77777777">
      <w:pPr>
        <w:numPr>
          <w:ilvl w:val="0"/>
          <w:numId w:val="4"/>
        </w:numPr>
        <w:rPr>
          <w:b/>
          <w:bCs/>
        </w:rPr>
      </w:pPr>
      <w:r>
        <w:rPr>
          <w:b/>
          <w:bCs/>
        </w:rPr>
        <w:t>Marketing</w:t>
      </w:r>
      <w:r>
        <w:t xml:space="preserve"> </w:t>
      </w:r>
      <w:r>
        <w:rPr>
          <w:b/>
          <w:bCs/>
        </w:rPr>
        <w:t>Team</w:t>
      </w:r>
      <w:r>
        <w:t>: Marketing team will be committed to raising the awareness and developing the demand of the new wearable device. They will devise promotional exercises, brand communications and will have online and offline activities to ensure that the product will arrive in the target market effectively(Vahdati, Laamarti and El Saddik, 2025).</w:t>
      </w:r>
    </w:p>
    <w:p xmlns:wp14="http://schemas.microsoft.com/office/word/2010/wordml" w:rsidR="00F95E67" w:rsidRDefault="00F95E67" w14:paraId="14B61CC6" wp14:textId="77777777">
      <w:pPr>
        <w:numPr>
          <w:ilvl w:val="0"/>
          <w:numId w:val="4"/>
        </w:numPr>
        <w:rPr>
          <w:b/>
          <w:bCs/>
        </w:rPr>
      </w:pPr>
      <w:r>
        <w:rPr>
          <w:b/>
          <w:bCs/>
        </w:rPr>
        <w:t>Sales</w:t>
      </w:r>
      <w:r>
        <w:t xml:space="preserve"> </w:t>
      </w:r>
      <w:r>
        <w:rPr>
          <w:b/>
          <w:bCs/>
        </w:rPr>
        <w:t>Team</w:t>
      </w:r>
      <w:r>
        <w:t>: The sales team will have the responsibility of selling the wearable device to the client, relationship-building with the distributors and their availability to the customer. They will provide good customer feedback to the product development and marketing team as they will help in enhancing the future sale strategy.</w:t>
      </w:r>
    </w:p>
    <w:p xmlns:wp14="http://schemas.microsoft.com/office/word/2010/wordml" w:rsidR="00F95E67" w:rsidRDefault="00F95E67" w14:paraId="6DB77F65" wp14:textId="77777777">
      <w:pPr>
        <w:numPr>
          <w:ilvl w:val="0"/>
          <w:numId w:val="4"/>
        </w:numPr>
      </w:pPr>
      <w:r>
        <w:rPr>
          <w:b/>
          <w:bCs/>
        </w:rPr>
        <w:t>Regulatory</w:t>
      </w:r>
      <w:r>
        <w:t xml:space="preserve"> </w:t>
      </w:r>
      <w:r>
        <w:rPr>
          <w:b/>
          <w:bCs/>
        </w:rPr>
        <w:t>Compliance</w:t>
      </w:r>
      <w:r>
        <w:t xml:space="preserve"> </w:t>
      </w:r>
      <w:r>
        <w:rPr>
          <w:b/>
          <w:bCs/>
        </w:rPr>
        <w:t>Team</w:t>
      </w:r>
      <w:r>
        <w:t>: This is a team which establishes compliance to all the regulations necessary regarding a product of healthcare services and these include the certification of the CE mark and domestication with the regulations of a medical device. They will also endeavor to obtain the necessary certifications and approvals before the product is launched.</w:t>
      </w:r>
    </w:p>
    <w:p xmlns:wp14="http://schemas.microsoft.com/office/word/2010/wordml" w:rsidR="00F95E67" w:rsidRDefault="00F95E67" w14:paraId="412C4F8F" wp14:textId="77777777">
      <w:pPr>
        <w:pStyle w:val="Heading2"/>
        <w:ind w:left="0" w:firstLine="0"/>
        <w:rPr>
          <w:b/>
        </w:rPr>
      </w:pPr>
      <w:bookmarkStart w:name="__RefHeading___Toc4574_6490335" w:id="4"/>
      <w:bookmarkEnd w:id="4"/>
      <w:r>
        <w:t>External Stakeholders</w:t>
      </w:r>
    </w:p>
    <w:p xmlns:wp14="http://schemas.microsoft.com/office/word/2010/wordml" w:rsidR="00F95E67" w:rsidRDefault="00F95E67" w14:paraId="77AE8F0B" wp14:textId="77777777">
      <w:pPr>
        <w:numPr>
          <w:ilvl w:val="0"/>
          <w:numId w:val="3"/>
        </w:numPr>
        <w:rPr>
          <w:b/>
          <w:bCs/>
        </w:rPr>
      </w:pPr>
      <w:r>
        <w:rPr>
          <w:b/>
          <w:bCs/>
        </w:rPr>
        <w:t>Healthcare</w:t>
      </w:r>
      <w:r>
        <w:t xml:space="preserve"> </w:t>
      </w:r>
      <w:r>
        <w:rPr>
          <w:b/>
          <w:bCs/>
        </w:rPr>
        <w:t>Professionals</w:t>
      </w:r>
      <w:r>
        <w:t>: Doctors, the nurses and even the healthcare practitioners are the key external stakeholders. They require their feedback to make the wearable device effective, dependable, and to the healthcare standards. They will also prove to be of great use in prescribing devices to the patients and promoting the use of the devices in a medical facility.</w:t>
      </w:r>
    </w:p>
    <w:p xmlns:wp14="http://schemas.microsoft.com/office/word/2010/wordml" w:rsidR="00F95E67" w:rsidRDefault="00F95E67" w14:paraId="74D1827B" wp14:textId="77777777">
      <w:pPr>
        <w:numPr>
          <w:ilvl w:val="0"/>
          <w:numId w:val="3"/>
        </w:numPr>
        <w:rPr>
          <w:b/>
          <w:bCs/>
        </w:rPr>
      </w:pPr>
      <w:r>
        <w:rPr>
          <w:b/>
          <w:bCs/>
        </w:rPr>
        <w:t>Suppliers</w:t>
      </w:r>
      <w:r>
        <w:t>: The suppliers will provide raw materials, components and technology to produce raw material. They make significant input in balancing the production quality and delivery of the components on time, which is directly proportional to the timeline in launching the product.</w:t>
      </w:r>
    </w:p>
    <w:p xmlns:wp14="http://schemas.microsoft.com/office/word/2010/wordml" w:rsidR="00F95E67" w:rsidRDefault="00F95E67" w14:paraId="392B2E52" wp14:textId="77777777">
      <w:pPr>
        <w:numPr>
          <w:ilvl w:val="0"/>
          <w:numId w:val="3"/>
        </w:numPr>
        <w:rPr>
          <w:b/>
          <w:bCs/>
        </w:rPr>
      </w:pPr>
      <w:r>
        <w:rPr>
          <w:b/>
          <w:bCs/>
        </w:rPr>
        <w:t>Regulatory Bodies</w:t>
      </w:r>
      <w:r>
        <w:t>: The regulatory bodies, such as the MHRA (Medicines and Healthcare products Regulatory Agency) in the UK or the FDA in the US, place the regulation on the compliance of the product to the industry standards (Tsai, Wang and Chen, 2023). They are supposed to endorse it such that the device can be sold legally in addition to being safe to the consumers it can be used.</w:t>
      </w:r>
    </w:p>
    <w:p xmlns:wp14="http://schemas.microsoft.com/office/word/2010/wordml" w:rsidR="00F95E67" w:rsidRDefault="00F95E67" w14:paraId="794EE16A" wp14:textId="77777777">
      <w:pPr>
        <w:numPr>
          <w:ilvl w:val="0"/>
          <w:numId w:val="3"/>
        </w:numPr>
      </w:pPr>
      <w:r>
        <w:rPr>
          <w:b/>
          <w:bCs/>
        </w:rPr>
        <w:t>Distributors and Retail Partners</w:t>
      </w:r>
      <w:r>
        <w:t>: This category of external stakeholders will be integrated with the distribution of the wearable device to the market (Shepherd, 2024). They ensure that the product will be retailed in the stores and online platforms that will be used to increase the sales and reach the customers.</w:t>
      </w:r>
    </w:p>
    <w:p xmlns:wp14="http://schemas.microsoft.com/office/word/2010/wordml" w:rsidR="00F95E67" w:rsidRDefault="00F95E67" w14:paraId="4A5278C6" wp14:textId="77777777">
      <w:pPr>
        <w:pStyle w:val="Heading2"/>
        <w:ind w:left="0" w:firstLine="0"/>
        <w:rPr>
          <w:b/>
        </w:rPr>
      </w:pPr>
      <w:bookmarkStart w:name="__RefHeading___Toc4576_6490335" w:id="5"/>
      <w:bookmarkEnd w:id="5"/>
      <w:r>
        <w:t>Roles and Responsibilities</w:t>
      </w:r>
    </w:p>
    <w:p xmlns:wp14="http://schemas.microsoft.com/office/word/2010/wordml" w:rsidR="00F95E67" w:rsidRDefault="00F95E67" w14:paraId="0743A32C" wp14:textId="77777777">
      <w:pPr>
        <w:numPr>
          <w:ilvl w:val="0"/>
          <w:numId w:val="5"/>
        </w:numPr>
        <w:rPr>
          <w:b/>
          <w:bCs/>
        </w:rPr>
      </w:pPr>
      <w:r>
        <w:rPr>
          <w:b/>
          <w:bCs/>
        </w:rPr>
        <w:t>Product</w:t>
      </w:r>
      <w:r>
        <w:t xml:space="preserve"> </w:t>
      </w:r>
      <w:r>
        <w:rPr>
          <w:b/>
          <w:bCs/>
        </w:rPr>
        <w:t>Development</w:t>
      </w:r>
      <w:r>
        <w:t xml:space="preserve"> </w:t>
      </w:r>
      <w:r>
        <w:rPr>
          <w:b/>
          <w:bCs/>
        </w:rPr>
        <w:t>Team</w:t>
      </w:r>
      <w:r>
        <w:t>: Design team, tests and develops features of wearable device. Ensure that the equipment has the required standard of healthcare products.</w:t>
      </w:r>
    </w:p>
    <w:p xmlns:wp14="http://schemas.microsoft.com/office/word/2010/wordml" w:rsidR="00F95E67" w:rsidRDefault="00F95E67" w14:paraId="4689C26B" wp14:textId="77777777">
      <w:pPr>
        <w:numPr>
          <w:ilvl w:val="0"/>
          <w:numId w:val="5"/>
        </w:numPr>
        <w:rPr>
          <w:b/>
          <w:bCs/>
        </w:rPr>
      </w:pPr>
      <w:r>
        <w:rPr>
          <w:b/>
          <w:bCs/>
        </w:rPr>
        <w:t>Marketing</w:t>
      </w:r>
      <w:r>
        <w:t xml:space="preserve"> </w:t>
      </w:r>
      <w:r>
        <w:rPr>
          <w:b/>
          <w:bCs/>
        </w:rPr>
        <w:t>Team</w:t>
      </w:r>
      <w:r>
        <w:t>: Conduct product launch programs, social media and use of influencers to establish product awareness.</w:t>
      </w:r>
    </w:p>
    <w:p xmlns:wp14="http://schemas.microsoft.com/office/word/2010/wordml" w:rsidR="00F95E67" w:rsidRDefault="00F95E67" w14:paraId="0E4B3D9D" wp14:textId="77777777">
      <w:pPr>
        <w:numPr>
          <w:ilvl w:val="0"/>
          <w:numId w:val="5"/>
        </w:numPr>
        <w:rPr>
          <w:b/>
          <w:bCs/>
        </w:rPr>
      </w:pPr>
      <w:r>
        <w:rPr>
          <w:b/>
          <w:bCs/>
        </w:rPr>
        <w:t>Sales</w:t>
      </w:r>
      <w:r>
        <w:t xml:space="preserve"> </w:t>
      </w:r>
      <w:r>
        <w:rPr>
          <w:b/>
          <w:bCs/>
        </w:rPr>
        <w:t>Team</w:t>
      </w:r>
      <w:r>
        <w:t>: Sold personally to the customers, retailers and distributors who want to make sales (Savage et al., 2022). Seek the feedback of the customers so as to improved product and positioning.</w:t>
      </w:r>
    </w:p>
    <w:p xmlns:wp14="http://schemas.microsoft.com/office/word/2010/wordml" w:rsidR="00F95E67" w:rsidRDefault="00F95E67" w14:paraId="7A6C3D30" wp14:textId="77777777">
      <w:pPr>
        <w:numPr>
          <w:ilvl w:val="0"/>
          <w:numId w:val="5"/>
        </w:numPr>
      </w:pPr>
      <w:r>
        <w:rPr>
          <w:b/>
          <w:bCs/>
        </w:rPr>
        <w:t>Regulatory</w:t>
      </w:r>
      <w:r>
        <w:t xml:space="preserve"> </w:t>
      </w:r>
      <w:r>
        <w:rPr>
          <w:b/>
          <w:bCs/>
        </w:rPr>
        <w:t>Compliance</w:t>
      </w:r>
      <w:r>
        <w:t xml:space="preserve"> </w:t>
      </w:r>
      <w:r>
        <w:rPr>
          <w:b/>
          <w:bCs/>
        </w:rPr>
        <w:t>Team</w:t>
      </w:r>
      <w:r>
        <w:t>:</w:t>
      </w:r>
      <w:r>
        <w:t xml:space="preserve"> Provides supervision to all the regulatory processes, including that the wearable device is of quality, safety and compliance standards.</w:t>
      </w:r>
    </w:p>
    <w:p xmlns:wp14="http://schemas.microsoft.com/office/word/2010/wordml" w:rsidR="00F95E67" w:rsidRDefault="00F95E67" w14:paraId="283ED574" wp14:textId="77777777">
      <w:pPr>
        <w:pStyle w:val="Heading2"/>
        <w:ind w:left="0" w:firstLine="0"/>
      </w:pPr>
      <w:bookmarkStart w:name="__RefHeading___Toc4578_6490335" w:id="6"/>
      <w:bookmarkEnd w:id="6"/>
      <w:r>
        <w:t>Importance</w:t>
      </w:r>
    </w:p>
    <w:p xmlns:wp14="http://schemas.microsoft.com/office/word/2010/wordml" w:rsidR="00F95E67" w:rsidRDefault="00F95E67" w14:paraId="7E116041" wp14:textId="77777777">
      <w:pPr>
        <w:numPr>
          <w:ilvl w:val="0"/>
          <w:numId w:val="6"/>
        </w:numPr>
      </w:pPr>
      <w:r>
        <w:t>To the project success, all the stakeholders have their significant role:</w:t>
      </w:r>
    </w:p>
    <w:p xmlns:wp14="http://schemas.microsoft.com/office/word/2010/wordml" w:rsidR="00F95E67" w:rsidRDefault="00F95E67" w14:paraId="003CB148" wp14:textId="77777777">
      <w:pPr>
        <w:numPr>
          <w:ilvl w:val="0"/>
          <w:numId w:val="6"/>
        </w:numPr>
      </w:pPr>
      <w:r>
        <w:t>Product Development Team ensures that the product can be functional and also is innovative and responsive to the needs of the customers.</w:t>
      </w:r>
    </w:p>
    <w:p xmlns:wp14="http://schemas.microsoft.com/office/word/2010/wordml" w:rsidR="00F95E67" w:rsidRDefault="00F95E67" w14:paraId="058F6108" wp14:textId="77777777">
      <w:pPr>
        <w:numPr>
          <w:ilvl w:val="0"/>
          <w:numId w:val="6"/>
        </w:numPr>
      </w:pPr>
      <w:r>
        <w:t>The opening of the product will have a direct impact on the success depending on the Marketing and Sales Teams that promote the awareness of the product, demand and market penetration (Rodríguez</w:t>
      </w:r>
      <w:r>
        <w:noBreakHyphen/>
        <w:t>Calero et al, 2023).</w:t>
      </w:r>
    </w:p>
    <w:p xmlns:wp14="http://schemas.microsoft.com/office/word/2010/wordml" w:rsidR="00F95E67" w:rsidRDefault="00F95E67" w14:paraId="30236B50" wp14:textId="77777777">
      <w:pPr>
        <w:numPr>
          <w:ilvl w:val="0"/>
          <w:numId w:val="6"/>
        </w:numPr>
      </w:pPr>
      <w:r>
        <w:t>It is provision of credibility and trust by the Healthcare Professionals and these affect consumer adoption and acceptance within the clinical setting.</w:t>
      </w:r>
    </w:p>
    <w:p xmlns:wp14="http://schemas.microsoft.com/office/word/2010/wordml" w:rsidR="00F95E67" w:rsidRDefault="00F95E67" w14:paraId="0170DD23" wp14:textId="77777777">
      <w:pPr>
        <w:numPr>
          <w:ilvl w:val="0"/>
          <w:numId w:val="6"/>
        </w:numPr>
      </w:pPr>
      <w:r>
        <w:t>The suppliers can also supply their parts on time and keep the quality to prevent a delay in the production process.</w:t>
      </w:r>
    </w:p>
    <w:p xmlns:wp14="http://schemas.microsoft.com/office/word/2010/wordml" w:rsidR="00F95E67" w:rsidRDefault="00F95E67" w14:paraId="6E5BD26A" wp14:textId="77777777">
      <w:pPr>
        <w:numPr>
          <w:ilvl w:val="0"/>
          <w:numId w:val="6"/>
        </w:numPr>
      </w:pPr>
      <w:r>
        <w:t>Regulatory Bodies undertake legal approval to render the product dominant in the market and hazard free in relation to usage.</w:t>
      </w:r>
    </w:p>
    <w:p xmlns:wp14="http://schemas.microsoft.com/office/word/2010/wordml" w:rsidR="00F95E67" w:rsidRDefault="00F31935" w14:paraId="2DD758F8" wp14:textId="77777777">
      <w:r>
        <w:rPr>
          <w:noProof/>
        </w:rPr>
        <mc:AlternateContent>
          <mc:Choice Requires="wps">
            <w:drawing>
              <wp:anchor xmlns:wp14="http://schemas.microsoft.com/office/word/2010/wordprocessingDrawing" distT="0" distB="0" distL="0" distR="0" simplePos="0" relativeHeight="251658240" behindDoc="0" locked="0" layoutInCell="0" allowOverlap="1" wp14:anchorId="324A99D0" wp14:editId="7777777">
                <wp:simplePos x="0" y="0"/>
                <wp:positionH relativeFrom="column">
                  <wp:posOffset>1324610</wp:posOffset>
                </wp:positionH>
                <wp:positionV relativeFrom="paragraph">
                  <wp:posOffset>73025</wp:posOffset>
                </wp:positionV>
                <wp:extent cx="3115945" cy="3058160"/>
                <wp:effectExtent l="635" t="0" r="0" b="2540"/>
                <wp:wrapTopAndBottom/>
                <wp:docPr id="20078285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5945" cy="30581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xmlns:wp14="http://schemas.microsoft.com/office/word/2010/wordml" w:rsidR="00F95E67" w:rsidRDefault="00F31935" w14:paraId="36F81390" wp14:textId="77777777">
                            <w:pPr>
                              <w:pStyle w:val="Figure"/>
                              <w:jc w:val="center"/>
                            </w:pPr>
                            <w:r>
                              <w:rPr>
                                <w:noProof/>
                              </w:rPr>
                              <w:drawing>
                                <wp:inline xmlns:wp14="http://schemas.microsoft.com/office/word/2010/wordprocessingDrawing" distT="0" distB="0" distL="0" distR="0" wp14:anchorId="53F9EE7E" wp14:editId="7777777">
                                  <wp:extent cx="3124200" cy="230505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l="12859" t="2394" r="10873" b="8919"/>
                                          <a:stretch>
                                            <a:fillRect/>
                                          </a:stretch>
                                        </pic:blipFill>
                                        <pic:spPr bwMode="auto">
                                          <a:xfrm>
                                            <a:off x="0" y="0"/>
                                            <a:ext cx="3124200" cy="2305050"/>
                                          </a:xfrm>
                                          <a:prstGeom prst="rect">
                                            <a:avLst/>
                                          </a:prstGeom>
                                          <a:solidFill>
                                            <a:srgbClr val="FFFFFF"/>
                                          </a:solidFill>
                                          <a:ln>
                                            <a:noFill/>
                                          </a:ln>
                                        </pic:spPr>
                                      </pic:pic>
                                    </a:graphicData>
                                  </a:graphic>
                                </wp:inline>
                              </w:drawing>
                            </w:r>
                            <w:r w:rsidR="00F95E67">
                              <w:t xml:space="preserve">Figure </w:t>
                            </w:r>
                            <w:r w:rsidR="00F95E67">
                              <w:fldChar w:fldCharType="begin"/>
                            </w:r>
                            <w:r w:rsidR="00F95E67">
                              <w:instrText xml:space="preserve"> SEQ "Figure" \* ARABIC </w:instrText>
                            </w:r>
                            <w:r w:rsidR="00F95E67">
                              <w:fldChar w:fldCharType="separate"/>
                            </w:r>
                            <w:r w:rsidR="00F95E67">
                              <w:t>2</w:t>
                            </w:r>
                            <w:r w:rsidR="00F95E67">
                              <w:fldChar w:fldCharType="end"/>
                            </w:r>
                            <w:r w:rsidR="00F95E67">
                              <w:t>: Wearable Medical Devices</w:t>
                            </w:r>
                          </w:p>
                          <w:p xmlns:wp14="http://schemas.microsoft.com/office/word/2010/wordml" w:rsidR="00F95E67" w:rsidRDefault="00F95E67" w14:paraId="5D4167F9" wp14:textId="77777777">
                            <w:pPr>
                              <w:pStyle w:val="Figure"/>
                              <w:jc w:val="center"/>
                            </w:pPr>
                            <w:r>
                              <w:t>Source: (Docwire, 2022)</w:t>
                            </w:r>
                          </w:p>
                        </w:txbxContent>
                      </wps:txbx>
                      <wps:bodyPr rot="0" vert="horz" wrap="square" lIns="1270" tIns="1270" rIns="1270" bIns="1270" anchor="t" anchorCtr="0" upright="1">
                        <a:noAutofit/>
                      </wps:bodyPr>
                    </wps:wsp>
                  </a:graphicData>
                </a:graphic>
                <wp14:sizeRelH relativeFrom="page">
                  <wp14:pctWidth>0</wp14:pctWidth>
                </wp14:sizeRelH>
                <wp14:sizeRelV relativeFrom="page">
                  <wp14:pctHeight>0</wp14:pctHeight>
                </wp14:sizeRelV>
              </wp:anchor>
            </w:drawing>
          </mc:Choice>
          <mc:Fallback>
            <w:pict w14:anchorId="35A28E37">
              <v:shape id="Text Box 3" style="position:absolute;left:0;text-align:left;margin-left:104.3pt;margin-top:5.75pt;width:245.35pt;height:240.8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spid="_x0000_s1027" o:allowincell="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">
                <v:textbox inset=".1pt,.1pt,.1pt,.1pt">
                  <w:txbxContent>
                    <w:p w:rsidR="00F95E67" w:rsidRDefault="00F31935" w14:paraId="055C1F63" wp14:textId="77777777">
                      <w:pPr>
                        <w:pStyle w:val="Figure"/>
                        <w:jc w:val="center"/>
                      </w:pPr>
                      <w:r>
                        <w:rPr>
                          <w:noProof/>
                        </w:rPr>
                        <w:drawing>
                          <wp:inline xmlns:wp14="http://schemas.microsoft.com/office/word/2010/wordprocessingDrawing" distT="0" distB="0" distL="0" distR="0" wp14:anchorId="3AC56D92" wp14:editId="7777777">
                            <wp:extent cx="3124200" cy="2305050"/>
                            <wp:effectExtent l="0" t="0" r="0" b="0"/>
                            <wp:docPr id="2015582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l="12859" t="2394" r="10873" b="8919"/>
                                    <a:stretch>
                                      <a:fillRect/>
                                    </a:stretch>
                                  </pic:blipFill>
                                  <pic:spPr bwMode="auto">
                                    <a:xfrm>
                                      <a:off x="0" y="0"/>
                                      <a:ext cx="3124200" cy="2305050"/>
                                    </a:xfrm>
                                    <a:prstGeom prst="rect">
                                      <a:avLst/>
                                    </a:prstGeom>
                                    <a:solidFill>
                                      <a:srgbClr val="FFFFFF"/>
                                    </a:solidFill>
                                    <a:ln>
                                      <a:noFill/>
                                    </a:ln>
                                  </pic:spPr>
                                </pic:pic>
                              </a:graphicData>
                            </a:graphic>
                          </wp:inline>
                        </w:drawing>
                      </w:r>
                      <w:r w:rsidR="00F95E67">
                        <w:t xml:space="preserve">Figure </w:t>
                      </w:r>
                      <w:r w:rsidR="00F95E67">
                        <w:fldChar w:fldCharType="begin"/>
                      </w:r>
                      <w:r w:rsidR="00F95E67">
                        <w:instrText xml:space="preserve"> SEQ "Figure" \* ARABIC </w:instrText>
                      </w:r>
                      <w:r w:rsidR="00F95E67">
                        <w:fldChar w:fldCharType="separate"/>
                      </w:r>
                      <w:r w:rsidR="00F95E67">
                        <w:t>2</w:t>
                      </w:r>
                      <w:r w:rsidR="00F95E67">
                        <w:fldChar w:fldCharType="end"/>
                      </w:r>
                      <w:r w:rsidR="00F95E67">
                        <w:t>: Wearable Medical Devices</w:t>
                      </w:r>
                    </w:p>
                    <w:p w:rsidR="00F95E67" w:rsidRDefault="00F95E67" w14:paraId="485B4BAD" wp14:textId="77777777">
                      <w:pPr>
                        <w:pStyle w:val="Figure"/>
                        <w:jc w:val="center"/>
                      </w:pPr>
                      <w:r>
                        <w:t>Source: (Docwire, 2022)</w:t>
                      </w:r>
                    </w:p>
                  </w:txbxContent>
                </v:textbox>
                <w10:wrap type="topAndBottom"/>
              </v:shape>
            </w:pict>
          </mc:Fallback>
        </mc:AlternateContent>
      </w:r>
    </w:p>
    <w:p xmlns:wp14="http://schemas.microsoft.com/office/word/2010/wordml" w:rsidR="00F95E67" w:rsidRDefault="00F95E67" w14:paraId="30DC30E8" wp14:textId="77777777">
      <w:pPr>
        <w:pStyle w:val="Heading1"/>
        <w:ind w:left="0" w:firstLine="0"/>
      </w:pPr>
      <w:bookmarkStart w:name="__RefHeading___Toc4580_6490335" w:id="7"/>
      <w:bookmarkEnd w:id="7"/>
      <w:r>
        <w:t xml:space="preserve">Stakeholder Analysis Using Frameworks </w:t>
      </w:r>
    </w:p>
    <w:p xmlns:wp14="http://schemas.microsoft.com/office/word/2010/wordml" w:rsidR="00F95E67" w:rsidRDefault="00F95E67" w14:paraId="6009F249" wp14:textId="77777777">
      <w:pPr>
        <w:pStyle w:val="Heading2"/>
        <w:ind w:left="0" w:firstLine="0"/>
      </w:pPr>
      <w:bookmarkStart w:name="__RefHeading___Toc4582_6490335" w:id="8"/>
      <w:bookmarkEnd w:id="8"/>
      <w:r>
        <w:t>Mendelow’s Stakeholder Matrix</w:t>
      </w:r>
    </w:p>
    <w:p xmlns:wp14="http://schemas.microsoft.com/office/word/2010/wordml" w:rsidR="00F95E67" w:rsidRDefault="00F95E67" w14:paraId="1A7B5076" wp14:textId="77777777">
      <w:r>
        <w:t>The Matrix by Mendelow classifies the stakeholders into power (the ability to influence the project) and interest (the level of interest on the project outcome). This matrix helps in prioritizing the stakeholder engagement plans which have been determined to be included in its influence and interest.</w:t>
      </w:r>
    </w:p>
    <w:p xmlns:wp14="http://schemas.microsoft.com/office/word/2010/wordml" w:rsidR="00F95E67" w:rsidRDefault="00F95E67" w14:paraId="4D6DFAD2" wp14:textId="77777777">
      <w:pPr>
        <w:pStyle w:val="Table"/>
        <w:keepNext/>
        <w:jc w:val="center"/>
      </w:pPr>
      <w:r>
        <w:t xml:space="preserve">Table </w:t>
      </w:r>
      <w:r>
        <w:fldChar w:fldCharType="begin"/>
      </w:r>
      <w:r>
        <w:instrText xml:space="preserve"> SEQ "Table" \* ARABIC </w:instrText>
      </w:r>
      <w:r>
        <w:fldChar w:fldCharType="separate"/>
      </w:r>
      <w:r>
        <w:t>2</w:t>
      </w:r>
      <w:r>
        <w:fldChar w:fldCharType="end"/>
      </w:r>
      <w:r>
        <w:t>: Mendelow’s Stakeholder Matrix</w:t>
      </w:r>
    </w:p>
    <w:tbl>
      <w:tblPr>
        <w:tblW w:w="5000" w:type="pct"/>
        <w:tblInd w:w="55" w:type="dxa"/>
        <w:tblLayout w:type="fixed"/>
        <w:tblCellMar>
          <w:top w:w="55" w:type="dxa"/>
          <w:left w:w="55" w:type="dxa"/>
          <w:bottom w:w="55" w:type="dxa"/>
          <w:right w:w="55" w:type="dxa"/>
        </w:tblCellMar>
        <w:tblLook w:val="0000" w:firstRow="0" w:lastRow="0" w:firstColumn="0" w:lastColumn="0" w:noHBand="0" w:noVBand="0"/>
      </w:tblPr>
      <w:tblGrid>
        <w:gridCol w:w="3116"/>
        <w:gridCol w:w="3117"/>
        <w:gridCol w:w="3117"/>
      </w:tblGrid>
      <w:tr xmlns:wp14="http://schemas.microsoft.com/office/word/2010/wordml" w:rsidR="00000000" w14:paraId="142F6BE2" wp14:textId="77777777">
        <w:tc>
          <w:tcPr>
            <w:tcW w:w="3120" w:type="dxa"/>
            <w:tcBorders>
              <w:top w:val="single" w:color="000000" w:sz="4" w:space="0"/>
              <w:left w:val="single" w:color="000000" w:sz="4" w:space="0"/>
              <w:bottom w:val="single" w:color="000000" w:sz="4" w:space="0"/>
            </w:tcBorders>
            <w:shd w:val="clear" w:color="auto" w:fill="BF819E"/>
          </w:tcPr>
          <w:p w:rsidR="00F95E67" w:rsidRDefault="00F95E67" w14:paraId="4340224F" wp14:textId="77777777">
            <w:pPr>
              <w:pStyle w:val="TableContents"/>
            </w:pPr>
            <w:r>
              <w:t>Power / Interest</w:t>
            </w:r>
          </w:p>
        </w:tc>
        <w:tc>
          <w:tcPr>
            <w:tcW w:w="3120" w:type="dxa"/>
            <w:tcBorders>
              <w:top w:val="single" w:color="000000" w:sz="4" w:space="0"/>
              <w:left w:val="single" w:color="000000" w:sz="4" w:space="0"/>
              <w:bottom w:val="single" w:color="000000" w:sz="4" w:space="0"/>
            </w:tcBorders>
            <w:shd w:val="clear" w:color="auto" w:fill="BF819E"/>
          </w:tcPr>
          <w:p w:rsidR="00F95E67" w:rsidRDefault="00F95E67" w14:paraId="5DCE06D3" wp14:textId="77777777">
            <w:pPr>
              <w:pStyle w:val="TableContents"/>
            </w:pPr>
            <w:r>
              <w:t>High Interest, High Power</w:t>
            </w:r>
          </w:p>
        </w:tc>
        <w:tc>
          <w:tcPr>
            <w:tcW w:w="3120" w:type="dxa"/>
            <w:tcBorders>
              <w:top w:val="single" w:color="000000" w:sz="4" w:space="0"/>
              <w:left w:val="single" w:color="000000" w:sz="4" w:space="0"/>
              <w:bottom w:val="single" w:color="000000" w:sz="4" w:space="0"/>
              <w:right w:val="single" w:color="000000" w:sz="4" w:space="0"/>
            </w:tcBorders>
            <w:shd w:val="clear" w:color="auto" w:fill="BF819E"/>
          </w:tcPr>
          <w:p w:rsidR="00F95E67" w:rsidRDefault="00F95E67" w14:paraId="59B6BA72" wp14:textId="77777777">
            <w:pPr>
              <w:pStyle w:val="TableContents"/>
            </w:pPr>
            <w:r>
              <w:t>High Interest, Low Power</w:t>
            </w:r>
          </w:p>
        </w:tc>
      </w:tr>
      <w:tr xmlns:wp14="http://schemas.microsoft.com/office/word/2010/wordml" w:rsidR="00000000" w14:paraId="17EEEBE6" wp14:textId="77777777">
        <w:tc>
          <w:tcPr>
            <w:tcW w:w="3120" w:type="dxa"/>
            <w:tcBorders>
              <w:left w:val="single" w:color="000000" w:sz="4" w:space="0"/>
              <w:bottom w:val="single" w:color="000000" w:sz="4" w:space="0"/>
            </w:tcBorders>
            <w:shd w:val="clear" w:color="auto" w:fill="E0C2CD"/>
          </w:tcPr>
          <w:p w:rsidR="00F95E67" w:rsidRDefault="00F95E67" w14:paraId="64370993" wp14:textId="77777777">
            <w:pPr>
              <w:pStyle w:val="TableContents"/>
            </w:pPr>
            <w:r>
              <w:t>Stakeholders</w:t>
            </w:r>
          </w:p>
        </w:tc>
        <w:tc>
          <w:tcPr>
            <w:tcW w:w="3120" w:type="dxa"/>
            <w:tcBorders>
              <w:left w:val="single" w:color="000000" w:sz="4" w:space="0"/>
              <w:bottom w:val="single" w:color="000000" w:sz="4" w:space="0"/>
            </w:tcBorders>
            <w:shd w:val="clear" w:color="auto" w:fill="E0C2CD"/>
          </w:tcPr>
          <w:p w:rsidR="00F95E67" w:rsidRDefault="00F95E67" w14:paraId="046C842A" wp14:textId="77777777">
            <w:pPr>
              <w:pStyle w:val="TableContents"/>
            </w:pPr>
            <w:r>
              <w:t>- Product Development Team</w:t>
            </w:r>
          </w:p>
        </w:tc>
        <w:tc>
          <w:tcPr>
            <w:tcW w:w="3120" w:type="dxa"/>
            <w:tcBorders>
              <w:left w:val="single" w:color="000000" w:sz="4" w:space="0"/>
              <w:bottom w:val="single" w:color="000000" w:sz="4" w:space="0"/>
              <w:right w:val="single" w:color="000000" w:sz="4" w:space="0"/>
            </w:tcBorders>
            <w:shd w:val="clear" w:color="auto" w:fill="E0C2CD"/>
          </w:tcPr>
          <w:p w:rsidR="00F95E67" w:rsidRDefault="00F95E67" w14:paraId="1F8499B4" wp14:textId="77777777">
            <w:pPr>
              <w:pStyle w:val="TableContents"/>
            </w:pPr>
            <w:r>
              <w:t>- Customers</w:t>
            </w:r>
          </w:p>
        </w:tc>
      </w:tr>
      <w:tr xmlns:wp14="http://schemas.microsoft.com/office/word/2010/wordml" w:rsidR="00000000" w14:paraId="46135B25" wp14:textId="77777777">
        <w:tc>
          <w:tcPr>
            <w:tcW w:w="3120" w:type="dxa"/>
            <w:tcBorders>
              <w:left w:val="single" w:color="000000" w:sz="4" w:space="0"/>
              <w:bottom w:val="single" w:color="000000" w:sz="4" w:space="0"/>
            </w:tcBorders>
            <w:shd w:val="clear" w:color="auto" w:fill="E0C2CD"/>
          </w:tcPr>
          <w:p w:rsidR="00F95E67" w:rsidRDefault="00F95E67" w14:paraId="72A3D3EC" wp14:textId="77777777">
            <w:pPr>
              <w:pStyle w:val="TableContents"/>
              <w:snapToGrid w:val="0"/>
            </w:pPr>
          </w:p>
        </w:tc>
        <w:tc>
          <w:tcPr>
            <w:tcW w:w="3120" w:type="dxa"/>
            <w:tcBorders>
              <w:left w:val="single" w:color="000000" w:sz="4" w:space="0"/>
              <w:bottom w:val="single" w:color="000000" w:sz="4" w:space="0"/>
            </w:tcBorders>
            <w:shd w:val="clear" w:color="auto" w:fill="E0C2CD"/>
          </w:tcPr>
          <w:p w:rsidR="00F95E67" w:rsidRDefault="00F95E67" w14:paraId="6107D76C" wp14:textId="77777777">
            <w:pPr>
              <w:pStyle w:val="TableContents"/>
            </w:pPr>
            <w:r>
              <w:t>- Marketing Team</w:t>
            </w:r>
          </w:p>
        </w:tc>
        <w:tc>
          <w:tcPr>
            <w:tcW w:w="3120" w:type="dxa"/>
            <w:tcBorders>
              <w:left w:val="single" w:color="000000" w:sz="4" w:space="0"/>
              <w:bottom w:val="single" w:color="000000" w:sz="4" w:space="0"/>
              <w:right w:val="single" w:color="000000" w:sz="4" w:space="0"/>
            </w:tcBorders>
            <w:shd w:val="clear" w:color="auto" w:fill="E0C2CD"/>
          </w:tcPr>
          <w:p w:rsidR="00F95E67" w:rsidRDefault="00F95E67" w14:paraId="204F7ADD" wp14:textId="77777777">
            <w:pPr>
              <w:pStyle w:val="TableContents"/>
            </w:pPr>
            <w:r>
              <w:t>- Healthcare Professionals</w:t>
            </w:r>
          </w:p>
        </w:tc>
      </w:tr>
      <w:tr xmlns:wp14="http://schemas.microsoft.com/office/word/2010/wordml" w:rsidR="00000000" w14:paraId="0905874B" wp14:textId="77777777">
        <w:tc>
          <w:tcPr>
            <w:tcW w:w="3120" w:type="dxa"/>
            <w:tcBorders>
              <w:left w:val="single" w:color="000000" w:sz="4" w:space="0"/>
              <w:bottom w:val="single" w:color="000000" w:sz="4" w:space="0"/>
            </w:tcBorders>
            <w:shd w:val="clear" w:color="auto" w:fill="E0C2CD"/>
          </w:tcPr>
          <w:p w:rsidR="00F95E67" w:rsidRDefault="00F95E67" w14:paraId="0D0B940D" wp14:textId="77777777">
            <w:pPr>
              <w:pStyle w:val="TableContents"/>
              <w:snapToGrid w:val="0"/>
            </w:pPr>
          </w:p>
        </w:tc>
        <w:tc>
          <w:tcPr>
            <w:tcW w:w="3120" w:type="dxa"/>
            <w:tcBorders>
              <w:left w:val="single" w:color="000000" w:sz="4" w:space="0"/>
              <w:bottom w:val="single" w:color="000000" w:sz="4" w:space="0"/>
            </w:tcBorders>
            <w:shd w:val="clear" w:color="auto" w:fill="E0C2CD"/>
          </w:tcPr>
          <w:p w:rsidR="00F95E67" w:rsidRDefault="00F95E67" w14:paraId="0068AEEE" wp14:textId="77777777">
            <w:pPr>
              <w:pStyle w:val="TableContents"/>
            </w:pPr>
            <w:r>
              <w:t>- Sales Team</w:t>
            </w:r>
          </w:p>
        </w:tc>
        <w:tc>
          <w:tcPr>
            <w:tcW w:w="3120" w:type="dxa"/>
            <w:tcBorders>
              <w:left w:val="single" w:color="000000" w:sz="4" w:space="0"/>
              <w:bottom w:val="single" w:color="000000" w:sz="4" w:space="0"/>
              <w:right w:val="single" w:color="000000" w:sz="4" w:space="0"/>
            </w:tcBorders>
            <w:shd w:val="clear" w:color="auto" w:fill="E0C2CD"/>
          </w:tcPr>
          <w:p w:rsidR="00F95E67" w:rsidRDefault="00F95E67" w14:paraId="40D35666" wp14:textId="77777777">
            <w:pPr>
              <w:pStyle w:val="TableContents"/>
            </w:pPr>
            <w:r>
              <w:t>- Distributors</w:t>
            </w:r>
          </w:p>
        </w:tc>
      </w:tr>
      <w:tr xmlns:wp14="http://schemas.microsoft.com/office/word/2010/wordml" w:rsidR="00000000" w14:paraId="4C776120" wp14:textId="77777777">
        <w:tc>
          <w:tcPr>
            <w:tcW w:w="3120" w:type="dxa"/>
            <w:tcBorders>
              <w:left w:val="single" w:color="000000" w:sz="4" w:space="0"/>
              <w:bottom w:val="single" w:color="000000" w:sz="4" w:space="0"/>
            </w:tcBorders>
            <w:shd w:val="clear" w:color="auto" w:fill="E0C2CD"/>
          </w:tcPr>
          <w:p w:rsidR="00F95E67" w:rsidRDefault="00F95E67" w14:paraId="3410D7AB" wp14:textId="77777777">
            <w:pPr>
              <w:pStyle w:val="TableContents"/>
            </w:pPr>
            <w:r>
              <w:t xml:space="preserve">Engagement </w:t>
            </w:r>
          </w:p>
        </w:tc>
        <w:tc>
          <w:tcPr>
            <w:tcW w:w="3120" w:type="dxa"/>
            <w:tcBorders>
              <w:left w:val="single" w:color="000000" w:sz="4" w:space="0"/>
              <w:bottom w:val="single" w:color="000000" w:sz="4" w:space="0"/>
            </w:tcBorders>
            <w:shd w:val="clear" w:color="auto" w:fill="E0C2CD"/>
          </w:tcPr>
          <w:p w:rsidR="00F95E67" w:rsidRDefault="00F95E67" w14:paraId="459F1F54" wp14:textId="77777777">
            <w:pPr>
              <w:pStyle w:val="TableContents"/>
            </w:pPr>
            <w:r>
              <w:t>The major stakeholders whose interests and activities will have a strong influence on the project. Direct interaction every now and then is a prerequisite to effective project implementation (Rodriguez et al., 2023).</w:t>
            </w:r>
          </w:p>
        </w:tc>
        <w:tc>
          <w:tcPr>
            <w:tcW w:w="3120" w:type="dxa"/>
            <w:tcBorders>
              <w:left w:val="single" w:color="000000" w:sz="4" w:space="0"/>
              <w:bottom w:val="single" w:color="000000" w:sz="4" w:space="0"/>
              <w:right w:val="single" w:color="000000" w:sz="4" w:space="0"/>
            </w:tcBorders>
            <w:shd w:val="clear" w:color="auto" w:fill="E0C2CD"/>
          </w:tcPr>
          <w:p w:rsidR="00F95E67" w:rsidRDefault="00F95E67" w14:paraId="7F98C89A" wp14:textId="77777777">
            <w:pPr>
              <w:pStyle w:val="TableContents"/>
            </w:pPr>
            <w:r>
              <w:t>Critical stakeholders who are less influential but greatly interested. Pay attention to the frequent updates and making sure that their needs will be taken into account at any future decision.</w:t>
            </w:r>
          </w:p>
        </w:tc>
      </w:tr>
      <w:tr xmlns:wp14="http://schemas.microsoft.com/office/word/2010/wordml" w:rsidR="00000000" w14:paraId="00180BEC" wp14:textId="77777777">
        <w:tc>
          <w:tcPr>
            <w:tcW w:w="3120" w:type="dxa"/>
            <w:tcBorders>
              <w:left w:val="single" w:color="000000" w:sz="4" w:space="0"/>
              <w:bottom w:val="single" w:color="000000" w:sz="4" w:space="0"/>
            </w:tcBorders>
            <w:shd w:val="clear" w:color="auto" w:fill="BF819E"/>
          </w:tcPr>
          <w:p w:rsidR="00F95E67" w:rsidRDefault="00F95E67" w14:paraId="2C92C9B3" wp14:textId="77777777">
            <w:pPr>
              <w:pStyle w:val="TableContents"/>
            </w:pPr>
            <w:r>
              <w:t>Power / Interest</w:t>
            </w:r>
          </w:p>
        </w:tc>
        <w:tc>
          <w:tcPr>
            <w:tcW w:w="3120" w:type="dxa"/>
            <w:tcBorders>
              <w:left w:val="single" w:color="000000" w:sz="4" w:space="0"/>
              <w:bottom w:val="single" w:color="000000" w:sz="4" w:space="0"/>
            </w:tcBorders>
            <w:shd w:val="clear" w:color="auto" w:fill="BF819E"/>
          </w:tcPr>
          <w:p w:rsidR="00F95E67" w:rsidRDefault="00F95E67" w14:paraId="1A4DBF03" wp14:textId="77777777">
            <w:pPr>
              <w:pStyle w:val="TableContents"/>
            </w:pPr>
            <w:r>
              <w:t>Low Interest, High Power</w:t>
            </w:r>
          </w:p>
        </w:tc>
        <w:tc>
          <w:tcPr>
            <w:tcW w:w="3120" w:type="dxa"/>
            <w:tcBorders>
              <w:left w:val="single" w:color="000000" w:sz="4" w:space="0"/>
              <w:bottom w:val="single" w:color="000000" w:sz="4" w:space="0"/>
              <w:right w:val="single" w:color="000000" w:sz="4" w:space="0"/>
            </w:tcBorders>
            <w:shd w:val="clear" w:color="auto" w:fill="BF819E"/>
          </w:tcPr>
          <w:p w:rsidR="00F95E67" w:rsidRDefault="00F95E67" w14:paraId="2BFC97A5" wp14:textId="77777777">
            <w:pPr>
              <w:pStyle w:val="TableContents"/>
            </w:pPr>
            <w:r>
              <w:t>Low Interest, Low Power</w:t>
            </w:r>
          </w:p>
        </w:tc>
      </w:tr>
      <w:tr xmlns:wp14="http://schemas.microsoft.com/office/word/2010/wordml" w:rsidR="00000000" w14:paraId="57DE1960" wp14:textId="77777777">
        <w:tc>
          <w:tcPr>
            <w:tcW w:w="3120" w:type="dxa"/>
            <w:tcBorders>
              <w:left w:val="single" w:color="000000" w:sz="4" w:space="0"/>
              <w:bottom w:val="single" w:color="000000" w:sz="4" w:space="0"/>
            </w:tcBorders>
            <w:shd w:val="clear" w:color="auto" w:fill="E0C2CD"/>
          </w:tcPr>
          <w:p w:rsidR="00F95E67" w:rsidRDefault="00F95E67" w14:paraId="1E31C6C6" wp14:textId="77777777">
            <w:pPr>
              <w:pStyle w:val="TableContents"/>
            </w:pPr>
            <w:r>
              <w:t>Stakeholders</w:t>
            </w:r>
          </w:p>
        </w:tc>
        <w:tc>
          <w:tcPr>
            <w:tcW w:w="3120" w:type="dxa"/>
            <w:tcBorders>
              <w:left w:val="single" w:color="000000" w:sz="4" w:space="0"/>
              <w:bottom w:val="single" w:color="000000" w:sz="4" w:space="0"/>
            </w:tcBorders>
            <w:shd w:val="clear" w:color="auto" w:fill="E0C2CD"/>
          </w:tcPr>
          <w:p w:rsidR="00F95E67" w:rsidRDefault="00F95E67" w14:paraId="70573940" wp14:textId="77777777">
            <w:pPr>
              <w:pStyle w:val="TableContents"/>
            </w:pPr>
            <w:r>
              <w:t>- Regulatory Bodies</w:t>
            </w:r>
          </w:p>
        </w:tc>
        <w:tc>
          <w:tcPr>
            <w:tcW w:w="3120" w:type="dxa"/>
            <w:tcBorders>
              <w:left w:val="single" w:color="000000" w:sz="4" w:space="0"/>
              <w:bottom w:val="single" w:color="000000" w:sz="4" w:space="0"/>
              <w:right w:val="single" w:color="000000" w:sz="4" w:space="0"/>
            </w:tcBorders>
            <w:shd w:val="clear" w:color="auto" w:fill="E0C2CD"/>
          </w:tcPr>
          <w:p w:rsidR="00F95E67" w:rsidRDefault="00F95E67" w14:paraId="6A991AEF" wp14:textId="77777777">
            <w:pPr>
              <w:pStyle w:val="TableContents"/>
            </w:pPr>
            <w:r>
              <w:t>- Communities</w:t>
            </w:r>
          </w:p>
        </w:tc>
      </w:tr>
      <w:tr xmlns:wp14="http://schemas.microsoft.com/office/word/2010/wordml" w:rsidR="00000000" w14:paraId="5F8DC277" wp14:textId="77777777">
        <w:tc>
          <w:tcPr>
            <w:tcW w:w="3120" w:type="dxa"/>
            <w:tcBorders>
              <w:left w:val="single" w:color="000000" w:sz="4" w:space="0"/>
              <w:bottom w:val="single" w:color="000000" w:sz="4" w:space="0"/>
            </w:tcBorders>
            <w:shd w:val="clear" w:color="auto" w:fill="E0C2CD"/>
          </w:tcPr>
          <w:p w:rsidR="00F95E67" w:rsidRDefault="00F95E67" w14:paraId="0E27B00A" wp14:textId="77777777">
            <w:pPr>
              <w:pStyle w:val="TableContents"/>
              <w:snapToGrid w:val="0"/>
            </w:pPr>
          </w:p>
        </w:tc>
        <w:tc>
          <w:tcPr>
            <w:tcW w:w="3120" w:type="dxa"/>
            <w:tcBorders>
              <w:left w:val="single" w:color="000000" w:sz="4" w:space="0"/>
              <w:bottom w:val="single" w:color="000000" w:sz="4" w:space="0"/>
            </w:tcBorders>
            <w:shd w:val="clear" w:color="auto" w:fill="E0C2CD"/>
          </w:tcPr>
          <w:p w:rsidR="00F95E67" w:rsidRDefault="00F95E67" w14:paraId="203956BF" wp14:textId="77777777">
            <w:pPr>
              <w:pStyle w:val="TableContents"/>
            </w:pPr>
            <w:r>
              <w:t>- Board of Directors</w:t>
            </w:r>
          </w:p>
        </w:tc>
        <w:tc>
          <w:tcPr>
            <w:tcW w:w="3120" w:type="dxa"/>
            <w:tcBorders>
              <w:left w:val="single" w:color="000000" w:sz="4" w:space="0"/>
              <w:bottom w:val="single" w:color="000000" w:sz="4" w:space="0"/>
              <w:right w:val="single" w:color="000000" w:sz="4" w:space="0"/>
            </w:tcBorders>
            <w:shd w:val="clear" w:color="auto" w:fill="E0C2CD"/>
          </w:tcPr>
          <w:p w:rsidR="00F95E67" w:rsidRDefault="00F95E67" w14:paraId="6532CD8F" wp14:textId="77777777">
            <w:pPr>
              <w:pStyle w:val="TableContents"/>
            </w:pPr>
            <w:r>
              <w:t>- Suppliers</w:t>
            </w:r>
          </w:p>
        </w:tc>
      </w:tr>
      <w:tr xmlns:wp14="http://schemas.microsoft.com/office/word/2010/wordml" w:rsidR="00000000" w14:paraId="7158A645" wp14:textId="77777777">
        <w:tc>
          <w:tcPr>
            <w:tcW w:w="3120" w:type="dxa"/>
            <w:tcBorders>
              <w:left w:val="single" w:color="000000" w:sz="4" w:space="0"/>
              <w:bottom w:val="single" w:color="000000" w:sz="4" w:space="0"/>
            </w:tcBorders>
            <w:shd w:val="clear" w:color="auto" w:fill="E0C2CD"/>
          </w:tcPr>
          <w:p w:rsidR="00F95E67" w:rsidRDefault="00F95E67" w14:paraId="7C6EA56B" wp14:textId="77777777">
            <w:pPr>
              <w:pStyle w:val="TableContents"/>
            </w:pPr>
            <w:r>
              <w:t>Engagement</w:t>
            </w:r>
          </w:p>
        </w:tc>
        <w:tc>
          <w:tcPr>
            <w:tcW w:w="3120" w:type="dxa"/>
            <w:tcBorders>
              <w:left w:val="single" w:color="000000" w:sz="4" w:space="0"/>
              <w:bottom w:val="single" w:color="000000" w:sz="4" w:space="0"/>
            </w:tcBorders>
            <w:shd w:val="clear" w:color="auto" w:fill="E0C2CD"/>
          </w:tcPr>
          <w:p w:rsidR="00F95E67" w:rsidRDefault="00F95E67" w14:paraId="1CE07165" wp14:textId="77777777">
            <w:pPr>
              <w:pStyle w:val="TableContents"/>
            </w:pPr>
            <w:r>
              <w:t>Make these stakeholders pleased with specific communication to keep them supportive to ensure that they are compliant and contribute with money.</w:t>
            </w:r>
          </w:p>
        </w:tc>
        <w:tc>
          <w:tcPr>
            <w:tcW w:w="3120" w:type="dxa"/>
            <w:tcBorders>
              <w:left w:val="single" w:color="000000" w:sz="4" w:space="0"/>
              <w:bottom w:val="single" w:color="000000" w:sz="4" w:space="0"/>
              <w:right w:val="single" w:color="000000" w:sz="4" w:space="0"/>
            </w:tcBorders>
            <w:shd w:val="clear" w:color="auto" w:fill="E0C2CD"/>
          </w:tcPr>
          <w:p w:rsidR="00F95E67" w:rsidRDefault="00F95E67" w14:paraId="66E5D764" wp14:textId="77777777">
            <w:pPr>
              <w:pStyle w:val="TableContents"/>
            </w:pPr>
            <w:r>
              <w:t>Keep track and report progress on the project; such stakeholders do not directly participate in the project, but they are affected by the results of the project.</w:t>
            </w:r>
          </w:p>
        </w:tc>
      </w:tr>
    </w:tbl>
    <w:p xmlns:wp14="http://schemas.microsoft.com/office/word/2010/wordml" w:rsidR="00F95E67" w:rsidRDefault="00F95E67" w14:paraId="2F31FE58" wp14:textId="77777777">
      <w:pPr>
        <w:pStyle w:val="Heading2"/>
        <w:ind w:left="0" w:firstLine="0"/>
      </w:pPr>
      <w:bookmarkStart w:name="__RefHeading___Toc4584_6490335" w:id="9"/>
      <w:bookmarkEnd w:id="9"/>
      <w:r>
        <w:t>Engagement Plans</w:t>
      </w:r>
    </w:p>
    <w:p xmlns:wp14="http://schemas.microsoft.com/office/word/2010/wordml" w:rsidR="00F95E67" w:rsidRDefault="00F95E67" w14:paraId="7EB43C49" wp14:textId="77777777">
      <w:r>
        <w:t>The communicating process with each of the stakeholder groups and being a part of them is unique. The commitment plans of every section of stakeholders are as follows:</w:t>
      </w:r>
    </w:p>
    <w:p xmlns:wp14="http://schemas.microsoft.com/office/word/2010/wordml" w:rsidR="00F95E67" w:rsidRDefault="00F95E67" w14:paraId="031A4463" wp14:textId="77777777">
      <w:r>
        <w:t xml:space="preserve">1. </w:t>
      </w:r>
      <w:r>
        <w:rPr>
          <w:b/>
          <w:bCs/>
        </w:rPr>
        <w:t>Product</w:t>
      </w:r>
      <w:r>
        <w:t xml:space="preserve"> </w:t>
      </w:r>
      <w:r>
        <w:rPr>
          <w:b/>
          <w:bCs/>
        </w:rPr>
        <w:t>Development</w:t>
      </w:r>
      <w:r>
        <w:t xml:space="preserve"> </w:t>
      </w:r>
      <w:r>
        <w:rPr>
          <w:b/>
          <w:bCs/>
        </w:rPr>
        <w:t>Team</w:t>
      </w:r>
    </w:p>
    <w:p xmlns:wp14="http://schemas.microsoft.com/office/word/2010/wordml" w:rsidR="00F95E67" w:rsidRDefault="00F95E67" w14:paraId="427C2793" wp14:textId="77777777">
      <w:pPr>
        <w:numPr>
          <w:ilvl w:val="0"/>
          <w:numId w:val="7"/>
        </w:numPr>
      </w:pPr>
      <w:r>
        <w:t>Interaction: Weekly meetings and design meetings and milestones updates. Good falafel: It is good to assure that the expectations and feedback loops are well understood and have to be discussed at an earlier stage in case of design or technical problems.</w:t>
      </w:r>
    </w:p>
    <w:p xmlns:wp14="http://schemas.microsoft.com/office/word/2010/wordml" w:rsidR="00F95E67" w:rsidRDefault="00F95E67" w14:paraId="38D054B5" wp14:textId="77777777">
      <w:pPr>
        <w:numPr>
          <w:ilvl w:val="0"/>
          <w:numId w:val="7"/>
        </w:numPr>
      </w:pPr>
      <w:r>
        <w:t>Communication Tools: Project management software (i.e. Jira, Trello), face-to-face meetings, and emailing (Prestinoni, 2026).</w:t>
      </w:r>
    </w:p>
    <w:p xmlns:wp14="http://schemas.microsoft.com/office/word/2010/wordml" w:rsidR="00F95E67" w:rsidRDefault="00F95E67" w14:paraId="1CB8E5E1" wp14:textId="77777777">
      <w:r>
        <w:t xml:space="preserve">2. </w:t>
      </w:r>
      <w:r>
        <w:rPr>
          <w:b/>
          <w:bCs/>
        </w:rPr>
        <w:t>Marketing</w:t>
      </w:r>
      <w:r>
        <w:t xml:space="preserve"> </w:t>
      </w:r>
      <w:r>
        <w:rPr>
          <w:b/>
          <w:bCs/>
        </w:rPr>
        <w:t>Team</w:t>
      </w:r>
    </w:p>
    <w:p xmlns:wp14="http://schemas.microsoft.com/office/word/2010/wordml" w:rsidR="00F95E67" w:rsidRDefault="00F95E67" w14:paraId="414E640F" wp14:textId="77777777">
      <w:pPr>
        <w:numPr>
          <w:ilvl w:val="0"/>
          <w:numId w:val="7"/>
        </w:numPr>
      </w:pPr>
      <w:r>
        <w:t>Engagement: It is advisable to involve marketing earlier parts of the product development in such a way that the product difference points served as an integration with the marketing messages. Introducing periodic changes to allow the campaign to be aligned to the product features.</w:t>
      </w:r>
    </w:p>
    <w:p xmlns:wp14="http://schemas.microsoft.com/office/word/2010/wordml" w:rsidR="00F95E67" w:rsidRDefault="00F95E67" w14:paraId="2885C767" wp14:textId="77777777">
      <w:pPr>
        <w:numPr>
          <w:ilvl w:val="0"/>
          <w:numId w:val="7"/>
        </w:numPr>
      </w:pPr>
      <w:r>
        <w:t>Communication Tools: Meeting every month to discuss the progress report, work on marketing materials, and always get feedback on the product development.</w:t>
      </w:r>
    </w:p>
    <w:p xmlns:wp14="http://schemas.microsoft.com/office/word/2010/wordml" w:rsidR="00F95E67" w:rsidRDefault="00F95E67" w14:paraId="483B3378" wp14:textId="77777777">
      <w:r>
        <w:t xml:space="preserve">3. </w:t>
      </w:r>
      <w:r>
        <w:rPr>
          <w:b/>
          <w:bCs/>
        </w:rPr>
        <w:t>Sales</w:t>
      </w:r>
      <w:r>
        <w:t xml:space="preserve"> </w:t>
      </w:r>
      <w:r>
        <w:rPr>
          <w:b/>
          <w:bCs/>
        </w:rPr>
        <w:t>Team</w:t>
      </w:r>
    </w:p>
    <w:p xmlns:wp14="http://schemas.microsoft.com/office/word/2010/wordml" w:rsidR="00F95E67" w:rsidRDefault="00F95E67" w14:paraId="6B822ECB" wp14:textId="77777777">
      <w:pPr>
        <w:numPr>
          <w:ilvl w:val="0"/>
          <w:numId w:val="7"/>
        </w:numPr>
      </w:pPr>
      <w:r>
        <w:t>Interaction Sales should be informed about the changes on the products and prices so that they could get ready to approach customers. They should also provide feedback of consumers whose comments can identify product features (Petkovic et al., 2023).</w:t>
      </w:r>
    </w:p>
    <w:p xmlns:wp14="http://schemas.microsoft.com/office/word/2010/wordml" w:rsidR="00F95E67" w:rsidRDefault="00F95E67" w14:paraId="277D1767" wp14:textId="77777777">
      <w:pPr>
        <w:numPr>
          <w:ilvl w:val="0"/>
          <w:numId w:val="7"/>
        </w:numPr>
      </w:pPr>
      <w:r>
        <w:t>Communication Techniques Sales weekly Sales meetings, CRM systems (e.g. Salesforce), product demonstrations.</w:t>
      </w:r>
    </w:p>
    <w:p xmlns:wp14="http://schemas.microsoft.com/office/word/2010/wordml" w:rsidR="00F95E67" w:rsidRDefault="00F95E67" w14:paraId="5C958D53" wp14:textId="77777777">
      <w:r>
        <w:t xml:space="preserve">4. </w:t>
      </w:r>
      <w:r>
        <w:rPr>
          <w:b/>
          <w:bCs/>
        </w:rPr>
        <w:t>Regulatory</w:t>
      </w:r>
      <w:r>
        <w:t xml:space="preserve"> </w:t>
      </w:r>
      <w:r>
        <w:rPr>
          <w:b/>
          <w:bCs/>
        </w:rPr>
        <w:t>Compliance</w:t>
      </w:r>
      <w:r>
        <w:t xml:space="preserve"> </w:t>
      </w:r>
      <w:r>
        <w:rPr>
          <w:b/>
          <w:bCs/>
        </w:rPr>
        <w:t>Team</w:t>
      </w:r>
    </w:p>
    <w:p xmlns:wp14="http://schemas.microsoft.com/office/word/2010/wordml" w:rsidR="00F95E67" w:rsidRDefault="00F95E67" w14:paraId="0AEA107B" wp14:textId="77777777">
      <w:pPr>
        <w:numPr>
          <w:ilvl w:val="0"/>
          <w:numId w:val="7"/>
        </w:numPr>
      </w:pPr>
      <w:r>
        <w:t>Involvement: This is to engage regulating team in the product testing, certification and approval. Regular assessments to demonstrate the conformity to healthcare regulations.</w:t>
      </w:r>
    </w:p>
    <w:p xmlns:wp14="http://schemas.microsoft.com/office/word/2010/wordml" w:rsidR="00F95E67" w:rsidRDefault="00F95E67" w14:paraId="2B29EC23" wp14:textId="77777777">
      <w:pPr>
        <w:numPr>
          <w:ilvl w:val="0"/>
          <w:numId w:val="7"/>
        </w:numPr>
      </w:pPr>
      <w:r>
        <w:t>Communication Tools: Weekly regulatory compliance meetings, mutual documents and mail reports (Naji et al., 2022).</w:t>
      </w:r>
    </w:p>
    <w:p xmlns:wp14="http://schemas.microsoft.com/office/word/2010/wordml" w:rsidR="00F95E67" w:rsidRDefault="00F95E67" w14:paraId="59946170" wp14:textId="77777777">
      <w:r>
        <w:t xml:space="preserve">5. </w:t>
      </w:r>
      <w:r>
        <w:rPr>
          <w:b/>
          <w:bCs/>
        </w:rPr>
        <w:t>Healthcare</w:t>
      </w:r>
      <w:r>
        <w:t xml:space="preserve"> </w:t>
      </w:r>
      <w:r>
        <w:rPr>
          <w:b/>
          <w:bCs/>
        </w:rPr>
        <w:t>Professionals</w:t>
      </w:r>
    </w:p>
    <w:p xmlns:wp14="http://schemas.microsoft.com/office/word/2010/wordml" w:rsidR="00F95E67" w:rsidRDefault="00F95E67" w14:paraId="2CD98474" wp14:textId="77777777">
      <w:pPr>
        <w:numPr>
          <w:ilvl w:val="0"/>
          <w:numId w:val="7"/>
        </w:numPr>
      </w:pPr>
      <w:r>
        <w:t>Interaction: Involvement of medical care providers in the beta testing of the product. Get their answers to the usefulness of the device in the field.</w:t>
      </w:r>
    </w:p>
    <w:p xmlns:wp14="http://schemas.microsoft.com/office/word/2010/wordml" w:rsidR="00F95E67" w:rsidRDefault="00F95E67" w14:paraId="003FE2F0" wp14:textId="77777777">
      <w:pPr>
        <w:numPr>
          <w:ilvl w:val="0"/>
          <w:numId w:val="7"/>
        </w:numPr>
      </w:pPr>
      <w:r>
        <w:t>Techniques of Communication: To communication surveys, focus group and individual interviews.</w:t>
      </w:r>
    </w:p>
    <w:p xmlns:wp14="http://schemas.microsoft.com/office/word/2010/wordml" w:rsidR="00F95E67" w:rsidRDefault="00F95E67" w14:paraId="52AD18F6" wp14:textId="77777777">
      <w:r>
        <w:t xml:space="preserve">6. </w:t>
      </w:r>
      <w:r>
        <w:rPr>
          <w:b/>
          <w:bCs/>
        </w:rPr>
        <w:t>Suppliers</w:t>
      </w:r>
    </w:p>
    <w:p xmlns:wp14="http://schemas.microsoft.com/office/word/2010/wordml" w:rsidR="00F95E67" w:rsidRDefault="00F95E67" w14:paraId="73DEF27B" wp14:textId="77777777">
      <w:pPr>
        <w:numPr>
          <w:ilvl w:val="0"/>
          <w:numId w:val="7"/>
        </w:numPr>
      </w:pPr>
      <w:r>
        <w:t>Interaction: stay in touch with one another so that components could be provided in due time. Regular reports regarding the progress of creating schedules, quality control, and the potential changes of product characteristics.</w:t>
      </w:r>
    </w:p>
    <w:p xmlns:wp14="http://schemas.microsoft.com/office/word/2010/wordml" w:rsidR="00F95E67" w:rsidRDefault="00F95E67" w14:paraId="40350ED0" wp14:textId="77777777">
      <w:r>
        <w:t>Communication Media: Supplier management and monthly check-in, e-mail.</w:t>
      </w:r>
    </w:p>
    <w:p xmlns:wp14="http://schemas.microsoft.com/office/word/2010/wordml" w:rsidR="00F95E67" w:rsidRDefault="00F95E67" w14:paraId="32C93419" wp14:textId="77777777">
      <w:r>
        <w:t xml:space="preserve">7. </w:t>
      </w:r>
      <w:r>
        <w:rPr>
          <w:b/>
          <w:bCs/>
        </w:rPr>
        <w:t>Board</w:t>
      </w:r>
      <w:r>
        <w:t xml:space="preserve"> </w:t>
      </w:r>
      <w:r>
        <w:rPr>
          <w:b/>
          <w:bCs/>
        </w:rPr>
        <w:t>of</w:t>
      </w:r>
      <w:r>
        <w:t xml:space="preserve"> </w:t>
      </w:r>
      <w:r>
        <w:rPr>
          <w:b/>
          <w:bCs/>
        </w:rPr>
        <w:t>Directors</w:t>
      </w:r>
    </w:p>
    <w:p xmlns:wp14="http://schemas.microsoft.com/office/word/2010/wordml" w:rsidR="00F95E67" w:rsidRDefault="00F95E67" w14:paraId="58A7F13B" wp14:textId="77777777">
      <w:pPr>
        <w:numPr>
          <w:ilvl w:val="0"/>
          <w:numId w:val="7"/>
        </w:numPr>
      </w:pPr>
      <w:r>
        <w:t>Responsiveness: Exchange top of program, provides updates covering the progress on the project, product launching, positioning patterns of the product. Ensure that the progress is on schedule with the strategic objective and receive feedback on progress.</w:t>
      </w:r>
    </w:p>
    <w:p xmlns:wp14="http://schemas.microsoft.com/office/word/2010/wordml" w:rsidR="00F95E67" w:rsidRDefault="00F95E67" w14:paraId="592FF164" wp14:textId="77777777">
      <w:pPr>
        <w:numPr>
          <w:ilvl w:val="0"/>
          <w:numId w:val="7"/>
        </w:numPr>
      </w:pPr>
      <w:r>
        <w:t>Techniques of Communication: quarterly board meetings, project report and financial performance review.</w:t>
      </w:r>
    </w:p>
    <w:p xmlns:wp14="http://schemas.microsoft.com/office/word/2010/wordml" w:rsidR="00F95E67" w:rsidRDefault="00F95E67" w14:paraId="49AB2BC0" wp14:textId="77777777">
      <w:r>
        <w:t xml:space="preserve">8. </w:t>
      </w:r>
      <w:r>
        <w:rPr>
          <w:b/>
          <w:bCs/>
        </w:rPr>
        <w:t>Customers</w:t>
      </w:r>
    </w:p>
    <w:p xmlns:wp14="http://schemas.microsoft.com/office/word/2010/wordml" w:rsidR="00F95E67" w:rsidRDefault="00F95E67" w14:paraId="736ADC61" wp14:textId="77777777">
      <w:pPr>
        <w:numPr>
          <w:ilvl w:val="0"/>
          <w:numId w:val="7"/>
        </w:numPr>
      </w:pPr>
      <w:r>
        <w:t xml:space="preserve">Involvement: Continue the communication with the customers with the assistance of the marketing campaign, survey about the feedbacks of the users, and the demonstration of the products. Customer intelligence based on analysis of the product and marketing strategy (Miller et al., 2025). </w:t>
      </w:r>
    </w:p>
    <w:p xmlns:wp14="http://schemas.microsoft.com/office/word/2010/wordml" w:rsidR="00F95E67" w:rsidRDefault="00F95E67" w14:paraId="3164FD8C" wp14:textId="77777777">
      <w:pPr>
        <w:numPr>
          <w:ilvl w:val="0"/>
          <w:numId w:val="7"/>
        </w:numPr>
      </w:pPr>
      <w:r>
        <w:t>Communication Tools: The communication tools are email campaign, social media and the customer care channels.</w:t>
      </w:r>
    </w:p>
    <w:p xmlns:wp14="http://schemas.microsoft.com/office/word/2010/wordml" w:rsidR="00F95E67" w:rsidRDefault="00F95E67" w14:paraId="0BF2B55E" wp14:textId="77777777">
      <w:r>
        <w:t>With this kind of engagement styles and pattern, Owen Mumford could rest with the confidence that all will be served effectively and the project would succeed with the effective launching of the product and good stakeholders relations.</w:t>
      </w:r>
    </w:p>
    <w:p xmlns:wp14="http://schemas.microsoft.com/office/word/2010/wordml" w:rsidR="00F95E67" w:rsidRDefault="00F95E67" w14:paraId="201AB4D3" wp14:textId="77777777">
      <w:pPr>
        <w:pStyle w:val="Heading1"/>
        <w:ind w:left="0" w:firstLine="0"/>
      </w:pPr>
      <w:bookmarkStart w:name="__RefHeading___Toc4586_6490335" w:id="10"/>
      <w:bookmarkEnd w:id="10"/>
      <w:r>
        <w:t xml:space="preserve">Roles of the Project Manager in Engaging Stakeholders </w:t>
      </w:r>
    </w:p>
    <w:p xmlns:wp14="http://schemas.microsoft.com/office/word/2010/wordml" w:rsidR="00F95E67" w:rsidRDefault="00F95E67" w14:paraId="2C75D052" wp14:textId="77777777">
      <w:pPr>
        <w:pStyle w:val="Heading2"/>
        <w:ind w:left="0" w:firstLine="0"/>
      </w:pPr>
      <w:bookmarkStart w:name="__RefHeading___Toc4588_6490335" w:id="11"/>
      <w:bookmarkEnd w:id="11"/>
      <w:r>
        <w:t>Engagement Process</w:t>
      </w:r>
    </w:p>
    <w:p xmlns:wp14="http://schemas.microsoft.com/office/word/2010/wordml" w:rsidR="00F95E67" w:rsidRDefault="00F95E67" w14:paraId="30753A39" wp14:textId="77777777">
      <w:pPr>
        <w:rPr>
          <w:i/>
          <w:iCs/>
          <w:szCs w:val="24"/>
        </w:rPr>
      </w:pPr>
      <w:r>
        <w:t>Being a project manager, the one tasked with launching a wearable health manufacturing undertaking by Owen Mumford must be upfront in ensuring that all the stakeholders are properly engaged throughout the project. This engagement process is to facilitate the establishment of teamwork, open communication, and coordination of all the departments with a single purpose.</w:t>
      </w:r>
    </w:p>
    <w:p xmlns:wp14="http://schemas.microsoft.com/office/word/2010/wordml" w:rsidR="00F95E67" w:rsidRDefault="00F95E67" w14:paraId="51BAFF4F" wp14:textId="77777777">
      <w:pPr>
        <w:pStyle w:val="Heading3"/>
        <w:ind w:left="0" w:firstLine="0"/>
      </w:pPr>
      <w:bookmarkStart w:name="__RefHeading___Toc4590_6490335" w:id="12"/>
      <w:bookmarkEnd w:id="12"/>
      <w:r>
        <w:rPr>
          <w:rFonts w:ascii="Times New Roman" w:hAnsi="Times New Roman" w:cs="Times New Roman"/>
          <w:i/>
          <w:iCs/>
          <w:sz w:val="24"/>
          <w:szCs w:val="24"/>
        </w:rPr>
        <w:t>Internal Stakeholder Engagement</w:t>
      </w:r>
    </w:p>
    <w:p xmlns:wp14="http://schemas.microsoft.com/office/word/2010/wordml" w:rsidR="00F95E67" w:rsidRDefault="00F95E67" w14:paraId="76F56641" wp14:textId="77777777">
      <w:pPr>
        <w:numPr>
          <w:ilvl w:val="0"/>
          <w:numId w:val="8"/>
        </w:numPr>
        <w:rPr>
          <w:b/>
          <w:bCs/>
        </w:rPr>
      </w:pPr>
      <w:r>
        <w:rPr>
          <w:b/>
          <w:bCs/>
        </w:rPr>
        <w:t>Product</w:t>
      </w:r>
      <w:r>
        <w:t xml:space="preserve"> </w:t>
      </w:r>
      <w:r>
        <w:rPr>
          <w:b/>
          <w:bCs/>
        </w:rPr>
        <w:t>Development</w:t>
      </w:r>
      <w:r>
        <w:t xml:space="preserve"> </w:t>
      </w:r>
      <w:r>
        <w:rPr>
          <w:b/>
          <w:bCs/>
        </w:rPr>
        <w:t>Team</w:t>
      </w:r>
      <w:r>
        <w:t>: The project manager is expected to be closely involved with the product development team, and ensure that they are in line with the marketing strategy and consumer needs. The progress should be monitored with scheduled meetings every week, design reviews, and updates on any milestones that occur, should be used to overcome any emerging development challenges (Lodewyk et al., 2025). It is important to include them in developing the product since the product development team is the one to t</w:t>
      </w:r>
      <w:r>
        <w:t>ranslate the needs of the customers into a clear product that will be used.</w:t>
      </w:r>
    </w:p>
    <w:p xmlns:wp14="http://schemas.microsoft.com/office/word/2010/wordml" w:rsidR="00F95E67" w:rsidRDefault="00F95E67" w14:paraId="48C60964" wp14:textId="77777777">
      <w:pPr>
        <w:numPr>
          <w:ilvl w:val="0"/>
          <w:numId w:val="8"/>
        </w:numPr>
        <w:rPr>
          <w:b/>
          <w:bCs/>
        </w:rPr>
      </w:pPr>
      <w:r>
        <w:rPr>
          <w:b/>
          <w:bCs/>
        </w:rPr>
        <w:t>Marketing</w:t>
      </w:r>
      <w:r>
        <w:t xml:space="preserve"> </w:t>
      </w:r>
      <w:r>
        <w:rPr>
          <w:b/>
          <w:bCs/>
        </w:rPr>
        <w:t>Team</w:t>
      </w:r>
      <w:r>
        <w:t>: The marketing team will be required to work harmoniously to present the features of the product, their benefits as well as value propositions in an effective manner. The product development and the marketing are the areas of communication with the project manager, where the product development is aligned to the positioning of the brand and the market demand. There will be the need of feedback loops on a regular basis to keep the two teams on track (Ferreira et al., 2024).</w:t>
      </w:r>
    </w:p>
    <w:p xmlns:wp14="http://schemas.microsoft.com/office/word/2010/wordml" w:rsidR="00F95E67" w:rsidRDefault="00F95E67" w14:paraId="2C3ABC71" wp14:textId="77777777">
      <w:pPr>
        <w:numPr>
          <w:ilvl w:val="0"/>
          <w:numId w:val="8"/>
        </w:numPr>
        <w:rPr>
          <w:rFonts w:eastAsia="Droid Sans"/>
          <w:i/>
          <w:iCs/>
          <w:szCs w:val="24"/>
        </w:rPr>
      </w:pPr>
      <w:r>
        <w:rPr>
          <w:b/>
          <w:bCs/>
        </w:rPr>
        <w:t>Sales</w:t>
      </w:r>
      <w:r>
        <w:t xml:space="preserve"> </w:t>
      </w:r>
      <w:r>
        <w:rPr>
          <w:b/>
          <w:bCs/>
        </w:rPr>
        <w:t>Team</w:t>
      </w:r>
      <w:r>
        <w:t>:</w:t>
      </w:r>
      <w:r>
        <w:t xml:space="preserve"> The sales division will be responsible in driving the product in the market. The project manager ought to keep the sales team updated in respect of product requirements, launching time, and promotions of any kind. It will also involve the sales team in ensuring that they are well equipped to sell the product to the customers and they can provide good feedback on the possible changes in the product.</w:t>
      </w:r>
    </w:p>
    <w:p xmlns:wp14="http://schemas.microsoft.com/office/word/2010/wordml" w:rsidR="00F95E67" w:rsidRDefault="00F95E67" w14:paraId="5859F515" wp14:textId="77777777">
      <w:pPr>
        <w:pStyle w:val="Heading3"/>
        <w:ind w:left="0" w:firstLine="0"/>
      </w:pPr>
      <w:bookmarkStart w:name="__RefHeading___Toc4592_6490335" w:id="13"/>
      <w:bookmarkEnd w:id="13"/>
      <w:r>
        <w:rPr>
          <w:rFonts w:ascii="Times New Roman" w:hAnsi="Times New Roman" w:cs="Times New Roman"/>
          <w:i/>
          <w:iCs/>
          <w:sz w:val="24"/>
          <w:szCs w:val="24"/>
        </w:rPr>
        <w:t>External Stakeholder Engagement</w:t>
      </w:r>
    </w:p>
    <w:p xmlns:wp14="http://schemas.microsoft.com/office/word/2010/wordml" w:rsidR="00F95E67" w:rsidRDefault="00F95E67" w14:paraId="1E136C54" wp14:textId="77777777">
      <w:pPr>
        <w:numPr>
          <w:ilvl w:val="0"/>
          <w:numId w:val="9"/>
        </w:numPr>
        <w:rPr>
          <w:b/>
          <w:bCs/>
        </w:rPr>
      </w:pPr>
      <w:r>
        <w:rPr>
          <w:b/>
          <w:bCs/>
        </w:rPr>
        <w:t>Healthcare</w:t>
      </w:r>
      <w:r>
        <w:t xml:space="preserve"> </w:t>
      </w:r>
      <w:r>
        <w:rPr>
          <w:b/>
          <w:bCs/>
        </w:rPr>
        <w:t>Professionals</w:t>
      </w:r>
      <w:r>
        <w:t>: The professionals to be involved in the project will be highly needed during the beta testing and validation stage (De Sario Velasquez et al., 2024). The project manager will ensure that his or her feedback of effectiveness as well as usability of the device and its clinical relevancy will be gathered and incorporated in the product development process. This team will play a crucial role in supporting a product that would highlight clinical standards and building of trust within medical frat</w:t>
      </w:r>
      <w:r>
        <w:t>ernity.</w:t>
      </w:r>
    </w:p>
    <w:p xmlns:wp14="http://schemas.microsoft.com/office/word/2010/wordml" w:rsidR="00F95E67" w:rsidRDefault="00F95E67" w14:paraId="63CB328A" wp14:textId="77777777">
      <w:pPr>
        <w:numPr>
          <w:ilvl w:val="0"/>
          <w:numId w:val="9"/>
        </w:numPr>
        <w:rPr>
          <w:b/>
          <w:bCs/>
        </w:rPr>
      </w:pPr>
      <w:r>
        <w:rPr>
          <w:b/>
          <w:bCs/>
        </w:rPr>
        <w:t>Suppliers</w:t>
      </w:r>
      <w:r>
        <w:t xml:space="preserve">: The other stakeholders that are important include the suppliers as they provide the raw material, the elements and technologies that are required in the manufacture of the wearable device. Regular communication with the suppliers should always be done to ensure that quality supplies are received at the right time (Daniore et al., 2024). The project manager will be required to commit suppliers to follow up on the production timeline, rectify any issue relating to the unavailability of materials or delays, </w:t>
      </w:r>
      <w:r>
        <w:t>and also offer high level of quality at any moment.</w:t>
      </w:r>
    </w:p>
    <w:p xmlns:wp14="http://schemas.microsoft.com/office/word/2010/wordml" w:rsidR="00F95E67" w:rsidRDefault="00F95E67" w14:paraId="1A186802" wp14:textId="77777777">
      <w:pPr>
        <w:numPr>
          <w:ilvl w:val="0"/>
          <w:numId w:val="9"/>
        </w:numPr>
      </w:pPr>
      <w:r>
        <w:rPr>
          <w:b/>
          <w:bCs/>
        </w:rPr>
        <w:t>Regulatory</w:t>
      </w:r>
      <w:r>
        <w:t xml:space="preserve"> </w:t>
      </w:r>
      <w:r>
        <w:rPr>
          <w:b/>
          <w:bCs/>
        </w:rPr>
        <w:t>Bodies</w:t>
      </w:r>
      <w:r>
        <w:t>: It is also necessary to address the regulatory bodies such as the MHRA (Medicines and Healthcare products Regulatory Agency) that will transfer the product into being regulated in accordance to the needed required regulation. The compliance team alongside external regulation professionals will work closely with the project manager in ensuring that the certification and approval of the product procedures take place. This will ensure that the product is well marketed as per the law and safe to be use</w:t>
      </w:r>
      <w:r>
        <w:t>d by consumers.</w:t>
      </w:r>
    </w:p>
    <w:p xmlns:wp14="http://schemas.microsoft.com/office/word/2010/wordml" w:rsidR="00F95E67" w:rsidRDefault="00F95E67" w14:paraId="16A8CC8B" wp14:textId="77777777">
      <w:pPr>
        <w:pStyle w:val="Heading2"/>
        <w:ind w:left="0" w:firstLine="0"/>
      </w:pPr>
      <w:bookmarkStart w:name="__RefHeading___Toc4594_6490335" w:id="14"/>
      <w:bookmarkEnd w:id="14"/>
      <w:r>
        <w:t>Managing Conflicts</w:t>
      </w:r>
    </w:p>
    <w:p xmlns:wp14="http://schemas.microsoft.com/office/word/2010/wordml" w:rsidR="00F95E67" w:rsidRDefault="00F95E67" w14:paraId="12322F03" wp14:textId="77777777">
      <w:r>
        <w:t>The process of conflict management is going to be emphasized upon the Model of 4C (Communication, Coordination, Cooperation and Collaboration):</w:t>
      </w:r>
    </w:p>
    <w:p xmlns:wp14="http://schemas.microsoft.com/office/word/2010/wordml" w:rsidR="00F95E67" w:rsidRDefault="00F95E67" w14:paraId="42E5FB83" wp14:textId="77777777">
      <w:pPr>
        <w:pStyle w:val="Table"/>
        <w:keepNext/>
        <w:jc w:val="center"/>
      </w:pPr>
      <w:r>
        <w:t xml:space="preserve">Table </w:t>
      </w:r>
      <w:r>
        <w:fldChar w:fldCharType="begin"/>
      </w:r>
      <w:r>
        <w:instrText xml:space="preserve"> SEQ "Table" \* ARABIC </w:instrText>
      </w:r>
      <w:r>
        <w:fldChar w:fldCharType="separate"/>
      </w:r>
      <w:r>
        <w:t>3</w:t>
      </w:r>
      <w:r>
        <w:fldChar w:fldCharType="end"/>
      </w:r>
      <w:r>
        <w:t>: 4C Model</w:t>
      </w:r>
    </w:p>
    <w:tbl>
      <w:tblPr>
        <w:tblW w:w="5000" w:type="pct"/>
        <w:tblInd w:w="55" w:type="dxa"/>
        <w:tblLayout w:type="fixed"/>
        <w:tblCellMar>
          <w:top w:w="55" w:type="dxa"/>
          <w:left w:w="55" w:type="dxa"/>
          <w:bottom w:w="55" w:type="dxa"/>
          <w:right w:w="55" w:type="dxa"/>
        </w:tblCellMar>
        <w:tblLook w:val="0000" w:firstRow="0" w:lastRow="0" w:firstColumn="0" w:lastColumn="0" w:noHBand="0" w:noVBand="0"/>
      </w:tblPr>
      <w:tblGrid>
        <w:gridCol w:w="1678"/>
        <w:gridCol w:w="7672"/>
      </w:tblGrid>
      <w:tr xmlns:wp14="http://schemas.microsoft.com/office/word/2010/wordml" w:rsidR="00000000" w14:paraId="186F863D" wp14:textId="77777777">
        <w:tc>
          <w:tcPr>
            <w:tcW w:w="1680" w:type="dxa"/>
            <w:tcBorders>
              <w:top w:val="single" w:color="000000" w:sz="4" w:space="0"/>
              <w:left w:val="single" w:color="000000" w:sz="4" w:space="0"/>
              <w:bottom w:val="single" w:color="000000" w:sz="4" w:space="0"/>
            </w:tcBorders>
            <w:shd w:val="clear" w:color="auto" w:fill="B4C7DC"/>
          </w:tcPr>
          <w:p w:rsidR="00F95E67" w:rsidRDefault="00F95E67" w14:paraId="3CACDAF6" wp14:textId="77777777">
            <w:r>
              <w:t>Communication</w:t>
            </w:r>
          </w:p>
        </w:tc>
        <w:tc>
          <w:tcPr>
            <w:tcW w:w="7680" w:type="dxa"/>
            <w:tcBorders>
              <w:top w:val="single" w:color="000000" w:sz="4" w:space="0"/>
              <w:left w:val="single" w:color="000000" w:sz="4" w:space="0"/>
              <w:bottom w:val="single" w:color="000000" w:sz="4" w:space="0"/>
              <w:right w:val="single" w:color="000000" w:sz="4" w:space="0"/>
            </w:tcBorders>
            <w:shd w:val="clear" w:color="auto" w:fill="DEE6EF"/>
          </w:tcPr>
          <w:p w:rsidR="00F95E67" w:rsidRDefault="00F95E67" w14:paraId="560D8094" wp14:textId="77777777">
            <w:r>
              <w:t xml:space="preserve">The project manager should ensure that there is openness and transparency of communication lines and they should be available to all the stakeholders. It will regularly update the stakeholders to make them informed to reduce confusion and the probability of the conflict to occur. </w:t>
            </w:r>
          </w:p>
        </w:tc>
      </w:tr>
      <w:tr xmlns:wp14="http://schemas.microsoft.com/office/word/2010/wordml" w:rsidR="00000000" w14:paraId="61520DF9" wp14:textId="77777777">
        <w:tc>
          <w:tcPr>
            <w:tcW w:w="1680" w:type="dxa"/>
            <w:tcBorders>
              <w:left w:val="single" w:color="000000" w:sz="4" w:space="0"/>
              <w:bottom w:val="single" w:color="000000" w:sz="4" w:space="0"/>
            </w:tcBorders>
            <w:shd w:val="clear" w:color="auto" w:fill="B4C7DC"/>
          </w:tcPr>
          <w:p w:rsidR="00F95E67" w:rsidRDefault="00F95E67" w14:paraId="71744DF6" wp14:textId="77777777">
            <w:r>
              <w:t>Coordination</w:t>
            </w:r>
          </w:p>
        </w:tc>
        <w:tc>
          <w:tcPr>
            <w:tcW w:w="7680" w:type="dxa"/>
            <w:tcBorders>
              <w:left w:val="single" w:color="000000" w:sz="4" w:space="0"/>
              <w:bottom w:val="single" w:color="000000" w:sz="4" w:space="0"/>
              <w:right w:val="single" w:color="000000" w:sz="4" w:space="0"/>
            </w:tcBorders>
            <w:shd w:val="clear" w:color="auto" w:fill="DEE6EF"/>
          </w:tcPr>
          <w:p w:rsidR="00F95E67" w:rsidRDefault="00F95E67" w14:paraId="3B531F9E" wp14:textId="77777777">
            <w:r>
              <w:t>Co-ordination between teams is required to make the project implementation process an easy one. The project manager will make sure that the efforts of the different teams (e.g. product development, marketing and sales) are synchronized and that interdependence is managed (Alzghaibi, 2025).</w:t>
            </w:r>
          </w:p>
        </w:tc>
      </w:tr>
      <w:tr xmlns:wp14="http://schemas.microsoft.com/office/word/2010/wordml" w:rsidR="00000000" w14:paraId="61A3F8E6" wp14:textId="77777777">
        <w:tc>
          <w:tcPr>
            <w:tcW w:w="1680" w:type="dxa"/>
            <w:tcBorders>
              <w:left w:val="single" w:color="000000" w:sz="4" w:space="0"/>
              <w:bottom w:val="single" w:color="000000" w:sz="4" w:space="0"/>
            </w:tcBorders>
            <w:shd w:val="clear" w:color="auto" w:fill="B4C7DC"/>
          </w:tcPr>
          <w:p w:rsidR="00F95E67" w:rsidRDefault="00F95E67" w14:paraId="759B162B" wp14:textId="77777777">
            <w:r>
              <w:t>Cooperation</w:t>
            </w:r>
          </w:p>
        </w:tc>
        <w:tc>
          <w:tcPr>
            <w:tcW w:w="7680" w:type="dxa"/>
            <w:tcBorders>
              <w:left w:val="single" w:color="000000" w:sz="4" w:space="0"/>
              <w:bottom w:val="single" w:color="000000" w:sz="4" w:space="0"/>
              <w:right w:val="single" w:color="000000" w:sz="4" w:space="0"/>
            </w:tcBorders>
            <w:shd w:val="clear" w:color="auto" w:fill="DEE6EF"/>
          </w:tcPr>
          <w:p w:rsidR="00F95E67" w:rsidRDefault="00F95E67" w14:paraId="1EDA79A5" wp14:textId="77777777">
            <w:r>
              <w:t xml:space="preserve">Encouraging the teams to cooperate especially when resolving a conflict will help in getting a single way. The project manager would also arbitrately have to decide on the product development team and the regulatory compliance team in the event of differences in the terms of product features and regulatory requirements. </w:t>
            </w:r>
          </w:p>
        </w:tc>
      </w:tr>
      <w:tr xmlns:wp14="http://schemas.microsoft.com/office/word/2010/wordml" w:rsidR="00000000" w14:paraId="15518683" wp14:textId="77777777">
        <w:tc>
          <w:tcPr>
            <w:tcW w:w="1680" w:type="dxa"/>
            <w:tcBorders>
              <w:left w:val="single" w:color="000000" w:sz="4" w:space="0"/>
              <w:bottom w:val="single" w:color="000000" w:sz="4" w:space="0"/>
            </w:tcBorders>
            <w:shd w:val="clear" w:color="auto" w:fill="B4C7DC"/>
          </w:tcPr>
          <w:p w:rsidR="00F95E67" w:rsidRDefault="00F95E67" w14:paraId="603E60BC" wp14:textId="77777777">
            <w:r>
              <w:t>Cooperation</w:t>
            </w:r>
          </w:p>
        </w:tc>
        <w:tc>
          <w:tcPr>
            <w:tcW w:w="7680" w:type="dxa"/>
            <w:tcBorders>
              <w:left w:val="single" w:color="000000" w:sz="4" w:space="0"/>
              <w:bottom w:val="single" w:color="000000" w:sz="4" w:space="0"/>
              <w:right w:val="single" w:color="000000" w:sz="4" w:space="0"/>
            </w:tcBorders>
            <w:shd w:val="clear" w:color="auto" w:fill="DEE6EF"/>
          </w:tcPr>
          <w:p w:rsidR="00F95E67" w:rsidRDefault="00F95E67" w14:paraId="50729C0A" wp14:textId="77777777">
            <w:r>
              <w:t>The project manager facilitates a team working atmosphere whereby all the stakeholders, both external and internal, exchange ideas and provide feedback. This open-flow communication helps to resolve the potential issues early enough and all the potential perceptions are considered and the differences are resolved in a friendly manner.</w:t>
            </w:r>
          </w:p>
        </w:tc>
      </w:tr>
    </w:tbl>
    <w:p xmlns:wp14="http://schemas.microsoft.com/office/word/2010/wordml" w:rsidR="00F95E67" w:rsidRDefault="00F95E67" w14:paraId="5EAD34E0" wp14:textId="77777777">
      <w:pPr>
        <w:pStyle w:val="Heading2"/>
        <w:ind w:left="0" w:firstLine="0"/>
      </w:pPr>
      <w:bookmarkStart w:name="__RefHeading___Toc4596_6490335" w:id="15"/>
      <w:bookmarkEnd w:id="15"/>
      <w:r>
        <w:t>Communication Plan</w:t>
      </w:r>
    </w:p>
    <w:p xmlns:wp14="http://schemas.microsoft.com/office/word/2010/wordml" w:rsidR="00F95E67" w:rsidRDefault="00F95E67" w14:paraId="51D1D12B" wp14:textId="77777777">
      <w:pPr>
        <w:rPr>
          <w:b/>
          <w:bCs/>
        </w:rPr>
      </w:pPr>
      <w:r>
        <w:t>The project manager will come up with detailed line of communication project to ensure stakeholders are in the know and are created in a simplistic way.</w:t>
      </w:r>
    </w:p>
    <w:p xmlns:wp14="http://schemas.microsoft.com/office/word/2010/wordml" w:rsidR="00F95E67" w:rsidRDefault="00F95E67" w14:paraId="03CAA733" wp14:textId="77777777">
      <w:pPr>
        <w:numPr>
          <w:ilvl w:val="0"/>
          <w:numId w:val="10"/>
        </w:numPr>
        <w:rPr>
          <w:b/>
          <w:bCs/>
        </w:rPr>
      </w:pPr>
      <w:r>
        <w:rPr>
          <w:b/>
          <w:bCs/>
        </w:rPr>
        <w:t>Internal</w:t>
      </w:r>
      <w:r>
        <w:t xml:space="preserve"> </w:t>
      </w:r>
      <w:r>
        <w:rPr>
          <w:b/>
          <w:bCs/>
        </w:rPr>
        <w:t>Communication</w:t>
      </w:r>
      <w:r>
        <w:t>: product development meetings, sales meetings and intermittent marketing meetings once a week will ensure the co-ordination process in the departments. Project management software will be used to manage the deliverables and the progress (Barberato</w:t>
      </w:r>
      <w:r>
        <w:noBreakHyphen/>
        <w:t>Filho, 2023).</w:t>
      </w:r>
    </w:p>
    <w:p xmlns:wp14="http://schemas.microsoft.com/office/word/2010/wordml" w:rsidR="00F95E67" w:rsidRDefault="00F95E67" w14:paraId="0FA19896" wp14:textId="77777777">
      <w:pPr>
        <w:numPr>
          <w:ilvl w:val="0"/>
          <w:numId w:val="10"/>
        </w:numPr>
        <w:rPr>
          <w:b/>
          <w:bCs/>
        </w:rPr>
      </w:pPr>
      <w:r>
        <w:rPr>
          <w:b/>
          <w:bCs/>
        </w:rPr>
        <w:t>External</w:t>
      </w:r>
      <w:r>
        <w:t xml:space="preserve"> </w:t>
      </w:r>
      <w:r>
        <w:rPr>
          <w:b/>
          <w:bCs/>
        </w:rPr>
        <w:t>Communication</w:t>
      </w:r>
      <w:r>
        <w:t>: The suppliers and the regulatory bodies will be informed by email, customers and healthcare professionals will be informed by monthly newsletters and regular video sessions with the distributors in order to generate transparency.</w:t>
      </w:r>
    </w:p>
    <w:p xmlns:wp14="http://schemas.microsoft.com/office/word/2010/wordml" w:rsidR="00F95E67" w:rsidRDefault="00F95E67" w14:paraId="1BD4D0C8" wp14:textId="77777777">
      <w:pPr>
        <w:numPr>
          <w:ilvl w:val="0"/>
          <w:numId w:val="10"/>
        </w:numPr>
      </w:pPr>
      <w:r>
        <w:rPr>
          <w:b/>
          <w:bCs/>
        </w:rPr>
        <w:t>Feedback</w:t>
      </w:r>
      <w:r>
        <w:t xml:space="preserve"> </w:t>
      </w:r>
      <w:r>
        <w:rPr>
          <w:b/>
          <w:bCs/>
        </w:rPr>
        <w:t>Loops</w:t>
      </w:r>
      <w:r>
        <w:t>: It will be realized through carrying out surveys and focus groups of health care practitioners and users of the product to avail valuable data on the product performance and product improvement.</w:t>
      </w:r>
    </w:p>
    <w:p xmlns:wp14="http://schemas.microsoft.com/office/word/2010/wordml" w:rsidR="00F95E67" w:rsidRDefault="00F95E67" w14:paraId="5C91EFE5" wp14:textId="77777777">
      <w:pPr>
        <w:pStyle w:val="Heading1"/>
        <w:ind w:left="0" w:firstLine="0"/>
      </w:pPr>
      <w:bookmarkStart w:name="__RefHeading___Toc4598_6490335" w:id="16"/>
      <w:bookmarkEnd w:id="16"/>
      <w:r>
        <w:t xml:space="preserve">Impact of Stakeholder Engagement on Business Performance </w:t>
      </w:r>
    </w:p>
    <w:p xmlns:wp14="http://schemas.microsoft.com/office/word/2010/wordml" w:rsidR="00F95E67" w:rsidRDefault="00F95E67" w14:paraId="22B28815" wp14:textId="77777777">
      <w:r>
        <w:t>The stakeholder is an area of great influence on whole business performance of Owen Mumford, especially when it is related to a new wearable health device introduction case. The direct influence on the success of the products is the interaction with the stakeholders, the attitude towards the product in the market, the performance of sales, the brand image and the efficiency of the operation. The project manager will do so by consulting the key stakeholders in the project such as healthcare professionals, s</w:t>
      </w:r>
      <w:r>
        <w:t>uppliers, internal departments and governmental agencies to ensure that the product meets the requirement of the market and regulations and to gain a decent foundation to expand the business in long-term.</w:t>
      </w:r>
    </w:p>
    <w:p xmlns:wp14="http://schemas.microsoft.com/office/word/2010/wordml" w:rsidR="00F95E67" w:rsidRDefault="00F95E67" w14:paraId="6D294FF6" wp14:textId="77777777">
      <w:pPr>
        <w:pStyle w:val="Heading2"/>
        <w:ind w:left="0" w:firstLine="0"/>
      </w:pPr>
      <w:bookmarkStart w:name="__RefHeading___Toc4600_6490335" w:id="17"/>
      <w:bookmarkEnd w:id="17"/>
      <w:r>
        <w:t>Product Success</w:t>
      </w:r>
    </w:p>
    <w:p xmlns:wp14="http://schemas.microsoft.com/office/word/2010/wordml" w:rsidR="00F95E67" w:rsidRDefault="00F95E67" w14:paraId="5E1C8ABD" wp14:textId="77777777">
      <w:r>
        <w:t xml:space="preserve">Presence of healthcare professionals and consumers in the process of developing the product and testing it would contribute to ensuring that the wearable device will comply with the demands in real life. Regular feedback mechanism of the health workers can be used to ensure the efficacy and utility of the device and ensure that it meets the medical needs and expectations of the customers. </w:t>
      </w:r>
    </w:p>
    <w:p xmlns:wp14="http://schemas.microsoft.com/office/word/2010/wordml" w:rsidR="00F95E67" w:rsidRDefault="00F95E67" w14:paraId="3C341CDD" wp14:textId="77777777">
      <w:pPr>
        <w:pStyle w:val="Heading2"/>
        <w:ind w:left="0" w:firstLine="0"/>
      </w:pPr>
      <w:bookmarkStart w:name="__RefHeading___Toc4602_6490335" w:id="18"/>
      <w:bookmarkEnd w:id="18"/>
      <w:r>
        <w:t>Brand Reputation</w:t>
      </w:r>
    </w:p>
    <w:p xmlns:wp14="http://schemas.microsoft.com/office/word/2010/wordml" w:rsidR="00F95E67" w:rsidRDefault="00F95E67" w14:paraId="044BA4BD" wp14:textId="77777777">
      <w:r>
        <w:t>Interaction with the stakeholders also plays a central role in enhancement of a brand image. By actively incorporating external environment and engagements of suppliers, regulatory organisations and Non Governmental organisations, Owen Mumford will be able to improve its compliance levels in respect to ethical standards, sustainability and compliance (Capulli et al., 2025).  In case the product is constructed in the framework of the existing regulations and with the involvement of the known healthcare prof</w:t>
      </w:r>
      <w:r>
        <w:t>essionals, it can strengthen the image of the company as a reliable and responsible brand significantly.</w:t>
      </w:r>
    </w:p>
    <w:p xmlns:wp14="http://schemas.microsoft.com/office/word/2010/wordml" w:rsidR="00F95E67" w:rsidRDefault="00F95E67" w14:paraId="0550AA17" wp14:textId="77777777">
      <w:pPr>
        <w:pStyle w:val="Heading2"/>
        <w:ind w:left="0" w:firstLine="0"/>
      </w:pPr>
      <w:bookmarkStart w:name="__RefHeading___Toc4604_6490335" w:id="19"/>
      <w:bookmarkEnd w:id="19"/>
      <w:r>
        <w:t>Operational Efficiency</w:t>
      </w:r>
    </w:p>
    <w:p xmlns:wp14="http://schemas.microsoft.com/office/word/2010/wordml" w:rsidR="00F95E67" w:rsidRDefault="00F95E67" w14:paraId="313AA813" wp14:textId="77777777">
      <w:r>
        <w:t xml:space="preserve">Effective stakeholder involvement positively impacts working efficiency because it suggests an adequate flow of coordination of internal and external teams (e.g., product development, marketing, selling, and suppliers, or regulatory bodies). The constant communication and work lead to the identification and the addressing of the potential issues at an initial point of the process that aids in avoiding time delays and improving the time-to-market. Using the example, the materials to the suppliers delivered </w:t>
      </w:r>
      <w:r>
        <w:t>in a timely manner will be utilized to support the ensuring that the components are delivered in time and to the bodies involved that the updates will be done to avoid delays in the issuance of certifications at the last moment.</w:t>
      </w:r>
    </w:p>
    <w:p xmlns:wp14="http://schemas.microsoft.com/office/word/2010/wordml" w:rsidR="00F95E67" w:rsidRDefault="00F95E67" w14:paraId="11CCD79D" wp14:textId="77777777">
      <w:pPr>
        <w:pStyle w:val="Heading2"/>
        <w:ind w:left="0" w:firstLine="0"/>
      </w:pPr>
      <w:bookmarkStart w:name="__RefHeading___Toc4606_6490335" w:id="20"/>
      <w:bookmarkEnd w:id="20"/>
      <w:r>
        <w:t>Quantitative and Qualitative Impact</w:t>
      </w:r>
    </w:p>
    <w:p xmlns:wp14="http://schemas.microsoft.com/office/word/2010/wordml" w:rsidR="00F95E67" w:rsidRDefault="00F95E67" w14:paraId="75980E70" wp14:textId="77777777">
      <w:r>
        <w:t>Along measurable lines, those measures regarding stakeholder engagement which affect business performance include:</w:t>
      </w:r>
    </w:p>
    <w:p xmlns:wp14="http://schemas.microsoft.com/office/word/2010/wordml" w:rsidR="00F95E67" w:rsidRDefault="00F95E67" w14:paraId="138C3539" wp14:textId="77777777">
      <w:pPr>
        <w:numPr>
          <w:ilvl w:val="0"/>
          <w:numId w:val="11"/>
        </w:numPr>
      </w:pPr>
      <w:r>
        <w:t>Post launch Sales and Turnover.</w:t>
      </w:r>
    </w:p>
    <w:p xmlns:wp14="http://schemas.microsoft.com/office/word/2010/wordml" w:rsidR="00F95E67" w:rsidRDefault="00F95E67" w14:paraId="4C03CB1D" wp14:textId="77777777">
      <w:pPr>
        <w:numPr>
          <w:ilvl w:val="0"/>
          <w:numId w:val="11"/>
        </w:numPr>
      </w:pPr>
      <w:r>
        <w:t>Pre-orders and market penetration frequency.</w:t>
      </w:r>
    </w:p>
    <w:p xmlns:wp14="http://schemas.microsoft.com/office/word/2010/wordml" w:rsidR="00F95E67" w:rsidRDefault="00F95E67" w14:paraId="14CEECE9" wp14:textId="77777777">
      <w:pPr>
        <w:numPr>
          <w:ilvl w:val="0"/>
          <w:numId w:val="11"/>
        </w:numPr>
      </w:pPr>
      <w:r>
        <w:t>Regulatory licensing and time to market ratios.</w:t>
      </w:r>
    </w:p>
    <w:p xmlns:wp14="http://schemas.microsoft.com/office/word/2010/wordml" w:rsidR="00F95E67" w:rsidRDefault="00F95E67" w14:paraId="3A9CB1D3" wp14:textId="77777777">
      <w:pPr>
        <w:pStyle w:val="Heading2"/>
        <w:ind w:left="0" w:firstLine="0"/>
      </w:pPr>
      <w:bookmarkStart w:name="__RefHeading___Toc4608_6490335" w:id="21"/>
      <w:bookmarkEnd w:id="21"/>
      <w:r>
        <w:t>Qualitative measures, there are:</w:t>
      </w:r>
    </w:p>
    <w:p xmlns:wp14="http://schemas.microsoft.com/office/word/2010/wordml" w:rsidR="00F95E67" w:rsidRDefault="00F95E67" w14:paraId="7325BB17" wp14:textId="77777777">
      <w:pPr>
        <w:numPr>
          <w:ilvl w:val="0"/>
          <w:numId w:val="12"/>
        </w:numPr>
      </w:pPr>
      <w:r>
        <w:t>Feedback and customer satisfaction surveys.</w:t>
      </w:r>
    </w:p>
    <w:p xmlns:wp14="http://schemas.microsoft.com/office/word/2010/wordml" w:rsidR="00F95E67" w:rsidRDefault="00F95E67" w14:paraId="3FE73CA1" wp14:textId="77777777">
      <w:pPr>
        <w:numPr>
          <w:ilvl w:val="0"/>
          <w:numId w:val="12"/>
        </w:numPr>
      </w:pPr>
      <w:r>
        <w:t>Brand sentiment Media and consumer evaluation.</w:t>
      </w:r>
    </w:p>
    <w:p xmlns:wp14="http://schemas.microsoft.com/office/word/2010/wordml" w:rsidR="00F95E67" w:rsidRDefault="00F95E67" w14:paraId="2990E03F" wp14:textId="77777777">
      <w:pPr>
        <w:numPr>
          <w:ilvl w:val="0"/>
          <w:numId w:val="12"/>
        </w:numPr>
      </w:pPr>
      <w:r>
        <w:t>To health practitioners and regulators, the stakeholders provide feedback.</w:t>
      </w:r>
    </w:p>
    <w:p xmlns:wp14="http://schemas.microsoft.com/office/word/2010/wordml" w:rsidR="00F95E67" w:rsidRDefault="00F95E67" w14:paraId="54B6B74A" wp14:textId="77777777">
      <w:pPr>
        <w:pStyle w:val="Heading1"/>
        <w:ind w:left="0" w:firstLine="0"/>
      </w:pPr>
      <w:bookmarkStart w:name="__RefHeading___Toc4610_6490335" w:id="22"/>
      <w:bookmarkEnd w:id="22"/>
      <w:r>
        <w:t xml:space="preserve">Recommendations for Future Stakeholder Engagement </w:t>
      </w:r>
    </w:p>
    <w:p xmlns:wp14="http://schemas.microsoft.com/office/word/2010/wordml" w:rsidR="00F95E67" w:rsidRDefault="00F95E67" w14:paraId="27EDA360" wp14:textId="77777777">
      <w:pPr>
        <w:numPr>
          <w:ilvl w:val="0"/>
          <w:numId w:val="13"/>
        </w:numPr>
      </w:pPr>
      <w:r>
        <w:t>Improve the Stakeholder Employment Channels: This must be accompanied with the desire to have clear and open communication with all the stakeholders especially in the post-launch process. The stakeholders will be periodically informed about the operations of the product and updated on the same via frequent webinars, email news letters, feedback sessions among others. This does not merely help in building up of trust but builds a cycling-back loop on how to improve continuously.</w:t>
      </w:r>
    </w:p>
    <w:p xmlns:wp14="http://schemas.microsoft.com/office/word/2010/wordml" w:rsidR="00F95E67" w:rsidRDefault="00F95E67" w14:paraId="4301A978" wp14:textId="77777777">
      <w:pPr>
        <w:numPr>
          <w:ilvl w:val="0"/>
          <w:numId w:val="13"/>
        </w:numPr>
      </w:pPr>
      <w:r>
        <w:t>Make Stakeholders More Involved in R&amp;D: Including the healthcare professionals and end users in the product development cycle consulted earlier through focus group or beta testing will be invaluable information on the use of the products and how they will be utilized. This proactive would help in refining the product before it is introduced since this would meet the higher needs of the consumer as well as the health provider (Daniore et al., 2024).</w:t>
      </w:r>
    </w:p>
    <w:p xmlns:wp14="http://schemas.microsoft.com/office/word/2010/wordml" w:rsidR="00F95E67" w:rsidRDefault="00F95E67" w14:paraId="43E74715" wp14:textId="77777777">
      <w:pPr>
        <w:numPr>
          <w:ilvl w:val="0"/>
          <w:numId w:val="13"/>
        </w:numPr>
      </w:pPr>
      <w:r>
        <w:t>Enhance Sustainability Programmes and CSR: Increasing communication with regulative organizations, NGOs and suppliers on sustainability initiatives would not only be favourable on the image of the product, but also those of environmental responsibility as suggested by Owen Mumford in the long-run. This can be achieved by promoting circular economy, reduction in carbon footprint and ensuring that the supply chain involves sustainable materials.</w:t>
      </w:r>
    </w:p>
    <w:p xmlns:wp14="http://schemas.microsoft.com/office/word/2010/wordml" w:rsidR="00F95E67" w:rsidRDefault="00F95E67" w14:paraId="67D8BDA7" wp14:textId="77777777">
      <w:r>
        <w:t>By continuing to communicate with its stakeholders, Owen Mumford will easily build its market presence, its customer value, and it can even record a long-term growth in the wearable health device market.</w:t>
      </w:r>
    </w:p>
    <w:p xmlns:wp14="http://schemas.microsoft.com/office/word/2010/wordml" w:rsidR="00F95E67" w:rsidRDefault="00F95E67" w14:paraId="60061E4C" wp14:textId="77777777">
      <w:pPr>
        <w:pStyle w:val="Heading1"/>
        <w:numPr>
          <w:ilvl w:val="0"/>
          <w:numId w:val="0"/>
        </w:numPr>
      </w:pPr>
    </w:p>
    <w:p xmlns:wp14="http://schemas.microsoft.com/office/word/2010/wordml" w:rsidR="00F95E67" w:rsidRDefault="00F95E67" w14:paraId="2B2A7A39" wp14:textId="77777777">
      <w:pPr>
        <w:pStyle w:val="Heading1"/>
        <w:pageBreakBefore/>
        <w:ind w:left="0" w:firstLine="0"/>
      </w:pPr>
      <w:bookmarkStart w:name="__RefHeading___Toc4612_6490335" w:id="23"/>
      <w:bookmarkEnd w:id="23"/>
      <w:r>
        <w:t>Conclusion</w:t>
      </w:r>
    </w:p>
    <w:p xmlns:wp14="http://schemas.microsoft.com/office/word/2010/wordml" w:rsidR="00F95E67" w:rsidRDefault="00F95E67" w14:paraId="1FC592FE" wp14:textId="77777777">
      <w:r>
        <w:t>In conclusion, the wearable health device invented by Owen Mumford may be successfully introduced in case the stakeholders are involved. The project manager will look at the needs of the market, the legal needs, and the expectation of the consumers by involving the internal groups, the external partners and the consumers. The effective responsibility sharing, communication, and conflict management that ensues through the active participation of the key stakeholders by the well-defined structures such as Ma</w:t>
      </w:r>
      <w:r>
        <w:t xml:space="preserve">trix and RACI Matrix by Mendelow also contributes to running the project with minimal hustles. </w:t>
      </w:r>
    </w:p>
    <w:p xmlns:wp14="http://schemas.microsoft.com/office/word/2010/wordml" w:rsidR="00F95E67" w:rsidRDefault="00F95E67" w14:paraId="5E7F1F2B" wp14:textId="77777777">
      <w:r>
        <w:tab/>
      </w:r>
      <w:r>
        <w:t>With the implementation of the high rate of open communication, the promotion of cooperation, and an orientation on mutual benefit, Owen Mumford will be able to succeed in launching products, establishing better relations with stakeholders, and becoming the leader in the wearable health devices market, therefore, ensuring the sustainability of the growth, and long-term success.</w:t>
      </w:r>
    </w:p>
    <w:p xmlns:wp14="http://schemas.microsoft.com/office/word/2010/wordml" w:rsidR="00F95E67" w:rsidRDefault="00F95E67" w14:paraId="44EAFD9C" wp14:textId="77777777">
      <w:pPr>
        <w:pStyle w:val="Heading1"/>
        <w:ind w:left="0" w:firstLine="0"/>
      </w:pPr>
    </w:p>
    <w:p xmlns:wp14="http://schemas.microsoft.com/office/word/2010/wordml" w:rsidR="00F95E67" w:rsidRDefault="00F95E67" w14:paraId="459C7026" wp14:textId="77777777">
      <w:pPr>
        <w:pStyle w:val="Heading1"/>
        <w:pageBreakBefore/>
        <w:ind w:left="0" w:firstLine="0"/>
        <w:rPr>
          <w:szCs w:val="24"/>
          <w:bdr w:val="none" w:color="000000" w:sz="0" w:space="0"/>
          <w:shd w:val="clear" w:color="auto" w:fill="FFFFFF"/>
        </w:rPr>
      </w:pPr>
      <w:bookmarkStart w:name="__RefHeading___Toc214_3969001654" w:id="24"/>
      <w:bookmarkEnd w:id="24"/>
      <w:r>
        <w:t xml:space="preserve">References </w:t>
      </w:r>
    </w:p>
    <w:p xmlns:wp14="http://schemas.microsoft.com/office/word/2010/wordml" w:rsidR="00F95E67" w:rsidRDefault="00F95E67" w14:paraId="462260D2" wp14:textId="77777777">
      <w:pPr>
        <w:pStyle w:val="BodyText"/>
        <w:pBdr>
          <w:top w:val="none" w:color="000000" w:sz="0" w:space="0"/>
          <w:left w:val="none" w:color="000000" w:sz="0" w:space="0"/>
          <w:bottom w:val="none" w:color="000000" w:sz="0" w:space="0"/>
          <w:right w:val="none" w:color="000000" w:sz="0" w:space="0"/>
        </w:pBdr>
        <w:tabs>
          <w:tab w:val="left" w:pos="535"/>
        </w:tabs>
        <w:spacing w:before="171" w:after="171" w:line="240" w:lineRule="auto"/>
        <w:ind w:left="720" w:hanging="720"/>
        <w:rPr>
          <w:szCs w:val="24"/>
          <w:bdr w:val="none" w:color="000000" w:sz="0" w:space="0"/>
          <w:shd w:val="clear" w:color="auto" w:fill="FFFFFF"/>
        </w:rPr>
      </w:pPr>
      <w:r>
        <w:rPr>
          <w:szCs w:val="24"/>
          <w:bdr w:val="none" w:color="000000" w:sz="0" w:space="0"/>
          <w:shd w:val="clear" w:color="auto" w:fill="FFFFFF"/>
        </w:rPr>
        <w:t>Alzghaibi, H. (2025) “Adoption barriers and facilitators of wearable health devices with AI integration: a patient-centred perspective,” </w:t>
      </w:r>
      <w:r>
        <w:rPr>
          <w:i/>
          <w:szCs w:val="24"/>
          <w:bdr w:val="none" w:color="000000" w:sz="0" w:space="0"/>
          <w:shd w:val="clear" w:color="auto" w:fill="FFFFFF"/>
        </w:rPr>
        <w:t>Frontiers in medicine</w:t>
      </w:r>
      <w:r>
        <w:rPr>
          <w:szCs w:val="24"/>
          <w:bdr w:val="none" w:color="000000" w:sz="0" w:space="0"/>
          <w:shd w:val="clear" w:color="auto" w:fill="FFFFFF"/>
        </w:rPr>
        <w:t xml:space="preserve">, 12, p. 1557054. Available at: </w:t>
      </w:r>
      <w:hyperlink w:history="1" r:id="rId9">
        <w:r>
          <w:rPr>
            <w:rStyle w:val="Hyperlink"/>
            <w:szCs w:val="24"/>
            <w:bdr w:val="none" w:color="000000" w:sz="0" w:space="0"/>
            <w:shd w:val="clear" w:color="auto" w:fill="FFFFFF"/>
          </w:rPr>
          <w:t>https://doi.org/10.3389/fmed.2025.1557054</w:t>
        </w:r>
      </w:hyperlink>
      <w:r>
        <w:rPr>
          <w:szCs w:val="24"/>
          <w:bdr w:val="none" w:color="000000" w:sz="0" w:space="0"/>
          <w:shd w:val="clear" w:color="auto" w:fill="FFFFFF"/>
        </w:rPr>
        <w:t xml:space="preserve">. </w:t>
      </w:r>
    </w:p>
    <w:p xmlns:wp14="http://schemas.microsoft.com/office/word/2010/wordml" w:rsidR="00F95E67" w:rsidRDefault="00F95E67" w14:paraId="07BF29FE" wp14:textId="77777777">
      <w:pPr>
        <w:pStyle w:val="BodyText"/>
        <w:pBdr>
          <w:top w:val="none" w:color="000000" w:sz="0" w:space="0"/>
          <w:left w:val="none" w:color="000000" w:sz="0" w:space="0"/>
          <w:bottom w:val="none" w:color="000000" w:sz="0" w:space="0"/>
          <w:right w:val="none" w:color="000000" w:sz="0" w:space="0"/>
        </w:pBdr>
        <w:tabs>
          <w:tab w:val="left" w:pos="535"/>
        </w:tabs>
        <w:spacing w:before="171" w:after="171" w:line="240" w:lineRule="auto"/>
        <w:ind w:left="720" w:hanging="720"/>
        <w:rPr>
          <w:szCs w:val="24"/>
          <w:bdr w:val="none" w:color="000000" w:sz="0" w:space="0"/>
          <w:shd w:val="clear" w:color="auto" w:fill="FFFFFF"/>
        </w:rPr>
      </w:pPr>
      <w:r>
        <w:rPr>
          <w:szCs w:val="24"/>
          <w:bdr w:val="none" w:color="000000" w:sz="0" w:space="0"/>
          <w:shd w:val="clear" w:color="auto" w:fill="FFFFFF"/>
        </w:rPr>
        <w:t>Barberato</w:t>
      </w:r>
      <w:r>
        <w:rPr>
          <w:szCs w:val="24"/>
          <w:bdr w:val="none" w:color="000000" w:sz="0" w:space="0"/>
          <w:shd w:val="clear" w:color="auto" w:fill="FFFFFF"/>
        </w:rPr>
        <w:noBreakHyphen/>
        <w:t>Filho, L.L.M.&amp;. (2023) </w:t>
      </w:r>
      <w:r>
        <w:rPr>
          <w:i/>
          <w:szCs w:val="24"/>
          <w:bdr w:val="none" w:color="000000" w:sz="0" w:space="0"/>
          <w:shd w:val="clear" w:color="auto" w:fill="FFFFFF"/>
        </w:rPr>
        <w:t>Mdpi.com</w:t>
      </w:r>
      <w:r>
        <w:rPr>
          <w:szCs w:val="24"/>
          <w:bdr w:val="none" w:color="000000" w:sz="0" w:space="0"/>
          <w:shd w:val="clear" w:color="auto" w:fill="FFFFFF"/>
        </w:rPr>
        <w:t xml:space="preserve">. Available at: </w:t>
      </w:r>
      <w:hyperlink w:history="1" r:id="rId10">
        <w:r>
          <w:rPr>
            <w:rStyle w:val="Hyperlink"/>
            <w:szCs w:val="24"/>
            <w:bdr w:val="none" w:color="000000" w:sz="0" w:space="0"/>
            <w:shd w:val="clear" w:color="auto" w:fill="FFFFFF"/>
          </w:rPr>
          <w:t>https://www.mdpi.com/1424-8220/23/7/3597?utm_source=chatgpt.com</w:t>
        </w:r>
      </w:hyperlink>
      <w:r>
        <w:rPr>
          <w:szCs w:val="24"/>
          <w:bdr w:val="none" w:color="000000" w:sz="0" w:space="0"/>
          <w:shd w:val="clear" w:color="auto" w:fill="FFFFFF"/>
        </w:rPr>
        <w:t xml:space="preserve">  (Accessed: December 6, 2025).</w:t>
      </w:r>
    </w:p>
    <w:p xmlns:wp14="http://schemas.microsoft.com/office/word/2010/wordml" w:rsidR="00F95E67" w:rsidRDefault="00F95E67" w14:paraId="243AF2C6" wp14:textId="77777777">
      <w:pPr>
        <w:pStyle w:val="BodyText"/>
        <w:pBdr>
          <w:top w:val="none" w:color="000000" w:sz="0" w:space="0"/>
          <w:left w:val="none" w:color="000000" w:sz="0" w:space="0"/>
          <w:bottom w:val="none" w:color="000000" w:sz="0" w:space="0"/>
          <w:right w:val="none" w:color="000000" w:sz="0" w:space="0"/>
        </w:pBdr>
        <w:tabs>
          <w:tab w:val="left" w:pos="535"/>
        </w:tabs>
        <w:spacing w:before="171" w:after="171" w:line="240" w:lineRule="auto"/>
        <w:ind w:left="720" w:hanging="720"/>
        <w:rPr>
          <w:szCs w:val="24"/>
          <w:bdr w:val="none" w:color="000000" w:sz="0" w:space="0"/>
          <w:shd w:val="clear" w:color="auto" w:fill="FFFFFF"/>
        </w:rPr>
      </w:pPr>
      <w:r>
        <w:rPr>
          <w:szCs w:val="24"/>
          <w:bdr w:val="none" w:color="000000" w:sz="0" w:space="0"/>
          <w:shd w:val="clear" w:color="auto" w:fill="FFFFFF"/>
        </w:rPr>
        <w:t>Capulli, E. </w:t>
      </w:r>
      <w:r>
        <w:rPr>
          <w:i/>
          <w:szCs w:val="24"/>
          <w:bdr w:val="none" w:color="000000" w:sz="0" w:space="0"/>
          <w:shd w:val="clear" w:color="auto" w:fill="FFFFFF"/>
        </w:rPr>
        <w:t>et al.</w:t>
      </w:r>
      <w:r>
        <w:rPr>
          <w:szCs w:val="24"/>
          <w:bdr w:val="none" w:color="000000" w:sz="0" w:space="0"/>
          <w:shd w:val="clear" w:color="auto" w:fill="FFFFFF"/>
        </w:rPr>
        <w:t> (2025) “Ethical and legal implications of health monitoring wearable devices: A scoping review,” </w:t>
      </w:r>
      <w:r>
        <w:rPr>
          <w:i/>
          <w:szCs w:val="24"/>
          <w:bdr w:val="none" w:color="000000" w:sz="0" w:space="0"/>
          <w:shd w:val="clear" w:color="auto" w:fill="FFFFFF"/>
        </w:rPr>
        <w:t>Social science &amp; medicine (1982)</w:t>
      </w:r>
      <w:r>
        <w:rPr>
          <w:szCs w:val="24"/>
          <w:bdr w:val="none" w:color="000000" w:sz="0" w:space="0"/>
          <w:shd w:val="clear" w:color="auto" w:fill="FFFFFF"/>
        </w:rPr>
        <w:t xml:space="preserve">, 370(117685), p. 117685. Available at: </w:t>
      </w:r>
      <w:hyperlink w:history="1" r:id="rId11">
        <w:r>
          <w:rPr>
            <w:rStyle w:val="Hyperlink"/>
            <w:szCs w:val="24"/>
            <w:bdr w:val="none" w:color="000000" w:sz="0" w:space="0"/>
            <w:shd w:val="clear" w:color="auto" w:fill="FFFFFF"/>
          </w:rPr>
          <w:t>https://doi.org/10.1016/j.socscimed.2025.117685</w:t>
        </w:r>
      </w:hyperlink>
      <w:r>
        <w:rPr>
          <w:szCs w:val="24"/>
          <w:bdr w:val="none" w:color="000000" w:sz="0" w:space="0"/>
          <w:shd w:val="clear" w:color="auto" w:fill="FFFFFF"/>
        </w:rPr>
        <w:t xml:space="preserve">. </w:t>
      </w:r>
    </w:p>
    <w:p xmlns:wp14="http://schemas.microsoft.com/office/word/2010/wordml" w:rsidR="00F95E67" w:rsidRDefault="00F95E67" w14:paraId="78ED1E01" wp14:textId="77777777">
      <w:pPr>
        <w:pStyle w:val="BodyText"/>
        <w:pBdr>
          <w:top w:val="none" w:color="000000" w:sz="0" w:space="0"/>
          <w:left w:val="none" w:color="000000" w:sz="0" w:space="0"/>
          <w:bottom w:val="none" w:color="000000" w:sz="0" w:space="0"/>
          <w:right w:val="none" w:color="000000" w:sz="0" w:space="0"/>
        </w:pBdr>
        <w:tabs>
          <w:tab w:val="left" w:pos="535"/>
        </w:tabs>
        <w:spacing w:before="171" w:after="171" w:line="240" w:lineRule="auto"/>
        <w:ind w:left="720" w:hanging="720"/>
        <w:rPr>
          <w:szCs w:val="24"/>
          <w:bdr w:val="none" w:color="000000" w:sz="0" w:space="0"/>
          <w:shd w:val="clear" w:color="auto" w:fill="FFFFFF"/>
        </w:rPr>
      </w:pPr>
      <w:r>
        <w:rPr>
          <w:szCs w:val="24"/>
          <w:bdr w:val="none" w:color="000000" w:sz="0" w:space="0"/>
          <w:shd w:val="clear" w:color="auto" w:fill="FFFFFF"/>
        </w:rPr>
        <w:t>Daniore, P. </w:t>
      </w:r>
      <w:r>
        <w:rPr>
          <w:i/>
          <w:szCs w:val="24"/>
          <w:bdr w:val="none" w:color="000000" w:sz="0" w:space="0"/>
          <w:shd w:val="clear" w:color="auto" w:fill="FFFFFF"/>
        </w:rPr>
        <w:t>et al.</w:t>
      </w:r>
      <w:r>
        <w:rPr>
          <w:szCs w:val="24"/>
          <w:bdr w:val="none" w:color="000000" w:sz="0" w:space="0"/>
          <w:shd w:val="clear" w:color="auto" w:fill="FFFFFF"/>
        </w:rPr>
        <w:t> (2024) “From wearable sensor data to digital biomarker development: ten lessons learned and a framework proposal,” </w:t>
      </w:r>
      <w:r>
        <w:rPr>
          <w:i/>
          <w:szCs w:val="24"/>
          <w:bdr w:val="none" w:color="000000" w:sz="0" w:space="0"/>
          <w:shd w:val="clear" w:color="auto" w:fill="FFFFFF"/>
        </w:rPr>
        <w:t>npj digital medicine</w:t>
      </w:r>
      <w:r>
        <w:rPr>
          <w:szCs w:val="24"/>
          <w:bdr w:val="none" w:color="000000" w:sz="0" w:space="0"/>
          <w:shd w:val="clear" w:color="auto" w:fill="FFFFFF"/>
        </w:rPr>
        <w:t xml:space="preserve">, 7(1), p. 161. Available at: </w:t>
      </w:r>
      <w:hyperlink w:history="1" r:id="rId12">
        <w:r>
          <w:rPr>
            <w:rStyle w:val="Hyperlink"/>
            <w:szCs w:val="24"/>
            <w:bdr w:val="none" w:color="000000" w:sz="0" w:space="0"/>
            <w:shd w:val="clear" w:color="auto" w:fill="FFFFFF"/>
          </w:rPr>
          <w:t>https://doi.org/10.1038/s41746-024-01151-3</w:t>
        </w:r>
      </w:hyperlink>
      <w:r>
        <w:rPr>
          <w:szCs w:val="24"/>
          <w:bdr w:val="none" w:color="000000" w:sz="0" w:space="0"/>
          <w:shd w:val="clear" w:color="auto" w:fill="FFFFFF"/>
        </w:rPr>
        <w:t xml:space="preserve">. </w:t>
      </w:r>
    </w:p>
    <w:p xmlns:wp14="http://schemas.microsoft.com/office/word/2010/wordml" w:rsidR="00F95E67" w:rsidRDefault="00F95E67" w14:paraId="7DE9DBC3" wp14:textId="77777777">
      <w:pPr>
        <w:pStyle w:val="BodyText"/>
        <w:pBdr>
          <w:top w:val="none" w:color="000000" w:sz="0" w:space="0"/>
          <w:left w:val="none" w:color="000000" w:sz="0" w:space="0"/>
          <w:bottom w:val="none" w:color="000000" w:sz="0" w:space="0"/>
          <w:right w:val="none" w:color="000000" w:sz="0" w:space="0"/>
        </w:pBdr>
        <w:tabs>
          <w:tab w:val="left" w:pos="535"/>
        </w:tabs>
        <w:spacing w:before="171" w:after="171" w:line="240" w:lineRule="auto"/>
        <w:ind w:left="720" w:hanging="720"/>
        <w:rPr>
          <w:szCs w:val="24"/>
          <w:bdr w:val="none" w:color="000000" w:sz="0" w:space="0"/>
          <w:shd w:val="clear" w:color="auto" w:fill="FFFFFF"/>
        </w:rPr>
      </w:pPr>
      <w:r>
        <w:rPr>
          <w:szCs w:val="24"/>
          <w:bdr w:val="none" w:color="000000" w:sz="0" w:space="0"/>
          <w:shd w:val="clear" w:color="auto" w:fill="FFFFFF"/>
        </w:rPr>
        <w:t>De Carlo M.  Sfogliarini B, M.S.D.F. (2024) </w:t>
      </w:r>
      <w:r>
        <w:rPr>
          <w:i/>
          <w:szCs w:val="24"/>
          <w:bdr w:val="none" w:color="000000" w:sz="0" w:space="0"/>
          <w:shd w:val="clear" w:color="auto" w:fill="FFFFFF"/>
        </w:rPr>
        <w:t>Stakeholder Engagement and Triggers for Sustainable Development in Complex Fragile Ecosystems: Evidence from Alpine Trentino Region. Study of stakeholder engagement dynamics — useful for general stakeholder engagement theory</w:t>
      </w:r>
      <w:r>
        <w:rPr>
          <w:szCs w:val="24"/>
          <w:bdr w:val="none" w:color="000000" w:sz="0" w:space="0"/>
          <w:shd w:val="clear" w:color="auto" w:fill="FFFFFF"/>
        </w:rPr>
        <w:t>, </w:t>
      </w:r>
      <w:r>
        <w:rPr>
          <w:i/>
          <w:szCs w:val="24"/>
          <w:bdr w:val="none" w:color="000000" w:sz="0" w:space="0"/>
          <w:shd w:val="clear" w:color="auto" w:fill="FFFFFF"/>
        </w:rPr>
        <w:t>Mdpi.com</w:t>
      </w:r>
      <w:r>
        <w:rPr>
          <w:szCs w:val="24"/>
          <w:bdr w:val="none" w:color="000000" w:sz="0" w:space="0"/>
          <w:shd w:val="clear" w:color="auto" w:fill="FFFFFF"/>
        </w:rPr>
        <w:t>. Available at: https://www.mdpi.com/2071-1050/16/22/9879?\  (Accessed: December 6, 2025).</w:t>
      </w:r>
    </w:p>
    <w:p xmlns:wp14="http://schemas.microsoft.com/office/word/2010/wordml" w:rsidR="00F95E67" w:rsidRDefault="00F95E67" w14:paraId="717E1642" wp14:textId="77777777">
      <w:pPr>
        <w:pStyle w:val="BodyText"/>
        <w:pBdr>
          <w:top w:val="none" w:color="000000" w:sz="0" w:space="0"/>
          <w:left w:val="none" w:color="000000" w:sz="0" w:space="0"/>
          <w:bottom w:val="none" w:color="000000" w:sz="0" w:space="0"/>
          <w:right w:val="none" w:color="000000" w:sz="0" w:space="0"/>
        </w:pBdr>
        <w:tabs>
          <w:tab w:val="left" w:pos="535"/>
        </w:tabs>
        <w:spacing w:before="171" w:after="171" w:line="240" w:lineRule="auto"/>
        <w:ind w:left="720" w:hanging="720"/>
        <w:rPr>
          <w:szCs w:val="24"/>
          <w:bdr w:val="none" w:color="000000" w:sz="0" w:space="0"/>
          <w:shd w:val="clear" w:color="auto" w:fill="FFFFFF"/>
        </w:rPr>
      </w:pPr>
      <w:r>
        <w:rPr>
          <w:szCs w:val="24"/>
          <w:bdr w:val="none" w:color="000000" w:sz="0" w:space="0"/>
          <w:shd w:val="clear" w:color="auto" w:fill="FFFFFF"/>
        </w:rPr>
        <w:t>De Sario Velasquez, G.D. </w:t>
      </w:r>
      <w:r>
        <w:rPr>
          <w:i/>
          <w:szCs w:val="24"/>
          <w:bdr w:val="none" w:color="000000" w:sz="0" w:space="0"/>
          <w:shd w:val="clear" w:color="auto" w:fill="FFFFFF"/>
        </w:rPr>
        <w:t>et al.</w:t>
      </w:r>
      <w:r>
        <w:rPr>
          <w:szCs w:val="24"/>
          <w:bdr w:val="none" w:color="000000" w:sz="0" w:space="0"/>
          <w:shd w:val="clear" w:color="auto" w:fill="FFFFFF"/>
        </w:rPr>
        <w:t> (2024) “Economic perspective of the use of wearables in health care: A systematic review,” </w:t>
      </w:r>
      <w:r>
        <w:rPr>
          <w:i/>
          <w:szCs w:val="24"/>
          <w:bdr w:val="none" w:color="000000" w:sz="0" w:space="0"/>
          <w:shd w:val="clear" w:color="auto" w:fill="FFFFFF"/>
        </w:rPr>
        <w:t>Mayo Clinic proceedings. Digital health</w:t>
      </w:r>
      <w:r>
        <w:rPr>
          <w:szCs w:val="24"/>
          <w:bdr w:val="none" w:color="000000" w:sz="0" w:space="0"/>
          <w:shd w:val="clear" w:color="auto" w:fill="FFFFFF"/>
        </w:rPr>
        <w:t xml:space="preserve">, 2(3), pp. 299–317. Available at: </w:t>
      </w:r>
      <w:hyperlink w:history="1" r:id="rId13">
        <w:r>
          <w:rPr>
            <w:rStyle w:val="Hyperlink"/>
            <w:szCs w:val="24"/>
            <w:bdr w:val="none" w:color="000000" w:sz="0" w:space="0"/>
            <w:shd w:val="clear" w:color="auto" w:fill="FFFFFF"/>
          </w:rPr>
          <w:t>https://doi.org/10.1016/j.mcpdig.2024.05.003</w:t>
        </w:r>
      </w:hyperlink>
      <w:r>
        <w:rPr>
          <w:szCs w:val="24"/>
          <w:bdr w:val="none" w:color="000000" w:sz="0" w:space="0"/>
          <w:shd w:val="clear" w:color="auto" w:fill="FFFFFF"/>
        </w:rPr>
        <w:t xml:space="preserve">. </w:t>
      </w:r>
    </w:p>
    <w:p xmlns:wp14="http://schemas.microsoft.com/office/word/2010/wordml" w:rsidR="00F95E67" w:rsidRDefault="00F95E67" w14:paraId="553A532A" wp14:textId="77777777">
      <w:pPr>
        <w:pStyle w:val="BodyText"/>
        <w:pBdr>
          <w:top w:val="none" w:color="000000" w:sz="0" w:space="0"/>
          <w:left w:val="none" w:color="000000" w:sz="0" w:space="0"/>
          <w:bottom w:val="none" w:color="000000" w:sz="0" w:space="0"/>
          <w:right w:val="none" w:color="000000" w:sz="0" w:space="0"/>
        </w:pBdr>
        <w:tabs>
          <w:tab w:val="left" w:pos="535"/>
        </w:tabs>
        <w:spacing w:before="171" w:after="171" w:line="240" w:lineRule="auto"/>
        <w:ind w:left="720" w:hanging="720"/>
        <w:rPr>
          <w:szCs w:val="24"/>
          <w:bdr w:val="none" w:color="000000" w:sz="0" w:space="0"/>
          <w:shd w:val="clear" w:color="auto" w:fill="FFFFFF"/>
        </w:rPr>
      </w:pPr>
      <w:r>
        <w:rPr>
          <w:szCs w:val="24"/>
          <w:bdr w:val="none" w:color="000000" w:sz="0" w:space="0"/>
          <w:shd w:val="clear" w:color="auto" w:fill="FFFFFF"/>
        </w:rPr>
        <w:t>Ferreira, J. </w:t>
      </w:r>
      <w:r>
        <w:rPr>
          <w:i/>
          <w:szCs w:val="24"/>
          <w:bdr w:val="none" w:color="000000" w:sz="0" w:space="0"/>
          <w:shd w:val="clear" w:color="auto" w:fill="FFFFFF"/>
        </w:rPr>
        <w:t>et al.</w:t>
      </w:r>
      <w:r>
        <w:rPr>
          <w:szCs w:val="24"/>
          <w:bdr w:val="none" w:color="000000" w:sz="0" w:space="0"/>
          <w:shd w:val="clear" w:color="auto" w:fill="FFFFFF"/>
        </w:rPr>
        <w:t> (2024) “User involvement in the design and development of medical devices in epilepsy: A systematic review,” </w:t>
      </w:r>
      <w:r>
        <w:rPr>
          <w:i/>
          <w:szCs w:val="24"/>
          <w:bdr w:val="none" w:color="000000" w:sz="0" w:space="0"/>
          <w:shd w:val="clear" w:color="auto" w:fill="FFFFFF"/>
        </w:rPr>
        <w:t>Epilepsia open</w:t>
      </w:r>
      <w:r>
        <w:rPr>
          <w:szCs w:val="24"/>
          <w:bdr w:val="none" w:color="000000" w:sz="0" w:space="0"/>
          <w:shd w:val="clear" w:color="auto" w:fill="FFFFFF"/>
        </w:rPr>
        <w:t xml:space="preserve">, 9(6), pp. 2087–2100. Available at: </w:t>
      </w:r>
      <w:hyperlink w:history="1" r:id="rId14">
        <w:r>
          <w:rPr>
            <w:rStyle w:val="Hyperlink"/>
            <w:szCs w:val="24"/>
            <w:bdr w:val="none" w:color="000000" w:sz="0" w:space="0"/>
            <w:shd w:val="clear" w:color="auto" w:fill="FFFFFF"/>
          </w:rPr>
          <w:t>https://doi.org/10.1002/epi4.13038</w:t>
        </w:r>
      </w:hyperlink>
      <w:r>
        <w:rPr>
          <w:szCs w:val="24"/>
          <w:bdr w:val="none" w:color="000000" w:sz="0" w:space="0"/>
          <w:shd w:val="clear" w:color="auto" w:fill="FFFFFF"/>
        </w:rPr>
        <w:t xml:space="preserve"> .</w:t>
      </w:r>
    </w:p>
    <w:p xmlns:wp14="http://schemas.microsoft.com/office/word/2010/wordml" w:rsidR="00F95E67" w:rsidRDefault="00F95E67" w14:paraId="07B96BA1" wp14:textId="77777777">
      <w:pPr>
        <w:pStyle w:val="BodyText"/>
        <w:pBdr>
          <w:top w:val="none" w:color="000000" w:sz="0" w:space="0"/>
          <w:left w:val="none" w:color="000000" w:sz="0" w:space="0"/>
          <w:bottom w:val="none" w:color="000000" w:sz="0" w:space="0"/>
          <w:right w:val="none" w:color="000000" w:sz="0" w:space="0"/>
        </w:pBdr>
        <w:tabs>
          <w:tab w:val="left" w:pos="535"/>
        </w:tabs>
        <w:spacing w:before="171" w:after="171" w:line="240" w:lineRule="auto"/>
        <w:ind w:left="720" w:hanging="720"/>
        <w:rPr>
          <w:szCs w:val="24"/>
          <w:bdr w:val="none" w:color="000000" w:sz="0" w:space="0"/>
          <w:shd w:val="clear" w:color="auto" w:fill="FFFFFF"/>
        </w:rPr>
      </w:pPr>
      <w:r>
        <w:rPr>
          <w:szCs w:val="24"/>
          <w:bdr w:val="none" w:color="000000" w:sz="0" w:space="0"/>
          <w:shd w:val="clear" w:color="auto" w:fill="FFFFFF"/>
        </w:rPr>
        <w:t>Lodewyk, K. </w:t>
      </w:r>
      <w:r>
        <w:rPr>
          <w:i/>
          <w:szCs w:val="24"/>
          <w:bdr w:val="none" w:color="000000" w:sz="0" w:space="0"/>
          <w:shd w:val="clear" w:color="auto" w:fill="FFFFFF"/>
        </w:rPr>
        <w:t>et al.</w:t>
      </w:r>
      <w:r>
        <w:rPr>
          <w:szCs w:val="24"/>
          <w:bdr w:val="none" w:color="000000" w:sz="0" w:space="0"/>
          <w:shd w:val="clear" w:color="auto" w:fill="FFFFFF"/>
        </w:rPr>
        <w:t> (2025) “Wearables research for continuous monitoring of patient outcomes: A scoping review,” </w:t>
      </w:r>
      <w:r>
        <w:rPr>
          <w:i/>
          <w:szCs w:val="24"/>
          <w:bdr w:val="none" w:color="000000" w:sz="0" w:space="0"/>
          <w:shd w:val="clear" w:color="auto" w:fill="FFFFFF"/>
        </w:rPr>
        <w:t>PLOS digital health</w:t>
      </w:r>
      <w:r>
        <w:rPr>
          <w:szCs w:val="24"/>
          <w:bdr w:val="none" w:color="000000" w:sz="0" w:space="0"/>
          <w:shd w:val="clear" w:color="auto" w:fill="FFFFFF"/>
        </w:rPr>
        <w:t xml:space="preserve">, 4(5), p. e0000860. Available at: </w:t>
      </w:r>
      <w:hyperlink w:history="1" r:id="rId15">
        <w:r>
          <w:rPr>
            <w:rStyle w:val="Hyperlink"/>
            <w:szCs w:val="24"/>
            <w:bdr w:val="none" w:color="000000" w:sz="0" w:space="0"/>
            <w:shd w:val="clear" w:color="auto" w:fill="FFFFFF"/>
          </w:rPr>
          <w:t>https://doi.org/10.1371/journal.pdig.0000860</w:t>
        </w:r>
      </w:hyperlink>
      <w:r>
        <w:rPr>
          <w:szCs w:val="24"/>
          <w:bdr w:val="none" w:color="000000" w:sz="0" w:space="0"/>
          <w:shd w:val="clear" w:color="auto" w:fill="FFFFFF"/>
        </w:rPr>
        <w:t xml:space="preserve">. </w:t>
      </w:r>
    </w:p>
    <w:p xmlns:wp14="http://schemas.microsoft.com/office/word/2010/wordml" w:rsidR="00F95E67" w:rsidRDefault="00F95E67" w14:paraId="132EF596" wp14:textId="77777777">
      <w:pPr>
        <w:pStyle w:val="BodyText"/>
        <w:pBdr>
          <w:top w:val="none" w:color="000000" w:sz="0" w:space="0"/>
          <w:left w:val="none" w:color="000000" w:sz="0" w:space="0"/>
          <w:bottom w:val="none" w:color="000000" w:sz="0" w:space="0"/>
          <w:right w:val="none" w:color="000000" w:sz="0" w:space="0"/>
        </w:pBdr>
        <w:tabs>
          <w:tab w:val="left" w:pos="535"/>
        </w:tabs>
        <w:spacing w:before="171" w:after="171" w:line="240" w:lineRule="auto"/>
        <w:ind w:left="720" w:hanging="720"/>
        <w:rPr>
          <w:szCs w:val="24"/>
          <w:bdr w:val="none" w:color="000000" w:sz="0" w:space="0"/>
          <w:shd w:val="clear" w:color="auto" w:fill="FFFFFF"/>
        </w:rPr>
      </w:pPr>
      <w:r>
        <w:rPr>
          <w:szCs w:val="24"/>
          <w:bdr w:val="none" w:color="000000" w:sz="0" w:space="0"/>
          <w:shd w:val="clear" w:color="auto" w:fill="FFFFFF"/>
        </w:rPr>
        <w:t>Miller, A.E. </w:t>
      </w:r>
      <w:r>
        <w:rPr>
          <w:i/>
          <w:szCs w:val="24"/>
          <w:bdr w:val="none" w:color="000000" w:sz="0" w:space="0"/>
          <w:shd w:val="clear" w:color="auto" w:fill="FFFFFF"/>
        </w:rPr>
        <w:t>et al.</w:t>
      </w:r>
      <w:r>
        <w:rPr>
          <w:szCs w:val="24"/>
          <w:bdr w:val="none" w:color="000000" w:sz="0" w:space="0"/>
          <w:shd w:val="clear" w:color="auto" w:fill="FFFFFF"/>
        </w:rPr>
        <w:t> (2025) “Perspectives of key stakeholders on integrating wearable sensor technology into rehabilitation care: a mixed-methods analysis,” </w:t>
      </w:r>
      <w:r>
        <w:rPr>
          <w:i/>
          <w:szCs w:val="24"/>
          <w:bdr w:val="none" w:color="000000" w:sz="0" w:space="0"/>
          <w:shd w:val="clear" w:color="auto" w:fill="FFFFFF"/>
        </w:rPr>
        <w:t>Frontiers in digital health</w:t>
      </w:r>
      <w:r>
        <w:rPr>
          <w:szCs w:val="24"/>
          <w:bdr w:val="none" w:color="000000" w:sz="0" w:space="0"/>
          <w:shd w:val="clear" w:color="auto" w:fill="FFFFFF"/>
        </w:rPr>
        <w:t xml:space="preserve">, 7(1534419), p. 1534419. Available at: </w:t>
      </w:r>
      <w:hyperlink w:history="1" r:id="rId16">
        <w:r>
          <w:rPr>
            <w:rStyle w:val="Hyperlink"/>
            <w:szCs w:val="24"/>
            <w:bdr w:val="none" w:color="000000" w:sz="0" w:space="0"/>
            <w:shd w:val="clear" w:color="auto" w:fill="FFFFFF"/>
          </w:rPr>
          <w:t>https://doi.org/10.3389/fdgth.2025.1534419</w:t>
        </w:r>
      </w:hyperlink>
      <w:r>
        <w:rPr>
          <w:szCs w:val="24"/>
          <w:bdr w:val="none" w:color="000000" w:sz="0" w:space="0"/>
          <w:shd w:val="clear" w:color="auto" w:fill="FFFFFF"/>
        </w:rPr>
        <w:t xml:space="preserve">. </w:t>
      </w:r>
    </w:p>
    <w:p xmlns:wp14="http://schemas.microsoft.com/office/word/2010/wordml" w:rsidR="00F95E67" w:rsidRDefault="00F95E67" w14:paraId="26A04A86" wp14:textId="77777777">
      <w:pPr>
        <w:pStyle w:val="BodyText"/>
        <w:pBdr>
          <w:top w:val="none" w:color="000000" w:sz="0" w:space="0"/>
          <w:left w:val="none" w:color="000000" w:sz="0" w:space="0"/>
          <w:bottom w:val="none" w:color="000000" w:sz="0" w:space="0"/>
          <w:right w:val="none" w:color="000000" w:sz="0" w:space="0"/>
        </w:pBdr>
        <w:tabs>
          <w:tab w:val="left" w:pos="535"/>
        </w:tabs>
        <w:spacing w:before="171" w:after="171" w:line="240" w:lineRule="auto"/>
        <w:ind w:left="720" w:hanging="720"/>
        <w:rPr>
          <w:szCs w:val="24"/>
          <w:bdr w:val="none" w:color="000000" w:sz="0" w:space="0"/>
          <w:shd w:val="clear" w:color="auto" w:fill="FFFFFF"/>
        </w:rPr>
      </w:pPr>
      <w:r>
        <w:rPr>
          <w:szCs w:val="24"/>
          <w:bdr w:val="none" w:color="000000" w:sz="0" w:space="0"/>
          <w:shd w:val="clear" w:color="auto" w:fill="FFFFFF"/>
        </w:rPr>
        <w:t>Naji, H. </w:t>
      </w:r>
      <w:r>
        <w:rPr>
          <w:i/>
          <w:szCs w:val="24"/>
          <w:bdr w:val="none" w:color="000000" w:sz="0" w:space="0"/>
          <w:shd w:val="clear" w:color="auto" w:fill="FFFFFF"/>
        </w:rPr>
        <w:t>et al.</w:t>
      </w:r>
      <w:r>
        <w:rPr>
          <w:szCs w:val="24"/>
          <w:bdr w:val="none" w:color="000000" w:sz="0" w:space="0"/>
          <w:shd w:val="clear" w:color="auto" w:fill="FFFFFF"/>
        </w:rPr>
        <w:t> (2022) “Internet of things and health care in pandemic COVID-19: System requirements evaluation,” </w:t>
      </w:r>
      <w:r>
        <w:rPr>
          <w:i/>
          <w:szCs w:val="24"/>
          <w:bdr w:val="none" w:color="000000" w:sz="0" w:space="0"/>
          <w:shd w:val="clear" w:color="auto" w:fill="FFFFFF"/>
        </w:rPr>
        <w:t>arXiv [eess.SP]</w:t>
      </w:r>
      <w:r>
        <w:rPr>
          <w:szCs w:val="24"/>
          <w:bdr w:val="none" w:color="000000" w:sz="0" w:space="0"/>
          <w:shd w:val="clear" w:color="auto" w:fill="FFFFFF"/>
        </w:rPr>
        <w:t xml:space="preserve">. Available at: </w:t>
      </w:r>
      <w:hyperlink w:history="1" r:id="rId17">
        <w:r>
          <w:rPr>
            <w:rStyle w:val="Hyperlink"/>
            <w:szCs w:val="24"/>
            <w:bdr w:val="none" w:color="000000" w:sz="0" w:space="0"/>
            <w:shd w:val="clear" w:color="auto" w:fill="FFFFFF"/>
          </w:rPr>
          <w:t>http://arxiv.org/abs/2205.03220</w:t>
        </w:r>
      </w:hyperlink>
      <w:r>
        <w:rPr>
          <w:szCs w:val="24"/>
          <w:bdr w:val="none" w:color="000000" w:sz="0" w:space="0"/>
          <w:shd w:val="clear" w:color="auto" w:fill="FFFFFF"/>
        </w:rPr>
        <w:t xml:space="preserve">. </w:t>
      </w:r>
    </w:p>
    <w:p xmlns:wp14="http://schemas.microsoft.com/office/word/2010/wordml" w:rsidR="00F95E67" w:rsidRDefault="00F95E67" w14:paraId="050E8EAF" wp14:textId="77777777">
      <w:pPr>
        <w:pStyle w:val="BodyText"/>
        <w:pBdr>
          <w:top w:val="none" w:color="000000" w:sz="0" w:space="0"/>
          <w:left w:val="none" w:color="000000" w:sz="0" w:space="0"/>
          <w:bottom w:val="none" w:color="000000" w:sz="0" w:space="0"/>
          <w:right w:val="none" w:color="000000" w:sz="0" w:space="0"/>
        </w:pBdr>
        <w:tabs>
          <w:tab w:val="left" w:pos="535"/>
        </w:tabs>
        <w:spacing w:before="171" w:after="171" w:line="240" w:lineRule="auto"/>
        <w:ind w:left="720" w:hanging="720"/>
        <w:rPr>
          <w:szCs w:val="24"/>
          <w:bdr w:val="none" w:color="000000" w:sz="0" w:space="0"/>
          <w:shd w:val="clear" w:color="auto" w:fill="FFFFFF"/>
        </w:rPr>
      </w:pPr>
      <w:r>
        <w:rPr>
          <w:szCs w:val="24"/>
          <w:bdr w:val="none" w:color="000000" w:sz="0" w:space="0"/>
          <w:shd w:val="clear" w:color="auto" w:fill="FFFFFF"/>
        </w:rPr>
        <w:t>Petkovic, J. </w:t>
      </w:r>
      <w:r>
        <w:rPr>
          <w:i/>
          <w:szCs w:val="24"/>
          <w:bdr w:val="none" w:color="000000" w:sz="0" w:space="0"/>
          <w:shd w:val="clear" w:color="auto" w:fill="FFFFFF"/>
        </w:rPr>
        <w:t>et al.</w:t>
      </w:r>
      <w:r>
        <w:rPr>
          <w:szCs w:val="24"/>
          <w:bdr w:val="none" w:color="000000" w:sz="0" w:space="0"/>
          <w:shd w:val="clear" w:color="auto" w:fill="FFFFFF"/>
        </w:rPr>
        <w:t> (2023) “Key issues for stakeholder engagement in the development of health and healthcare guidelines,” </w:t>
      </w:r>
      <w:r>
        <w:rPr>
          <w:i/>
          <w:szCs w:val="24"/>
          <w:bdr w:val="none" w:color="000000" w:sz="0" w:space="0"/>
          <w:shd w:val="clear" w:color="auto" w:fill="FFFFFF"/>
        </w:rPr>
        <w:t>Research involvement and engagement</w:t>
      </w:r>
      <w:r>
        <w:rPr>
          <w:szCs w:val="24"/>
          <w:bdr w:val="none" w:color="000000" w:sz="0" w:space="0"/>
          <w:shd w:val="clear" w:color="auto" w:fill="FFFFFF"/>
        </w:rPr>
        <w:t xml:space="preserve">, 9(1), p. 27. Available at: </w:t>
      </w:r>
      <w:hyperlink w:history="1" r:id="rId18">
        <w:r>
          <w:rPr>
            <w:rStyle w:val="Hyperlink"/>
            <w:szCs w:val="24"/>
            <w:bdr w:val="none" w:color="000000" w:sz="0" w:space="0"/>
            <w:shd w:val="clear" w:color="auto" w:fill="FFFFFF"/>
          </w:rPr>
          <w:t>https://doi.org/10.1186/s40900-023-00433-6</w:t>
        </w:r>
      </w:hyperlink>
      <w:r>
        <w:rPr>
          <w:szCs w:val="24"/>
          <w:bdr w:val="none" w:color="000000" w:sz="0" w:space="0"/>
          <w:shd w:val="clear" w:color="auto" w:fill="FFFFFF"/>
        </w:rPr>
        <w:t xml:space="preserve">. </w:t>
      </w:r>
    </w:p>
    <w:p xmlns:wp14="http://schemas.microsoft.com/office/word/2010/wordml" w:rsidR="00F95E67" w:rsidRDefault="00F95E67" w14:paraId="4AAA0139" wp14:textId="77777777">
      <w:pPr>
        <w:pStyle w:val="BodyText"/>
        <w:pBdr>
          <w:top w:val="none" w:color="000000" w:sz="0" w:space="0"/>
          <w:left w:val="none" w:color="000000" w:sz="0" w:space="0"/>
          <w:bottom w:val="none" w:color="000000" w:sz="0" w:space="0"/>
          <w:right w:val="none" w:color="000000" w:sz="0" w:space="0"/>
        </w:pBdr>
        <w:tabs>
          <w:tab w:val="left" w:pos="535"/>
        </w:tabs>
        <w:spacing w:before="171" w:after="171" w:line="240" w:lineRule="auto"/>
        <w:ind w:left="720" w:hanging="720"/>
        <w:rPr>
          <w:szCs w:val="24"/>
          <w:bdr w:val="none" w:color="000000" w:sz="0" w:space="0"/>
          <w:shd w:val="clear" w:color="auto" w:fill="FFFFFF"/>
        </w:rPr>
      </w:pPr>
      <w:r>
        <w:rPr>
          <w:szCs w:val="24"/>
          <w:bdr w:val="none" w:color="000000" w:sz="0" w:space="0"/>
          <w:shd w:val="clear" w:color="auto" w:fill="FFFFFF"/>
        </w:rPr>
        <w:t>Prestinoni, G. (2026) “Medical devices: Market environment &amp; stakeholder analysis,” in </w:t>
      </w:r>
      <w:r>
        <w:rPr>
          <w:i/>
          <w:szCs w:val="24"/>
          <w:bdr w:val="none" w:color="000000" w:sz="0" w:space="0"/>
          <w:shd w:val="clear" w:color="auto" w:fill="FFFFFF"/>
        </w:rPr>
        <w:t>Medical Device Management</w:t>
      </w:r>
      <w:r>
        <w:rPr>
          <w:szCs w:val="24"/>
          <w:bdr w:val="none" w:color="000000" w:sz="0" w:space="0"/>
          <w:shd w:val="clear" w:color="auto" w:fill="FFFFFF"/>
        </w:rPr>
        <w:t xml:space="preserve">. Cham: Springer Nature Switzerland, pp. 67–91. </w:t>
      </w:r>
    </w:p>
    <w:p xmlns:wp14="http://schemas.microsoft.com/office/word/2010/wordml" w:rsidR="00F95E67" w:rsidRDefault="00F95E67" w14:paraId="5E2396A5" wp14:textId="77777777">
      <w:pPr>
        <w:pStyle w:val="BodyText"/>
        <w:pBdr>
          <w:top w:val="none" w:color="000000" w:sz="0" w:space="0"/>
          <w:left w:val="none" w:color="000000" w:sz="0" w:space="0"/>
          <w:bottom w:val="none" w:color="000000" w:sz="0" w:space="0"/>
          <w:right w:val="none" w:color="000000" w:sz="0" w:space="0"/>
        </w:pBdr>
        <w:tabs>
          <w:tab w:val="left" w:pos="535"/>
        </w:tabs>
        <w:spacing w:before="171" w:after="171" w:line="240" w:lineRule="auto"/>
        <w:ind w:left="720" w:hanging="720"/>
        <w:rPr>
          <w:szCs w:val="24"/>
          <w:bdr w:val="none" w:color="000000" w:sz="0" w:space="0"/>
          <w:shd w:val="clear" w:color="auto" w:fill="FFFFFF"/>
        </w:rPr>
      </w:pPr>
      <w:r>
        <w:rPr>
          <w:szCs w:val="24"/>
          <w:bdr w:val="none" w:color="000000" w:sz="0" w:space="0"/>
          <w:shd w:val="clear" w:color="auto" w:fill="FFFFFF"/>
        </w:rPr>
        <w:t>Rodriguez, N.M. </w:t>
      </w:r>
      <w:r>
        <w:rPr>
          <w:i/>
          <w:szCs w:val="24"/>
          <w:bdr w:val="none" w:color="000000" w:sz="0" w:space="0"/>
          <w:shd w:val="clear" w:color="auto" w:fill="FFFFFF"/>
        </w:rPr>
        <w:t>et al.</w:t>
      </w:r>
      <w:r>
        <w:rPr>
          <w:szCs w:val="24"/>
          <w:bdr w:val="none" w:color="000000" w:sz="0" w:space="0"/>
          <w:shd w:val="clear" w:color="auto" w:fill="FFFFFF"/>
        </w:rPr>
        <w:t> (2023) “Thinking beyond the device: An overview of human- and equity-centered approaches for health technology design,” </w:t>
      </w:r>
      <w:r>
        <w:rPr>
          <w:i/>
          <w:szCs w:val="24"/>
          <w:bdr w:val="none" w:color="000000" w:sz="0" w:space="0"/>
          <w:shd w:val="clear" w:color="auto" w:fill="FFFFFF"/>
        </w:rPr>
        <w:t>Annual review of biomedical engineering</w:t>
      </w:r>
      <w:r>
        <w:rPr>
          <w:szCs w:val="24"/>
          <w:bdr w:val="none" w:color="000000" w:sz="0" w:space="0"/>
          <w:shd w:val="clear" w:color="auto" w:fill="FFFFFF"/>
        </w:rPr>
        <w:t xml:space="preserve">, 25(1), pp. 257–280. Available at: </w:t>
      </w:r>
      <w:hyperlink w:history="1" r:id="rId19">
        <w:r>
          <w:rPr>
            <w:rStyle w:val="Hyperlink"/>
            <w:szCs w:val="24"/>
            <w:bdr w:val="none" w:color="000000" w:sz="0" w:space="0"/>
            <w:shd w:val="clear" w:color="auto" w:fill="FFFFFF"/>
          </w:rPr>
          <w:t>https://doi.org/10.1146/annurev-bioeng-081922-024834</w:t>
        </w:r>
      </w:hyperlink>
      <w:r>
        <w:rPr>
          <w:szCs w:val="24"/>
          <w:bdr w:val="none" w:color="000000" w:sz="0" w:space="0"/>
          <w:shd w:val="clear" w:color="auto" w:fill="FFFFFF"/>
        </w:rPr>
        <w:t xml:space="preserve">. </w:t>
      </w:r>
    </w:p>
    <w:p xmlns:wp14="http://schemas.microsoft.com/office/word/2010/wordml" w:rsidR="00F95E67" w:rsidRDefault="00F95E67" w14:paraId="351FCD6F" wp14:textId="77777777">
      <w:pPr>
        <w:pStyle w:val="BodyText"/>
        <w:pBdr>
          <w:top w:val="none" w:color="000000" w:sz="0" w:space="0"/>
          <w:left w:val="none" w:color="000000" w:sz="0" w:space="0"/>
          <w:bottom w:val="none" w:color="000000" w:sz="0" w:space="0"/>
          <w:right w:val="none" w:color="000000" w:sz="0" w:space="0"/>
        </w:pBdr>
        <w:tabs>
          <w:tab w:val="left" w:pos="535"/>
        </w:tabs>
        <w:spacing w:before="171" w:after="171" w:line="240" w:lineRule="auto"/>
        <w:ind w:left="720" w:hanging="720"/>
        <w:rPr>
          <w:szCs w:val="24"/>
          <w:bdr w:val="none" w:color="000000" w:sz="0" w:space="0"/>
          <w:shd w:val="clear" w:color="auto" w:fill="FFFFFF"/>
        </w:rPr>
      </w:pPr>
      <w:r>
        <w:rPr>
          <w:szCs w:val="24"/>
          <w:bdr w:val="none" w:color="000000" w:sz="0" w:space="0"/>
          <w:shd w:val="clear" w:color="auto" w:fill="FFFFFF"/>
        </w:rPr>
        <w:t>Rodríguez</w:t>
      </w:r>
      <w:r>
        <w:rPr>
          <w:szCs w:val="24"/>
          <w:bdr w:val="none" w:color="000000" w:sz="0" w:space="0"/>
          <w:shd w:val="clear" w:color="auto" w:fill="FFFFFF"/>
        </w:rPr>
        <w:noBreakHyphen/>
        <w:t>Calero et al, D., Sr (2023) </w:t>
      </w:r>
      <w:r>
        <w:rPr>
          <w:i/>
          <w:szCs w:val="24"/>
          <w:bdr w:val="none" w:color="000000" w:sz="0" w:space="0"/>
          <w:shd w:val="clear" w:color="auto" w:fill="FFFFFF"/>
        </w:rPr>
        <w:t>Stakeholders, Prototypes, and Settings of Front</w:t>
      </w:r>
      <w:r>
        <w:rPr>
          <w:i/>
          <w:szCs w:val="24"/>
          <w:bdr w:val="none" w:color="000000" w:sz="0" w:space="0"/>
          <w:shd w:val="clear" w:color="auto" w:fill="FFFFFF"/>
        </w:rPr>
        <w:noBreakHyphen/>
        <w:t>End Medical Device Design Activities. Study on stakeholder engagement during device design</w:t>
      </w:r>
      <w:r>
        <w:rPr>
          <w:szCs w:val="24"/>
          <w:bdr w:val="none" w:color="000000" w:sz="0" w:space="0"/>
          <w:shd w:val="clear" w:color="auto" w:fill="FFFFFF"/>
        </w:rPr>
        <w:t>, </w:t>
      </w:r>
      <w:r>
        <w:rPr>
          <w:i/>
          <w:szCs w:val="24"/>
          <w:bdr w:val="none" w:color="000000" w:sz="0" w:space="0"/>
          <w:shd w:val="clear" w:color="auto" w:fill="FFFFFF"/>
        </w:rPr>
        <w:t>Umich.edu</w:t>
      </w:r>
      <w:r>
        <w:rPr>
          <w:szCs w:val="24"/>
          <w:bdr w:val="none" w:color="000000" w:sz="0" w:space="0"/>
          <w:shd w:val="clear" w:color="auto" w:fill="FFFFFF"/>
        </w:rPr>
        <w:t xml:space="preserve">. Available at: </w:t>
      </w:r>
      <w:hyperlink w:history="1" r:id="rId20">
        <w:r>
          <w:rPr>
            <w:rStyle w:val="Hyperlink"/>
            <w:szCs w:val="24"/>
            <w:bdr w:val="none" w:color="000000" w:sz="0" w:space="0"/>
            <w:shd w:val="clear" w:color="auto" w:fill="FFFFFF"/>
          </w:rPr>
          <w:t>https://dalyresearch.engin.umich.edu/wp-content/uploads/sites/237/2023/08/Coulentianos-Rodriguez-Calero-Daly-Burridge-Sienko-Stakeholders-Prototypes-and-Settings-of-Front-End-Medical-Device-Design-Activities.pdf</w:t>
        </w:r>
      </w:hyperlink>
      <w:r>
        <w:rPr>
          <w:szCs w:val="24"/>
          <w:bdr w:val="none" w:color="000000" w:sz="0" w:space="0"/>
          <w:shd w:val="clear" w:color="auto" w:fill="FFFFFF"/>
        </w:rPr>
        <w:t xml:space="preserve">  (Accessed: December 6, 2025).</w:t>
      </w:r>
    </w:p>
    <w:p xmlns:wp14="http://schemas.microsoft.com/office/word/2010/wordml" w:rsidR="00F95E67" w:rsidRDefault="00F95E67" w14:paraId="0A09F74B" wp14:textId="77777777">
      <w:pPr>
        <w:pStyle w:val="BodyText"/>
        <w:pBdr>
          <w:top w:val="none" w:color="000000" w:sz="0" w:space="0"/>
          <w:left w:val="none" w:color="000000" w:sz="0" w:space="0"/>
          <w:bottom w:val="none" w:color="000000" w:sz="0" w:space="0"/>
          <w:right w:val="none" w:color="000000" w:sz="0" w:space="0"/>
        </w:pBdr>
        <w:tabs>
          <w:tab w:val="left" w:pos="535"/>
        </w:tabs>
        <w:spacing w:before="171" w:after="171" w:line="240" w:lineRule="auto"/>
        <w:ind w:left="720" w:hanging="720"/>
        <w:rPr>
          <w:szCs w:val="24"/>
          <w:bdr w:val="none" w:color="000000" w:sz="0" w:space="0"/>
          <w:shd w:val="clear" w:color="auto" w:fill="FFFFFF"/>
        </w:rPr>
      </w:pPr>
      <w:r>
        <w:rPr>
          <w:szCs w:val="24"/>
          <w:bdr w:val="none" w:color="000000" w:sz="0" w:space="0"/>
          <w:shd w:val="clear" w:color="auto" w:fill="FFFFFF"/>
        </w:rPr>
        <w:t>Savage, S. </w:t>
      </w:r>
      <w:r>
        <w:rPr>
          <w:i/>
          <w:szCs w:val="24"/>
          <w:bdr w:val="none" w:color="000000" w:sz="0" w:space="0"/>
          <w:shd w:val="clear" w:color="auto" w:fill="FFFFFF"/>
        </w:rPr>
        <w:t>et al.</w:t>
      </w:r>
      <w:r>
        <w:rPr>
          <w:szCs w:val="24"/>
          <w:bdr w:val="none" w:color="000000" w:sz="0" w:space="0"/>
          <w:shd w:val="clear" w:color="auto" w:fill="FFFFFF"/>
        </w:rPr>
        <w:t> (2022) “The global care ecosystems of 3D printed assistive devices,” </w:t>
      </w:r>
      <w:r>
        <w:rPr>
          <w:i/>
          <w:szCs w:val="24"/>
          <w:bdr w:val="none" w:color="000000" w:sz="0" w:space="0"/>
          <w:shd w:val="clear" w:color="auto" w:fill="FFFFFF"/>
        </w:rPr>
        <w:t>arXiv [cs.HC]</w:t>
      </w:r>
      <w:r>
        <w:rPr>
          <w:szCs w:val="24"/>
          <w:bdr w:val="none" w:color="000000" w:sz="0" w:space="0"/>
          <w:shd w:val="clear" w:color="auto" w:fill="FFFFFF"/>
        </w:rPr>
        <w:t>. Available at: http://arxiv.org/abs/2210.14984.</w:t>
      </w:r>
    </w:p>
    <w:p xmlns:wp14="http://schemas.microsoft.com/office/word/2010/wordml" w:rsidR="00F95E67" w:rsidRDefault="00F95E67" w14:paraId="0DC43061" wp14:textId="77777777">
      <w:pPr>
        <w:pStyle w:val="BodyText"/>
        <w:pBdr>
          <w:top w:val="none" w:color="000000" w:sz="0" w:space="0"/>
          <w:left w:val="none" w:color="000000" w:sz="0" w:space="0"/>
          <w:bottom w:val="none" w:color="000000" w:sz="0" w:space="0"/>
          <w:right w:val="none" w:color="000000" w:sz="0" w:space="0"/>
        </w:pBdr>
        <w:tabs>
          <w:tab w:val="left" w:pos="535"/>
        </w:tabs>
        <w:spacing w:before="171" w:after="171" w:line="240" w:lineRule="auto"/>
        <w:ind w:left="720" w:hanging="720"/>
        <w:rPr>
          <w:szCs w:val="24"/>
          <w:bdr w:val="none" w:color="000000" w:sz="0" w:space="0"/>
          <w:shd w:val="clear" w:color="auto" w:fill="FFFFFF"/>
        </w:rPr>
      </w:pPr>
      <w:r>
        <w:rPr>
          <w:szCs w:val="24"/>
          <w:bdr w:val="none" w:color="000000" w:sz="0" w:space="0"/>
          <w:shd w:val="clear" w:color="auto" w:fill="FFFFFF"/>
        </w:rPr>
        <w:t>Shepherd, B.H.&amp;. (2024) </w:t>
      </w:r>
      <w:r>
        <w:rPr>
          <w:i/>
          <w:szCs w:val="24"/>
          <w:bdr w:val="none" w:color="000000" w:sz="0" w:space="0"/>
          <w:shd w:val="clear" w:color="auto" w:fill="FFFFFF"/>
        </w:rPr>
        <w:t>The Influence of Stakeholder Involvement in the Adoption of Digital Technologies in the UK Construction Industry. While not medical device–specific, it gives insight into stakeholder involvement and adoption of digital technologies</w:t>
      </w:r>
      <w:r>
        <w:rPr>
          <w:szCs w:val="24"/>
          <w:bdr w:val="none" w:color="000000" w:sz="0" w:space="0"/>
          <w:shd w:val="clear" w:color="auto" w:fill="FFFFFF"/>
        </w:rPr>
        <w:t>, </w:t>
      </w:r>
      <w:r>
        <w:rPr>
          <w:i/>
          <w:szCs w:val="24"/>
          <w:bdr w:val="none" w:color="000000" w:sz="0" w:space="0"/>
          <w:shd w:val="clear" w:color="auto" w:fill="FFFFFF"/>
        </w:rPr>
        <w:t>Mdpi.com</w:t>
      </w:r>
      <w:r>
        <w:rPr>
          <w:szCs w:val="24"/>
          <w:bdr w:val="none" w:color="000000" w:sz="0" w:space="0"/>
          <w:shd w:val="clear" w:color="auto" w:fill="FFFFFF"/>
        </w:rPr>
        <w:t xml:space="preserve">. Available at: </w:t>
      </w:r>
      <w:hyperlink w:history="1" r:id="rId21">
        <w:r>
          <w:rPr>
            <w:rStyle w:val="Hyperlink"/>
            <w:szCs w:val="24"/>
            <w:bdr w:val="none" w:color="000000" w:sz="0" w:space="0"/>
            <w:shd w:val="clear" w:color="auto" w:fill="FFFFFF"/>
          </w:rPr>
          <w:t>https://www.mdpi.com/2227-9709/11/4/97?utm_source=chatgpt.com</w:t>
        </w:r>
      </w:hyperlink>
      <w:r>
        <w:rPr>
          <w:szCs w:val="24"/>
          <w:bdr w:val="none" w:color="000000" w:sz="0" w:space="0"/>
          <w:shd w:val="clear" w:color="auto" w:fill="FFFFFF"/>
        </w:rPr>
        <w:t xml:space="preserve">  (Accessed: December 6, 2025).</w:t>
      </w:r>
    </w:p>
    <w:p xmlns:wp14="http://schemas.microsoft.com/office/word/2010/wordml" w:rsidR="00F95E67" w:rsidRDefault="00F95E67" w14:paraId="76F6B918" wp14:textId="77777777">
      <w:pPr>
        <w:pStyle w:val="BodyText"/>
        <w:pBdr>
          <w:top w:val="none" w:color="000000" w:sz="0" w:space="0"/>
          <w:left w:val="none" w:color="000000" w:sz="0" w:space="0"/>
          <w:bottom w:val="none" w:color="000000" w:sz="0" w:space="0"/>
          <w:right w:val="none" w:color="000000" w:sz="0" w:space="0"/>
        </w:pBdr>
        <w:tabs>
          <w:tab w:val="left" w:pos="535"/>
        </w:tabs>
        <w:spacing w:before="171" w:after="171" w:line="240" w:lineRule="auto"/>
        <w:ind w:left="720" w:hanging="720"/>
        <w:rPr>
          <w:szCs w:val="24"/>
          <w:bdr w:val="none" w:color="000000" w:sz="0" w:space="0"/>
          <w:shd w:val="clear" w:color="auto" w:fill="FFFFFF"/>
        </w:rPr>
      </w:pPr>
      <w:r>
        <w:rPr>
          <w:szCs w:val="24"/>
          <w:bdr w:val="none" w:color="000000" w:sz="0" w:space="0"/>
          <w:shd w:val="clear" w:color="auto" w:fill="FFFFFF"/>
        </w:rPr>
        <w:t>Sun, Y. </w:t>
      </w:r>
      <w:r>
        <w:rPr>
          <w:i/>
          <w:szCs w:val="24"/>
          <w:bdr w:val="none" w:color="000000" w:sz="0" w:space="0"/>
          <w:shd w:val="clear" w:color="auto" w:fill="FFFFFF"/>
        </w:rPr>
        <w:t>et al.</w:t>
      </w:r>
      <w:r>
        <w:rPr>
          <w:szCs w:val="24"/>
          <w:bdr w:val="none" w:color="000000" w:sz="0" w:space="0"/>
          <w:shd w:val="clear" w:color="auto" w:fill="FFFFFF"/>
        </w:rPr>
        <w:t> (2025) “Wearable technologies for health promotion and disease prevention in older adults: Systematic scoping review and evidence map,” </w:t>
      </w:r>
      <w:r>
        <w:rPr>
          <w:i/>
          <w:szCs w:val="24"/>
          <w:bdr w:val="none" w:color="000000" w:sz="0" w:space="0"/>
          <w:shd w:val="clear" w:color="auto" w:fill="FFFFFF"/>
        </w:rPr>
        <w:t>Journal of medical internet research</w:t>
      </w:r>
      <w:r>
        <w:rPr>
          <w:szCs w:val="24"/>
          <w:bdr w:val="none" w:color="000000" w:sz="0" w:space="0"/>
          <w:shd w:val="clear" w:color="auto" w:fill="FFFFFF"/>
        </w:rPr>
        <w:t xml:space="preserve">, 27(1), p. e69077. Available at: </w:t>
      </w:r>
      <w:hyperlink w:history="1" r:id="rId22">
        <w:r>
          <w:rPr>
            <w:rStyle w:val="Hyperlink"/>
            <w:szCs w:val="24"/>
            <w:bdr w:val="none" w:color="000000" w:sz="0" w:space="0"/>
            <w:shd w:val="clear" w:color="auto" w:fill="FFFFFF"/>
          </w:rPr>
          <w:t>https://doi.org/10.2196/69077</w:t>
        </w:r>
      </w:hyperlink>
      <w:r>
        <w:rPr>
          <w:szCs w:val="24"/>
          <w:bdr w:val="none" w:color="000000" w:sz="0" w:space="0"/>
          <w:shd w:val="clear" w:color="auto" w:fill="FFFFFF"/>
        </w:rPr>
        <w:t xml:space="preserve">. </w:t>
      </w:r>
    </w:p>
    <w:p xmlns:wp14="http://schemas.microsoft.com/office/word/2010/wordml" w:rsidR="00F95E67" w:rsidRDefault="00F95E67" w14:paraId="5600583C" wp14:textId="77777777">
      <w:pPr>
        <w:pStyle w:val="BodyText"/>
        <w:pBdr>
          <w:top w:val="none" w:color="000000" w:sz="0" w:space="0"/>
          <w:left w:val="none" w:color="000000" w:sz="0" w:space="0"/>
          <w:bottom w:val="none" w:color="000000" w:sz="0" w:space="0"/>
          <w:right w:val="none" w:color="000000" w:sz="0" w:space="0"/>
        </w:pBdr>
        <w:tabs>
          <w:tab w:val="left" w:pos="535"/>
        </w:tabs>
        <w:spacing w:before="171" w:after="171" w:line="240" w:lineRule="auto"/>
        <w:ind w:left="720" w:hanging="720"/>
        <w:rPr>
          <w:szCs w:val="24"/>
          <w:bdr w:val="none" w:color="000000" w:sz="0" w:space="0"/>
          <w:shd w:val="clear" w:color="auto" w:fill="FFFFFF"/>
        </w:rPr>
      </w:pPr>
      <w:r>
        <w:rPr>
          <w:szCs w:val="24"/>
          <w:bdr w:val="none" w:color="000000" w:sz="0" w:space="0"/>
          <w:shd w:val="clear" w:color="auto" w:fill="FFFFFF"/>
        </w:rPr>
        <w:t>Tsai, I.-C., Wang, C.-D. and Chen, P.-T. (2023) “Strategies for medical device development: User and stakeholder perceptions,” </w:t>
      </w:r>
      <w:r>
        <w:rPr>
          <w:i/>
          <w:szCs w:val="24"/>
          <w:bdr w:val="none" w:color="000000" w:sz="0" w:space="0"/>
          <w:shd w:val="clear" w:color="auto" w:fill="FFFFFF"/>
        </w:rPr>
        <w:t>Journal of healthcare engineering</w:t>
      </w:r>
      <w:r>
        <w:rPr>
          <w:szCs w:val="24"/>
          <w:bdr w:val="none" w:color="000000" w:sz="0" w:space="0"/>
          <w:shd w:val="clear" w:color="auto" w:fill="FFFFFF"/>
        </w:rPr>
        <w:t xml:space="preserve">, 2023(1), p. 6724656. Available at: </w:t>
      </w:r>
      <w:hyperlink w:history="1" r:id="rId23">
        <w:r>
          <w:rPr>
            <w:rStyle w:val="Hyperlink"/>
            <w:szCs w:val="24"/>
            <w:bdr w:val="none" w:color="000000" w:sz="0" w:space="0"/>
            <w:shd w:val="clear" w:color="auto" w:fill="FFFFFF"/>
          </w:rPr>
          <w:t>https://doi.org/10.1155/2023/6724656</w:t>
        </w:r>
      </w:hyperlink>
      <w:r>
        <w:rPr>
          <w:szCs w:val="24"/>
          <w:bdr w:val="none" w:color="000000" w:sz="0" w:space="0"/>
          <w:shd w:val="clear" w:color="auto" w:fill="FFFFFF"/>
        </w:rPr>
        <w:t xml:space="preserve">. </w:t>
      </w:r>
    </w:p>
    <w:p xmlns:wp14="http://schemas.microsoft.com/office/word/2010/wordml" w:rsidR="00F95E67" w:rsidRDefault="00F95E67" w14:paraId="50016168" wp14:textId="77777777">
      <w:pPr>
        <w:pStyle w:val="BodyText"/>
        <w:pBdr>
          <w:top w:val="none" w:color="000000" w:sz="0" w:space="0"/>
          <w:left w:val="none" w:color="000000" w:sz="0" w:space="0"/>
          <w:bottom w:val="none" w:color="000000" w:sz="0" w:space="0"/>
          <w:right w:val="none" w:color="000000" w:sz="0" w:space="0"/>
        </w:pBdr>
        <w:tabs>
          <w:tab w:val="left" w:pos="535"/>
        </w:tabs>
        <w:spacing w:before="171" w:after="171" w:line="240" w:lineRule="auto"/>
        <w:ind w:left="720" w:hanging="720"/>
        <w:rPr>
          <w:szCs w:val="24"/>
          <w:bdr w:val="none" w:color="000000" w:sz="0" w:space="0"/>
          <w:shd w:val="clear" w:color="auto" w:fill="FFFFFF"/>
        </w:rPr>
      </w:pPr>
      <w:r>
        <w:rPr>
          <w:szCs w:val="24"/>
          <w:bdr w:val="none" w:color="000000" w:sz="0" w:space="0"/>
          <w:shd w:val="clear" w:color="auto" w:fill="FFFFFF"/>
        </w:rPr>
        <w:t>Vahdati, M. (monica), Laamarti, F. and El Saddik, A. (2025) “Meta-review of wearable devices for healthcare in the metaverse,” </w:t>
      </w:r>
      <w:r>
        <w:rPr>
          <w:i/>
          <w:szCs w:val="24"/>
          <w:bdr w:val="none" w:color="000000" w:sz="0" w:space="0"/>
          <w:shd w:val="clear" w:color="auto" w:fill="FFFFFF"/>
        </w:rPr>
        <w:t>ACM transactions on multimedia computing communications and applications</w:t>
      </w:r>
      <w:r>
        <w:rPr>
          <w:szCs w:val="24"/>
          <w:bdr w:val="none" w:color="000000" w:sz="0" w:space="0"/>
          <w:shd w:val="clear" w:color="auto" w:fill="FFFFFF"/>
        </w:rPr>
        <w:t xml:space="preserve">, 21(7), pp. 1–36. Available at: </w:t>
      </w:r>
      <w:hyperlink w:history="1" r:id="rId24">
        <w:r>
          <w:rPr>
            <w:rStyle w:val="Hyperlink"/>
            <w:szCs w:val="24"/>
            <w:bdr w:val="none" w:color="000000" w:sz="0" w:space="0"/>
            <w:shd w:val="clear" w:color="auto" w:fill="FFFFFF"/>
          </w:rPr>
          <w:t>https://doi.org/10.1145/3705320</w:t>
        </w:r>
      </w:hyperlink>
      <w:r>
        <w:rPr>
          <w:szCs w:val="24"/>
          <w:bdr w:val="none" w:color="000000" w:sz="0" w:space="0"/>
          <w:shd w:val="clear" w:color="auto" w:fill="FFFFFF"/>
        </w:rPr>
        <w:t xml:space="preserve">. </w:t>
      </w:r>
    </w:p>
    <w:p xmlns:wp14="http://schemas.microsoft.com/office/word/2010/wordml" w:rsidR="00F95E67" w:rsidRDefault="00F95E67" w14:paraId="5FD47427" wp14:textId="77777777">
      <w:pPr>
        <w:pStyle w:val="BodyText"/>
        <w:pBdr>
          <w:top w:val="none" w:color="000000" w:sz="0" w:space="0"/>
          <w:left w:val="none" w:color="000000" w:sz="0" w:space="0"/>
          <w:bottom w:val="none" w:color="000000" w:sz="0" w:space="0"/>
          <w:right w:val="none" w:color="000000" w:sz="0" w:space="0"/>
        </w:pBdr>
        <w:tabs>
          <w:tab w:val="left" w:pos="535"/>
        </w:tabs>
        <w:spacing w:before="171" w:after="171" w:line="240" w:lineRule="auto"/>
        <w:ind w:left="720" w:hanging="720"/>
        <w:rPr>
          <w:szCs w:val="24"/>
          <w:bdr w:val="none" w:color="000000" w:sz="0" w:space="0"/>
          <w:shd w:val="clear" w:color="auto" w:fill="FFFFFF"/>
        </w:rPr>
      </w:pPr>
      <w:r>
        <w:rPr>
          <w:szCs w:val="24"/>
          <w:bdr w:val="none" w:color="000000" w:sz="0" w:space="0"/>
          <w:shd w:val="clear" w:color="auto" w:fill="FFFFFF"/>
        </w:rPr>
        <w:t>Woudstra, K. </w:t>
      </w:r>
      <w:r>
        <w:rPr>
          <w:i/>
          <w:szCs w:val="24"/>
          <w:bdr w:val="none" w:color="000000" w:sz="0" w:space="0"/>
          <w:shd w:val="clear" w:color="auto" w:fill="FFFFFF"/>
        </w:rPr>
        <w:t>et al.</w:t>
      </w:r>
      <w:r>
        <w:rPr>
          <w:szCs w:val="24"/>
          <w:bdr w:val="none" w:color="000000" w:sz="0" w:space="0"/>
          <w:shd w:val="clear" w:color="auto" w:fill="FFFFFF"/>
        </w:rPr>
        <w:t> (2023) “An overview of stakeholders, methods, topics, and challenges in participatory approaches used in the development of medical devices: A scoping review,” </w:t>
      </w:r>
      <w:r>
        <w:rPr>
          <w:i/>
          <w:szCs w:val="24"/>
          <w:bdr w:val="none" w:color="000000" w:sz="0" w:space="0"/>
          <w:shd w:val="clear" w:color="auto" w:fill="FFFFFF"/>
        </w:rPr>
        <w:t>International journal of health policy and management</w:t>
      </w:r>
      <w:r>
        <w:rPr>
          <w:szCs w:val="24"/>
          <w:bdr w:val="none" w:color="000000" w:sz="0" w:space="0"/>
          <w:shd w:val="clear" w:color="auto" w:fill="FFFFFF"/>
        </w:rPr>
        <w:t xml:space="preserve">, 12, p. 6839. Available at: </w:t>
      </w:r>
      <w:hyperlink w:history="1" r:id="rId25">
        <w:r>
          <w:rPr>
            <w:rStyle w:val="Hyperlink"/>
            <w:szCs w:val="24"/>
            <w:bdr w:val="none" w:color="000000" w:sz="0" w:space="0"/>
            <w:shd w:val="clear" w:color="auto" w:fill="FFFFFF"/>
          </w:rPr>
          <w:t>https://doi.org/10.34172/ijhpm.2022.6839</w:t>
        </w:r>
      </w:hyperlink>
      <w:r>
        <w:rPr>
          <w:szCs w:val="24"/>
          <w:bdr w:val="none" w:color="000000" w:sz="0" w:space="0"/>
          <w:shd w:val="clear" w:color="auto" w:fill="FFFFFF"/>
        </w:rPr>
        <w:t xml:space="preserve">. </w:t>
      </w:r>
    </w:p>
    <w:p xmlns:wp14="http://schemas.microsoft.com/office/word/2010/wordml" w:rsidR="00F95E67" w:rsidRDefault="00F95E67" w14:paraId="4B94D5A5" wp14:textId="77777777">
      <w:pPr>
        <w:pStyle w:val="BodyText"/>
        <w:spacing w:before="171" w:line="240" w:lineRule="auto"/>
        <w:rPr>
          <w:szCs w:val="24"/>
          <w:bdr w:val="none" w:color="000000" w:sz="0" w:space="0"/>
          <w:shd w:val="clear" w:color="auto" w:fill="FFFFFF"/>
        </w:rPr>
      </w:pPr>
    </w:p>
    <w:p xmlns:wp14="http://schemas.microsoft.com/office/word/2010/wordml" w:rsidR="00F95E67" w:rsidRDefault="00F95E67" w14:paraId="3DEEC669" wp14:textId="77777777">
      <w:pPr>
        <w:pStyle w:val="BodyText"/>
        <w:spacing w:before="171" w:after="171" w:line="240" w:lineRule="auto"/>
        <w:ind w:left="540" w:hanging="540"/>
      </w:pPr>
    </w:p>
    <w:sectPr w:rsidR="00F95E67">
      <w:footerReference w:type="default" r:id="rId26"/>
      <w:footerReference w:type="first" r:id="rId27"/>
      <w:pgSz w:w="12240" w:h="15840" w:orient="portrait"/>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xmlns:wp14="http://schemas.microsoft.com/office/word/2010/wordml" w:rsidR="00F95E67" w:rsidRDefault="00F95E67" w14:paraId="45FB0818" wp14:textId="77777777">
      <w:pPr>
        <w:spacing w:line="240" w:lineRule="auto"/>
      </w:pPr>
      <w:r>
        <w:separator/>
      </w:r>
    </w:p>
  </w:endnote>
  <w:endnote w:type="continuationSeparator" w:id="0">
    <w:p xmlns:wp14="http://schemas.microsoft.com/office/word/2010/wordml" w:rsidR="00F95E67" w:rsidRDefault="00F95E67" w14:paraId="049F31CB" wp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Droid Sans">
    <w:charset w:val="80"/>
    <w:family w:val="auto"/>
    <w:pitch w:val="variable"/>
  </w:font>
  <w:font w:name="OpenSymbol">
    <w:altName w:val="Arial Unicode MS"/>
    <w:charset w:val="80"/>
    <w:family w:val="auto"/>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jaVu Sans">
    <w:altName w:val="MS Gothic"/>
    <w:charset w:val="80"/>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Lucida Sans">
    <w:panose1 w:val="020B0602030504020204"/>
    <w:charset w:val="00"/>
    <w:family w:val="swiss"/>
    <w:pitch w:val="variable"/>
    <w:sig w:usb0="00000003" w:usb1="00000000" w:usb2="00000000" w:usb3="00000000" w:csb0="00000001" w:csb1="00000000"/>
  </w:font>
  <w:font w:name="Tinos">
    <w:altName w:val="MS Gothic"/>
    <w:charset w:val="80"/>
    <w:family w:val="roman"/>
    <w:pitch w:val="variable"/>
  </w:font>
  <w:font w:name="DejaVu Sans Mono">
    <w:charset w:val="80"/>
    <w:family w:val="modern"/>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F95E67" w:rsidRDefault="00F95E67" w14:paraId="77BDAA42" wp14:textId="77777777">
    <w:pPr>
      <w:pStyle w:val="Footer"/>
      <w:jc w:val="right"/>
    </w:pPr>
    <w:r>
      <w:fldChar w:fldCharType="begin"/>
    </w:r>
    <w:r>
      <w:instrText xml:space="preserve"> PAGE </w:instrText>
    </w:r>
    <w:r>
      <w:fldChar w:fldCharType="separate"/>
    </w:r>
    <w:r>
      <w:t>21</w:t>
    </w:r>
    <w:r>
      <w:fldChar w:fldCharType="end"/>
    </w:r>
  </w:p>
  <w:p xmlns:wp14="http://schemas.microsoft.com/office/word/2010/wordml" w:rsidR="00F95E67" w:rsidRDefault="00F95E67" w14:paraId="3656B9AB" wp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F95E67" w:rsidRDefault="00F95E67" w14:paraId="4101652C" wp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xmlns:wp14="http://schemas.microsoft.com/office/word/2010/wordml" w:rsidR="00F95E67" w:rsidRDefault="00F95E67" w14:paraId="53128261" wp14:textId="77777777">
      <w:pPr>
        <w:spacing w:line="240" w:lineRule="auto"/>
      </w:pPr>
      <w:r>
        <w:separator/>
      </w:r>
    </w:p>
  </w:footnote>
  <w:footnote w:type="continuationSeparator" w:id="0">
    <w:p xmlns:wp14="http://schemas.microsoft.com/office/word/2010/wordml" w:rsidR="00F95E67" w:rsidRDefault="00F95E67" w14:paraId="62486C05" wp14:textId="7777777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rPr>
        <w:rFonts w:ascii="Symbol" w:hAnsi="Symbol" w:eastAsia="Droid Sans" w:cs="OpenSymbol"/>
        <w:sz w:val="28"/>
        <w:szCs w:val="24"/>
        <w:lang w:val="en-GB"/>
      </w:rPr>
    </w:lvl>
    <w:lvl w:ilvl="1">
      <w:start w:val="1"/>
      <w:numFmt w:val="none"/>
      <w:suff w:val="nothing"/>
      <w:lvlText w:val=""/>
      <w:lvlJc w:val="left"/>
      <w:pPr>
        <w:tabs>
          <w:tab w:val="num" w:pos="0"/>
        </w:tabs>
        <w:ind w:left="576" w:hanging="576"/>
      </w:pPr>
      <w:rPr>
        <w:rFonts w:ascii="OpenSymbol" w:hAnsi="OpenSymbol" w:cs="OpenSymbol"/>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multilevel"/>
    <w:tmpl w:val="00000003"/>
    <w:name w:val="WW8Num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4"/>
    <w:multiLevelType w:val="multilevel"/>
    <w:tmpl w:val="00000004"/>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5" w15:restartNumberingAfterBreak="0">
    <w:nsid w:val="00000006"/>
    <w:multiLevelType w:val="multilevel"/>
    <w:tmpl w:val="00000006"/>
    <w:name w:val="WW8Num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0"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15:restartNumberingAfterBreak="0">
    <w:nsid w:val="0000000D"/>
    <w:multiLevelType w:val="multilevel"/>
    <w:tmpl w:val="0000000D"/>
    <w:name w:val="WW8Num1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49518454">
    <w:abstractNumId w:val="0"/>
  </w:num>
  <w:num w:numId="2" w16cid:durableId="291181022">
    <w:abstractNumId w:val="1"/>
  </w:num>
  <w:num w:numId="3" w16cid:durableId="780803205">
    <w:abstractNumId w:val="2"/>
  </w:num>
  <w:num w:numId="4" w16cid:durableId="1294675611">
    <w:abstractNumId w:val="3"/>
  </w:num>
  <w:num w:numId="5" w16cid:durableId="613178061">
    <w:abstractNumId w:val="4"/>
  </w:num>
  <w:num w:numId="6" w16cid:durableId="942345232">
    <w:abstractNumId w:val="5"/>
  </w:num>
  <w:num w:numId="7" w16cid:durableId="1677881276">
    <w:abstractNumId w:val="6"/>
  </w:num>
  <w:num w:numId="8" w16cid:durableId="1120804165">
    <w:abstractNumId w:val="7"/>
  </w:num>
  <w:num w:numId="9" w16cid:durableId="556749152">
    <w:abstractNumId w:val="8"/>
  </w:num>
  <w:num w:numId="10" w16cid:durableId="182285295">
    <w:abstractNumId w:val="9"/>
  </w:num>
  <w:num w:numId="11" w16cid:durableId="1911111711">
    <w:abstractNumId w:val="10"/>
  </w:num>
  <w:num w:numId="12" w16cid:durableId="525338120">
    <w:abstractNumId w:val="11"/>
  </w:num>
  <w:num w:numId="13" w16cid:durableId="50004483">
    <w:abstractNumId w:val="1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view w:val="normal"/>
  <w:zoom w:percent="6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val="false"/>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021"/>
    <w:rsid w:val="00297021"/>
    <w:rsid w:val="00F31935"/>
    <w:rsid w:val="00F95E67"/>
    <w:rsid w:val="0A7A2319"/>
    <w:rsid w:val="23CC8313"/>
    <w:rsid w:val="5991B0AF"/>
    <w:rsid w:val="6C30626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90FA36E"/>
  <w15:chartTrackingRefBased/>
  <w15:docId w15:val="{D83CAD3C-ED68-4BAA-B000-422D3454BBE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uppressAutoHyphens/>
      <w:spacing w:line="360" w:lineRule="auto"/>
      <w:jc w:val="both"/>
    </w:pPr>
    <w:rPr>
      <w:rFonts w:eastAsia="Calibri"/>
      <w:color w:val="000000"/>
      <w:sz w:val="24"/>
      <w:szCs w:val="22"/>
      <w:lang w:eastAsia="zh-CN"/>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paragraph" w:styleId="Heading5">
    <w:name w:val="heading 5"/>
    <w:basedOn w:val="Heading"/>
    <w:next w:val="BodyText"/>
    <w:qFormat/>
    <w:pPr>
      <w:numPr>
        <w:ilvl w:val="4"/>
        <w:numId w:val="1"/>
      </w:numPr>
      <w:outlineLvl w:val="4"/>
    </w:pPr>
    <w:rPr>
      <w:b/>
      <w:bCs/>
      <w:sz w:val="24"/>
      <w:szCs w:val="24"/>
    </w:rPr>
  </w:style>
  <w:style w:type="paragraph" w:styleId="Heading6">
    <w:name w:val="heading 6"/>
    <w:basedOn w:val="Heading"/>
    <w:next w:val="BodyText"/>
    <w:qFormat/>
    <w:pPr>
      <w:numPr>
        <w:ilvl w:val="5"/>
        <w:numId w:val="1"/>
      </w:numPr>
      <w:outlineLvl w:val="5"/>
    </w:pPr>
    <w:rPr>
      <w:b/>
      <w:bCs/>
      <w:sz w:val="21"/>
      <w:szCs w:val="21"/>
    </w:rPr>
  </w:style>
  <w:style w:type="paragraph" w:styleId="Heading7">
    <w:name w:val="heading 7"/>
    <w:basedOn w:val="Heading"/>
    <w:next w:val="BodyText"/>
    <w:qFormat/>
    <w:pPr>
      <w:numPr>
        <w:ilvl w:val="6"/>
        <w:numId w:val="1"/>
      </w:numPr>
      <w:outlineLvl w:val="6"/>
    </w:pPr>
    <w:rPr>
      <w:b/>
      <w:bCs/>
      <w:sz w:val="21"/>
      <w:szCs w:val="21"/>
    </w:rPr>
  </w:style>
  <w:style w:type="paragraph" w:styleId="Heading8">
    <w:name w:val="heading 8"/>
    <w:basedOn w:val="Heading"/>
    <w:next w:val="BodyText"/>
    <w:qFormat/>
    <w:pPr>
      <w:numPr>
        <w:ilvl w:val="7"/>
        <w:numId w:val="1"/>
      </w:numPr>
      <w:outlineLvl w:val="7"/>
    </w:pPr>
    <w:rPr>
      <w:b/>
      <w:bCs/>
      <w:sz w:val="21"/>
      <w:szCs w:val="21"/>
    </w:rPr>
  </w:style>
  <w:style w:type="paragraph" w:styleId="Heading9">
    <w:name w:val="heading 9"/>
    <w:basedOn w:val="Heading"/>
    <w:next w:val="BodyText"/>
    <w:qFormat/>
    <w:pPr>
      <w:numPr>
        <w:ilvl w:val="8"/>
        <w:numId w:val="1"/>
      </w:numPr>
      <w:outlineLvl w:val="8"/>
    </w:pPr>
    <w:rPr>
      <w:b/>
      <w:bCs/>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WW8Num2z0" w:customStyle="1">
    <w:name w:val="WW8Num2z0"/>
    <w:rPr>
      <w:rFonts w:ascii="Symbol" w:hAnsi="Symbol" w:eastAsia="Droid Sans" w:cs="OpenSymbol"/>
      <w:sz w:val="28"/>
      <w:szCs w:val="24"/>
      <w:lang w:val="en-GB"/>
    </w:rPr>
  </w:style>
  <w:style w:type="character" w:styleId="WW8Num2z1" w:customStyle="1">
    <w:name w:val="WW8Num2z1"/>
    <w:rPr>
      <w:rFonts w:ascii="OpenSymbol" w:hAnsi="OpenSymbol" w:cs="OpenSymbol"/>
    </w:rPr>
  </w:style>
  <w:style w:type="character" w:styleId="WW8Num5z0" w:customStyle="1">
    <w:name w:val="WW8Num5z0"/>
    <w:rPr>
      <w:rFonts w:ascii="Symbol" w:hAnsi="Symbol" w:cs="OpenSymbol"/>
    </w:rPr>
  </w:style>
  <w:style w:type="character" w:styleId="WW8Num6z0" w:customStyle="1">
    <w:name w:val="WW8Num6z0"/>
    <w:rPr>
      <w:rFonts w:ascii="Symbol" w:hAnsi="Symbol" w:cs="OpenSymbol"/>
    </w:rPr>
  </w:style>
  <w:style w:type="character" w:styleId="WW8Num7z0" w:customStyle="1">
    <w:name w:val="WW8Num7z0"/>
    <w:rPr>
      <w:rFonts w:ascii="Symbol" w:hAnsi="Symbol" w:cs="OpenSymbol"/>
    </w:rPr>
  </w:style>
  <w:style w:type="character" w:styleId="WW8Num8z0" w:customStyle="1">
    <w:name w:val="WW8Num8z0"/>
    <w:rPr>
      <w:rFonts w:ascii="Symbol" w:hAnsi="Symbol" w:cs="OpenSymbol"/>
    </w:rPr>
  </w:style>
  <w:style w:type="character" w:styleId="WW8Num9z0" w:customStyle="1">
    <w:name w:val="WW8Num9z0"/>
    <w:rPr>
      <w:rFonts w:ascii="Symbol" w:hAnsi="Symbol" w:cs="OpenSymbol"/>
    </w:rPr>
  </w:style>
  <w:style w:type="character" w:styleId="WW8Num10z0" w:customStyle="1">
    <w:name w:val="WW8Num10z0"/>
    <w:rPr>
      <w:rFonts w:ascii="Symbol" w:hAnsi="Symbol" w:cs="OpenSymbol"/>
    </w:rPr>
  </w:style>
  <w:style w:type="character" w:styleId="WW8Num11z0" w:customStyle="1">
    <w:name w:val="WW8Num11z0"/>
    <w:rPr>
      <w:rFonts w:ascii="Symbol" w:hAnsi="Symbol" w:cs="OpenSymbol"/>
    </w:rPr>
  </w:style>
  <w:style w:type="character" w:styleId="WW8Num12z0" w:customStyle="1">
    <w:name w:val="WW8Num12z0"/>
    <w:rPr>
      <w:rFonts w:ascii="Symbol" w:hAnsi="Symbol" w:cs="OpenSymbol"/>
    </w:rPr>
  </w:style>
  <w:style w:type="character" w:styleId="WW8Num4z0" w:customStyle="1">
    <w:name w:val="WW8Num4z0"/>
    <w:rPr>
      <w:rFonts w:ascii="Symbol" w:hAnsi="Symbol" w:cs="OpenSymbol"/>
    </w:rPr>
  </w:style>
  <w:style w:type="character" w:styleId="WW8Num3z0" w:customStyle="1">
    <w:name w:val="WW8Num3z0"/>
    <w:rPr>
      <w:rFonts w:hint="default" w:ascii="Symbol" w:hAnsi="Symbol" w:cs="Symbol"/>
    </w:rPr>
  </w:style>
  <w:style w:type="character" w:styleId="WW8Num3z1" w:customStyle="1">
    <w:name w:val="WW8Num3z1"/>
    <w:rPr>
      <w:rFonts w:hint="default" w:ascii="Courier New" w:hAnsi="Courier New" w:cs="Courier New"/>
    </w:rPr>
  </w:style>
  <w:style w:type="character" w:styleId="WW8Num3z2" w:customStyle="1">
    <w:name w:val="WW8Num3z2"/>
    <w:rPr>
      <w:rFonts w:hint="default" w:ascii="Wingdings" w:hAnsi="Wingdings" w:cs="Wingdings"/>
    </w:rPr>
  </w:style>
  <w:style w:type="character" w:styleId="WW8Num5z1" w:customStyle="1">
    <w:name w:val="WW8Num5z1"/>
    <w:rPr>
      <w:rFonts w:hint="default" w:ascii="Courier New" w:hAnsi="Courier New" w:cs="Courier New"/>
      <w:sz w:val="20"/>
    </w:rPr>
  </w:style>
  <w:style w:type="character" w:styleId="WW8Num5z2" w:customStyle="1">
    <w:name w:val="WW8Num5z2"/>
    <w:rPr>
      <w:rFonts w:hint="default" w:ascii="Wingdings" w:hAnsi="Wingdings" w:cs="Wingdings"/>
      <w:sz w:val="20"/>
    </w:rPr>
  </w:style>
  <w:style w:type="character" w:styleId="WW8Num6z1" w:customStyle="1">
    <w:name w:val="WW8Num6z1"/>
    <w:rPr>
      <w:rFonts w:hint="default" w:ascii="Courier New" w:hAnsi="Courier New" w:cs="Courier New"/>
      <w:sz w:val="20"/>
    </w:rPr>
  </w:style>
  <w:style w:type="character" w:styleId="WW8Num6z2" w:customStyle="1">
    <w:name w:val="WW8Num6z2"/>
    <w:rPr>
      <w:rFonts w:hint="default" w:ascii="Wingdings" w:hAnsi="Wingdings" w:cs="Wingdings"/>
      <w:sz w:val="20"/>
    </w:rPr>
  </w:style>
  <w:style w:type="character" w:styleId="WW8Num7z1" w:customStyle="1">
    <w:name w:val="WW8Num7z1"/>
    <w:rPr>
      <w:rFonts w:hint="default" w:ascii="Courier New" w:hAnsi="Courier New" w:cs="Courier New"/>
    </w:rPr>
  </w:style>
  <w:style w:type="character" w:styleId="WW8Num7z2" w:customStyle="1">
    <w:name w:val="WW8Num7z2"/>
    <w:rPr>
      <w:rFonts w:hint="default" w:ascii="Wingdings" w:hAnsi="Wingdings" w:cs="Wingdings"/>
    </w:rPr>
  </w:style>
  <w:style w:type="character" w:styleId="WW8Num8z1" w:customStyle="1">
    <w:name w:val="WW8Num8z1"/>
    <w:rPr>
      <w:rFonts w:hint="default" w:ascii="Courier New" w:hAnsi="Courier New" w:cs="Courier New"/>
      <w:sz w:val="20"/>
    </w:rPr>
  </w:style>
  <w:style w:type="character" w:styleId="WW8Num8z2" w:customStyle="1">
    <w:name w:val="WW8Num8z2"/>
    <w:rPr>
      <w:rFonts w:hint="default" w:ascii="Wingdings" w:hAnsi="Wingdings" w:cs="Wingdings"/>
      <w:sz w:val="20"/>
    </w:rPr>
  </w:style>
  <w:style w:type="character" w:styleId="WW8Num9z1" w:customStyle="1">
    <w:name w:val="WW8Num9z1"/>
    <w:rPr>
      <w:rFonts w:hint="default" w:ascii="Courier New" w:hAnsi="Courier New" w:cs="Courier New"/>
      <w:sz w:val="20"/>
    </w:rPr>
  </w:style>
  <w:style w:type="character" w:styleId="WW8Num9z2" w:customStyle="1">
    <w:name w:val="WW8Num9z2"/>
    <w:rPr>
      <w:rFonts w:hint="default" w:ascii="Wingdings" w:hAnsi="Wingdings" w:cs="Wingdings"/>
      <w:sz w:val="20"/>
    </w:rPr>
  </w:style>
  <w:style w:type="character" w:styleId="WW8Num10z1" w:customStyle="1">
    <w:name w:val="WW8Num10z1"/>
    <w:rPr>
      <w:rFonts w:hint="default" w:ascii="Courier New" w:hAnsi="Courier New" w:cs="Courier New"/>
      <w:sz w:val="20"/>
    </w:rPr>
  </w:style>
  <w:style w:type="character" w:styleId="WW8Num10z2" w:customStyle="1">
    <w:name w:val="WW8Num10z2"/>
    <w:rPr>
      <w:rFonts w:hint="default" w:ascii="Wingdings" w:hAnsi="Wingdings" w:cs="Wingdings"/>
      <w:sz w:val="20"/>
    </w:rPr>
  </w:style>
  <w:style w:type="character" w:styleId="WW8Num11z1" w:customStyle="1">
    <w:name w:val="WW8Num11z1"/>
    <w:rPr>
      <w:rFonts w:hint="default" w:ascii="Courier New" w:hAnsi="Courier New" w:cs="Courier New"/>
    </w:rPr>
  </w:style>
  <w:style w:type="character" w:styleId="WW8Num11z2" w:customStyle="1">
    <w:name w:val="WW8Num11z2"/>
    <w:rPr>
      <w:rFonts w:hint="default" w:ascii="Wingdings" w:hAnsi="Wingdings" w:cs="Wingdings"/>
    </w:rPr>
  </w:style>
  <w:style w:type="character" w:styleId="WW8Num12z1" w:customStyle="1">
    <w:name w:val="WW8Num12z1"/>
    <w:rPr>
      <w:rFonts w:hint="default" w:ascii="Courier New" w:hAnsi="Courier New" w:cs="Courier New"/>
    </w:rPr>
  </w:style>
  <w:style w:type="character" w:styleId="WW8Num12z2" w:customStyle="1">
    <w:name w:val="WW8Num12z2"/>
    <w:rPr>
      <w:rFonts w:hint="default" w:ascii="Wingdings" w:hAnsi="Wingdings" w:cs="Wingdings"/>
    </w:rPr>
  </w:style>
  <w:style w:type="character" w:styleId="WW8Num13z0" w:customStyle="1">
    <w:name w:val="WW8Num13z0"/>
    <w:rPr>
      <w:rFonts w:hint="default" w:ascii="Symbol" w:hAnsi="Symbol" w:cs="Symbol"/>
      <w:sz w:val="20"/>
    </w:rPr>
  </w:style>
  <w:style w:type="character" w:styleId="WW8Num13z1" w:customStyle="1">
    <w:name w:val="WW8Num13z1"/>
    <w:rPr>
      <w:rFonts w:hint="default" w:ascii="Courier New" w:hAnsi="Courier New" w:cs="Courier New"/>
      <w:sz w:val="20"/>
    </w:rPr>
  </w:style>
  <w:style w:type="character" w:styleId="WW8Num13z2" w:customStyle="1">
    <w:name w:val="WW8Num13z2"/>
    <w:rPr>
      <w:rFonts w:hint="default" w:ascii="Wingdings" w:hAnsi="Wingdings" w:cs="Wingdings"/>
      <w:sz w:val="20"/>
    </w:rPr>
  </w:style>
  <w:style w:type="character" w:styleId="WW8Num14z0" w:customStyle="1">
    <w:name w:val="WW8Num14z0"/>
    <w:rPr>
      <w:rFonts w:hint="default" w:ascii="Symbol" w:hAnsi="Symbol" w:cs="Symbol"/>
      <w:sz w:val="20"/>
    </w:rPr>
  </w:style>
  <w:style w:type="character" w:styleId="WW8Num14z1" w:customStyle="1">
    <w:name w:val="WW8Num14z1"/>
    <w:rPr>
      <w:rFonts w:hint="default" w:ascii="Courier New" w:hAnsi="Courier New" w:cs="Courier New"/>
      <w:sz w:val="20"/>
    </w:rPr>
  </w:style>
  <w:style w:type="character" w:styleId="WW8Num14z2" w:customStyle="1">
    <w:name w:val="WW8Num14z2"/>
    <w:rPr>
      <w:rFonts w:hint="default" w:ascii="Wingdings" w:hAnsi="Wingdings" w:cs="Wingdings"/>
      <w:sz w:val="20"/>
    </w:rPr>
  </w:style>
  <w:style w:type="character" w:styleId="WW8Num15z0" w:customStyle="1">
    <w:name w:val="WW8Num15z0"/>
    <w:rPr>
      <w:rFonts w:hint="default" w:ascii="Symbol" w:hAnsi="Symbol" w:cs="Symbol"/>
    </w:rPr>
  </w:style>
  <w:style w:type="character" w:styleId="WW8Num15z1" w:customStyle="1">
    <w:name w:val="WW8Num15z1"/>
    <w:rPr>
      <w:rFonts w:hint="default" w:ascii="Courier New" w:hAnsi="Courier New" w:cs="Courier New"/>
    </w:rPr>
  </w:style>
  <w:style w:type="character" w:styleId="WW8Num15z2" w:customStyle="1">
    <w:name w:val="WW8Num15z2"/>
    <w:rPr>
      <w:rFonts w:hint="default" w:ascii="Wingdings" w:hAnsi="Wingdings" w:cs="Wingdings"/>
    </w:rPr>
  </w:style>
  <w:style w:type="character" w:styleId="DefaultParagraphFont1" w:customStyle="1">
    <w:name w:val="Default Paragraph Font1"/>
  </w:style>
  <w:style w:type="character" w:styleId="WW8Num1z0" w:customStyle="1">
    <w:name w:val="WW8Num1z0"/>
  </w:style>
  <w:style w:type="character" w:styleId="WW8Num1z1" w:customStyle="1">
    <w:name w:val="WW8Num1z1"/>
  </w:style>
  <w:style w:type="character" w:styleId="WW8Num1z2" w:customStyle="1">
    <w:name w:val="WW8Num1z2"/>
  </w:style>
  <w:style w:type="character" w:styleId="WW8Num1z3" w:customStyle="1">
    <w:name w:val="WW8Num1z3"/>
  </w:style>
  <w:style w:type="character" w:styleId="WW8Num1z4" w:customStyle="1">
    <w:name w:val="WW8Num1z4"/>
  </w:style>
  <w:style w:type="character" w:styleId="WW8Num1z5" w:customStyle="1">
    <w:name w:val="WW8Num1z5"/>
  </w:style>
  <w:style w:type="character" w:styleId="WW8Num1z6" w:customStyle="1">
    <w:name w:val="WW8Num1z6"/>
  </w:style>
  <w:style w:type="character" w:styleId="WW8Num1z7" w:customStyle="1">
    <w:name w:val="WW8Num1z7"/>
  </w:style>
  <w:style w:type="character" w:styleId="WW8Num1z8" w:customStyle="1">
    <w:name w:val="WW8Num1z8"/>
  </w:style>
  <w:style w:type="character" w:styleId="WW8Num2z2" w:customStyle="1">
    <w:name w:val="WW8Num2z2"/>
  </w:style>
  <w:style w:type="character" w:styleId="WW8Num2z3" w:customStyle="1">
    <w:name w:val="WW8Num2z3"/>
  </w:style>
  <w:style w:type="character" w:styleId="WW8Num2z4" w:customStyle="1">
    <w:name w:val="WW8Num2z4"/>
  </w:style>
  <w:style w:type="character" w:styleId="WW8Num2z5" w:customStyle="1">
    <w:name w:val="WW8Num2z5"/>
  </w:style>
  <w:style w:type="character" w:styleId="WW8Num2z6" w:customStyle="1">
    <w:name w:val="WW8Num2z6"/>
  </w:style>
  <w:style w:type="character" w:styleId="WW8Num2z7" w:customStyle="1">
    <w:name w:val="WW8Num2z7"/>
  </w:style>
  <w:style w:type="character" w:styleId="WW8Num2z8" w:customStyle="1">
    <w:name w:val="WW8Num2z8"/>
  </w:style>
  <w:style w:type="character" w:styleId="WW8Num3z3" w:customStyle="1">
    <w:name w:val="WW8Num3z3"/>
  </w:style>
  <w:style w:type="character" w:styleId="WW8Num3z4" w:customStyle="1">
    <w:name w:val="WW8Num3z4"/>
  </w:style>
  <w:style w:type="character" w:styleId="WW8Num3z5" w:customStyle="1">
    <w:name w:val="WW8Num3z5"/>
  </w:style>
  <w:style w:type="character" w:styleId="WW8Num3z6" w:customStyle="1">
    <w:name w:val="WW8Num3z6"/>
  </w:style>
  <w:style w:type="character" w:styleId="WW8Num3z7" w:customStyle="1">
    <w:name w:val="WW8Num3z7"/>
  </w:style>
  <w:style w:type="character" w:styleId="WW8Num3z8" w:customStyle="1">
    <w:name w:val="WW8Num3z8"/>
  </w:style>
  <w:style w:type="character" w:styleId="WW8Num4z1" w:customStyle="1">
    <w:name w:val="WW8Num4z1"/>
  </w:style>
  <w:style w:type="character" w:styleId="WW8Num4z2" w:customStyle="1">
    <w:name w:val="WW8Num4z2"/>
  </w:style>
  <w:style w:type="character" w:styleId="WW8Num5z3" w:customStyle="1">
    <w:name w:val="WW8Num5z3"/>
  </w:style>
  <w:style w:type="character" w:styleId="WW8Num5z4" w:customStyle="1">
    <w:name w:val="WW8Num5z4"/>
  </w:style>
  <w:style w:type="character" w:styleId="WW8Num5z5" w:customStyle="1">
    <w:name w:val="WW8Num5z5"/>
  </w:style>
  <w:style w:type="character" w:styleId="WW8Num5z6" w:customStyle="1">
    <w:name w:val="WW8Num5z6"/>
  </w:style>
  <w:style w:type="character" w:styleId="WW8Num5z7" w:customStyle="1">
    <w:name w:val="WW8Num5z7"/>
  </w:style>
  <w:style w:type="character" w:styleId="WW8Num5z8" w:customStyle="1">
    <w:name w:val="WW8Num5z8"/>
  </w:style>
  <w:style w:type="character" w:styleId="WW8Num12z3" w:customStyle="1">
    <w:name w:val="WW8Num12z3"/>
  </w:style>
  <w:style w:type="character" w:styleId="WW8Num12z4" w:customStyle="1">
    <w:name w:val="WW8Num12z4"/>
  </w:style>
  <w:style w:type="character" w:styleId="WW8Num12z5" w:customStyle="1">
    <w:name w:val="WW8Num12z5"/>
  </w:style>
  <w:style w:type="character" w:styleId="WW8Num12z6" w:customStyle="1">
    <w:name w:val="WW8Num12z6"/>
  </w:style>
  <w:style w:type="character" w:styleId="WW8Num12z7" w:customStyle="1">
    <w:name w:val="WW8Num12z7"/>
  </w:style>
  <w:style w:type="character" w:styleId="WW8Num12z8" w:customStyle="1">
    <w:name w:val="WW8Num12z8"/>
  </w:style>
  <w:style w:type="character" w:styleId="WW8Num16z0" w:customStyle="1">
    <w:name w:val="WW8Num16z0"/>
    <w:rPr>
      <w:rFonts w:hint="default" w:ascii="Symbol" w:hAnsi="Symbol" w:cs="Symbol"/>
    </w:rPr>
  </w:style>
  <w:style w:type="character" w:styleId="WW8Num16z1" w:customStyle="1">
    <w:name w:val="WW8Num16z1"/>
    <w:rPr>
      <w:rFonts w:hint="default" w:ascii="Courier New" w:hAnsi="Courier New" w:cs="Courier New"/>
    </w:rPr>
  </w:style>
  <w:style w:type="character" w:styleId="WW8Num16z2" w:customStyle="1">
    <w:name w:val="WW8Num16z2"/>
    <w:rPr>
      <w:rFonts w:hint="default" w:ascii="Wingdings" w:hAnsi="Wingdings" w:cs="Wingdings"/>
    </w:rPr>
  </w:style>
  <w:style w:type="character" w:styleId="WW8Num17z0" w:customStyle="1">
    <w:name w:val="WW8Num17z0"/>
    <w:rPr>
      <w:rFonts w:hint="default" w:ascii="Symbol" w:hAnsi="Symbol" w:cs="Symbol"/>
    </w:rPr>
  </w:style>
  <w:style w:type="character" w:styleId="WW8Num17z1" w:customStyle="1">
    <w:name w:val="WW8Num17z1"/>
    <w:rPr>
      <w:rFonts w:hint="default" w:ascii="Courier New" w:hAnsi="Courier New" w:cs="Courier New"/>
    </w:rPr>
  </w:style>
  <w:style w:type="character" w:styleId="WW8Num17z2" w:customStyle="1">
    <w:name w:val="WW8Num17z2"/>
    <w:rPr>
      <w:rFonts w:hint="default" w:ascii="Wingdings" w:hAnsi="Wingdings" w:cs="Wingdings"/>
    </w:rPr>
  </w:style>
  <w:style w:type="character" w:styleId="WW8Num18z0" w:customStyle="1">
    <w:name w:val="WW8Num18z0"/>
  </w:style>
  <w:style w:type="character" w:styleId="WW8Num18z1" w:customStyle="1">
    <w:name w:val="WW8Num18z1"/>
  </w:style>
  <w:style w:type="character" w:styleId="WW8Num18z2" w:customStyle="1">
    <w:name w:val="WW8Num18z2"/>
  </w:style>
  <w:style w:type="character" w:styleId="WW8Num18z3" w:customStyle="1">
    <w:name w:val="WW8Num18z3"/>
  </w:style>
  <w:style w:type="character" w:styleId="WW8Num18z4" w:customStyle="1">
    <w:name w:val="WW8Num18z4"/>
  </w:style>
  <w:style w:type="character" w:styleId="WW8Num18z5" w:customStyle="1">
    <w:name w:val="WW8Num18z5"/>
  </w:style>
  <w:style w:type="character" w:styleId="WW8Num18z6" w:customStyle="1">
    <w:name w:val="WW8Num18z6"/>
  </w:style>
  <w:style w:type="character" w:styleId="WW8Num18z7" w:customStyle="1">
    <w:name w:val="WW8Num18z7"/>
  </w:style>
  <w:style w:type="character" w:styleId="WW8Num18z8" w:customStyle="1">
    <w:name w:val="WW8Num18z8"/>
  </w:style>
  <w:style w:type="character" w:styleId="WW8Num19z0" w:customStyle="1">
    <w:name w:val="WW8Num19z0"/>
    <w:rPr>
      <w:rFonts w:hint="default" w:ascii="Symbol" w:hAnsi="Symbol" w:cs="Symbol"/>
    </w:rPr>
  </w:style>
  <w:style w:type="character" w:styleId="WW8Num19z1" w:customStyle="1">
    <w:name w:val="WW8Num19z1"/>
    <w:rPr>
      <w:rFonts w:hint="default" w:ascii="Courier New" w:hAnsi="Courier New" w:cs="Courier New"/>
    </w:rPr>
  </w:style>
  <w:style w:type="character" w:styleId="WW8Num19z2" w:customStyle="1">
    <w:name w:val="WW8Num19z2"/>
    <w:rPr>
      <w:rFonts w:hint="default" w:ascii="Wingdings" w:hAnsi="Wingdings" w:cs="Wingdings"/>
    </w:rPr>
  </w:style>
  <w:style w:type="character" w:styleId="WW8Num20z0" w:customStyle="1">
    <w:name w:val="WW8Num20z0"/>
    <w:rPr>
      <w:rFonts w:hint="default" w:ascii="Symbol" w:hAnsi="Symbol" w:cs="Symbol"/>
    </w:rPr>
  </w:style>
  <w:style w:type="character" w:styleId="WW8Num20z1" w:customStyle="1">
    <w:name w:val="WW8Num20z1"/>
    <w:rPr>
      <w:rFonts w:hint="default" w:ascii="Courier New" w:hAnsi="Courier New" w:cs="Courier New"/>
    </w:rPr>
  </w:style>
  <w:style w:type="character" w:styleId="WW8Num20z2" w:customStyle="1">
    <w:name w:val="WW8Num20z2"/>
    <w:rPr>
      <w:rFonts w:hint="default" w:ascii="Wingdings" w:hAnsi="Wingdings" w:cs="Wingdings"/>
    </w:rPr>
  </w:style>
  <w:style w:type="character" w:styleId="WW8Num21z0" w:customStyle="1">
    <w:name w:val="WW8Num21z0"/>
    <w:rPr>
      <w:rFonts w:hint="default" w:ascii="Arial" w:hAnsi="Arial" w:cs="Arial"/>
    </w:rPr>
  </w:style>
  <w:style w:type="character" w:styleId="WW8Num22z0" w:customStyle="1">
    <w:name w:val="WW8Num22z0"/>
    <w:rPr>
      <w:rFonts w:hint="default"/>
    </w:rPr>
  </w:style>
  <w:style w:type="character" w:styleId="WW8Num22z1" w:customStyle="1">
    <w:name w:val="WW8Num22z1"/>
  </w:style>
  <w:style w:type="character" w:styleId="WW8Num22z2" w:customStyle="1">
    <w:name w:val="WW8Num22z2"/>
  </w:style>
  <w:style w:type="character" w:styleId="WW8Num22z3" w:customStyle="1">
    <w:name w:val="WW8Num22z3"/>
  </w:style>
  <w:style w:type="character" w:styleId="WW8Num22z4" w:customStyle="1">
    <w:name w:val="WW8Num22z4"/>
  </w:style>
  <w:style w:type="character" w:styleId="WW8Num22z5" w:customStyle="1">
    <w:name w:val="WW8Num22z5"/>
  </w:style>
  <w:style w:type="character" w:styleId="WW8Num22z6" w:customStyle="1">
    <w:name w:val="WW8Num22z6"/>
  </w:style>
  <w:style w:type="character" w:styleId="WW8Num22z7" w:customStyle="1">
    <w:name w:val="WW8Num22z7"/>
  </w:style>
  <w:style w:type="character" w:styleId="WW8Num22z8" w:customStyle="1">
    <w:name w:val="WW8Num22z8"/>
  </w:style>
  <w:style w:type="character" w:styleId="WW8Num23z0" w:customStyle="1">
    <w:name w:val="WW8Num23z0"/>
    <w:rPr>
      <w:rFonts w:hint="default" w:ascii="Symbol" w:hAnsi="Symbol" w:cs="Symbol"/>
    </w:rPr>
  </w:style>
  <w:style w:type="character" w:styleId="WW8Num23z1" w:customStyle="1">
    <w:name w:val="WW8Num23z1"/>
    <w:rPr>
      <w:rFonts w:hint="default" w:ascii="Courier New" w:hAnsi="Courier New" w:cs="Courier New"/>
    </w:rPr>
  </w:style>
  <w:style w:type="character" w:styleId="WW8Num23z2" w:customStyle="1">
    <w:name w:val="WW8Num23z2"/>
    <w:rPr>
      <w:rFonts w:hint="default" w:ascii="Wingdings" w:hAnsi="Wingdings" w:cs="Wingdings"/>
    </w:rPr>
  </w:style>
  <w:style w:type="character" w:styleId="WW8Num24z0" w:customStyle="1">
    <w:name w:val="WW8Num24z0"/>
    <w:rPr>
      <w:rFonts w:hint="default" w:ascii="Symbol" w:hAnsi="Symbol" w:cs="Symbol"/>
    </w:rPr>
  </w:style>
  <w:style w:type="character" w:styleId="WW8Num24z1" w:customStyle="1">
    <w:name w:val="WW8Num24z1"/>
    <w:rPr>
      <w:rFonts w:hint="default" w:ascii="Courier New" w:hAnsi="Courier New" w:cs="Courier New"/>
    </w:rPr>
  </w:style>
  <w:style w:type="character" w:styleId="WW8Num24z2" w:customStyle="1">
    <w:name w:val="WW8Num24z2"/>
    <w:rPr>
      <w:rFonts w:hint="default" w:ascii="Wingdings" w:hAnsi="Wingdings" w:cs="Wingdings"/>
    </w:rPr>
  </w:style>
  <w:style w:type="character" w:styleId="WW8Num25z0" w:customStyle="1">
    <w:name w:val="WW8Num25z0"/>
    <w:rPr>
      <w:rFonts w:hint="default" w:ascii="Symbol" w:hAnsi="Symbol" w:cs="Symbol"/>
    </w:rPr>
  </w:style>
  <w:style w:type="character" w:styleId="WW8Num25z1" w:customStyle="1">
    <w:name w:val="WW8Num25z1"/>
    <w:rPr>
      <w:rFonts w:hint="default" w:ascii="Courier New" w:hAnsi="Courier New" w:cs="Courier New"/>
    </w:rPr>
  </w:style>
  <w:style w:type="character" w:styleId="WW8Num25z2" w:customStyle="1">
    <w:name w:val="WW8Num25z2"/>
    <w:rPr>
      <w:rFonts w:hint="default" w:ascii="Wingdings" w:hAnsi="Wingdings" w:cs="Wingdings"/>
    </w:rPr>
  </w:style>
  <w:style w:type="character" w:styleId="WW8Num26z0" w:customStyle="1">
    <w:name w:val="WW8Num26z0"/>
    <w:rPr>
      <w:rFonts w:hint="default" w:ascii="Symbol" w:hAnsi="Symbol" w:cs="Symbol"/>
    </w:rPr>
  </w:style>
  <w:style w:type="character" w:styleId="WW8Num26z1" w:customStyle="1">
    <w:name w:val="WW8Num26z1"/>
    <w:rPr>
      <w:rFonts w:hint="default" w:ascii="Courier New" w:hAnsi="Courier New" w:cs="Courier New"/>
    </w:rPr>
  </w:style>
  <w:style w:type="character" w:styleId="WW8Num26z2" w:customStyle="1">
    <w:name w:val="WW8Num26z2"/>
    <w:rPr>
      <w:rFonts w:hint="default" w:ascii="Wingdings" w:hAnsi="Wingdings" w:cs="Wingdings"/>
    </w:rPr>
  </w:style>
  <w:style w:type="character" w:styleId="WW8Num27z0" w:customStyle="1">
    <w:name w:val="WW8Num27z0"/>
    <w:rPr>
      <w:rFonts w:hint="default" w:ascii="Symbol" w:hAnsi="Symbol" w:cs="Symbol"/>
    </w:rPr>
  </w:style>
  <w:style w:type="character" w:styleId="WW8Num27z1" w:customStyle="1">
    <w:name w:val="WW8Num27z1"/>
    <w:rPr>
      <w:rFonts w:hint="default" w:ascii="Courier New" w:hAnsi="Courier New" w:cs="Courier New"/>
    </w:rPr>
  </w:style>
  <w:style w:type="character" w:styleId="WW8Num27z2" w:customStyle="1">
    <w:name w:val="WW8Num27z2"/>
    <w:rPr>
      <w:rFonts w:hint="default" w:ascii="Wingdings" w:hAnsi="Wingdings" w:cs="Wingdings"/>
    </w:rPr>
  </w:style>
  <w:style w:type="character" w:styleId="WW8Num28z0" w:customStyle="1">
    <w:name w:val="WW8Num28z0"/>
    <w:rPr>
      <w:rFonts w:hint="default" w:ascii="Symbol" w:hAnsi="Symbol" w:cs="Symbol"/>
      <w:sz w:val="20"/>
    </w:rPr>
  </w:style>
  <w:style w:type="character" w:styleId="WW8Num28z1" w:customStyle="1">
    <w:name w:val="WW8Num28z1"/>
    <w:rPr>
      <w:rFonts w:hint="default" w:ascii="Courier New" w:hAnsi="Courier New" w:cs="Courier New"/>
      <w:sz w:val="20"/>
    </w:rPr>
  </w:style>
  <w:style w:type="character" w:styleId="WW8Num28z2" w:customStyle="1">
    <w:name w:val="WW8Num28z2"/>
    <w:rPr>
      <w:rFonts w:hint="default" w:ascii="Wingdings" w:hAnsi="Wingdings" w:cs="Wingdings"/>
      <w:sz w:val="20"/>
    </w:rPr>
  </w:style>
  <w:style w:type="character" w:styleId="WW-DefaultParagraphFont" w:customStyle="1">
    <w:name w:val="WW-Default Paragraph Font"/>
  </w:style>
  <w:style w:type="character" w:styleId="WW-DefaultParagraphFont1" w:customStyle="1">
    <w:name w:val="WW-Default Paragraph Font1"/>
  </w:style>
  <w:style w:type="character" w:styleId="WW-DefaultParagraphFont11" w:customStyle="1">
    <w:name w:val="WW-Default Paragraph Font11"/>
  </w:style>
  <w:style w:type="character" w:styleId="WW8Num4z3" w:customStyle="1">
    <w:name w:val="WW8Num4z3"/>
  </w:style>
  <w:style w:type="character" w:styleId="WW8Num4z4" w:customStyle="1">
    <w:name w:val="WW8Num4z4"/>
  </w:style>
  <w:style w:type="character" w:styleId="WW8Num4z5" w:customStyle="1">
    <w:name w:val="WW8Num4z5"/>
  </w:style>
  <w:style w:type="character" w:styleId="WW8Num4z6" w:customStyle="1">
    <w:name w:val="WW8Num4z6"/>
  </w:style>
  <w:style w:type="character" w:styleId="WW8Num4z7" w:customStyle="1">
    <w:name w:val="WW8Num4z7"/>
  </w:style>
  <w:style w:type="character" w:styleId="WW8Num4z8" w:customStyle="1">
    <w:name w:val="WW8Num4z8"/>
  </w:style>
  <w:style w:type="character" w:styleId="WW-DefaultParagraphFont111" w:customStyle="1">
    <w:name w:val="WW-Default Paragraph Font111"/>
  </w:style>
  <w:style w:type="character" w:styleId="WW-DefaultParagraphFont1111" w:customStyle="1">
    <w:name w:val="WW-Default Paragraph Font1111"/>
  </w:style>
  <w:style w:type="character" w:styleId="WW-DefaultParagraphFont11111" w:customStyle="1">
    <w:name w:val="WW-Default Paragraph Font11111"/>
  </w:style>
  <w:style w:type="character" w:styleId="HeaderChar" w:customStyle="1">
    <w:name w:val="Header Char"/>
    <w:basedOn w:val="WW-DefaultParagraphFont11111"/>
  </w:style>
  <w:style w:type="character" w:styleId="FooterChar" w:customStyle="1">
    <w:name w:val="Footer Char"/>
    <w:basedOn w:val="WW-DefaultParagraphFont11111"/>
  </w:style>
  <w:style w:type="character" w:styleId="Heading1Char" w:customStyle="1">
    <w:name w:val="Heading 1 Char"/>
    <w:rPr>
      <w:rFonts w:ascii="Times New Roman" w:hAnsi="Times New Roman" w:eastAsia="Times New Roman" w:cs="Times New Roman"/>
      <w:b/>
      <w:bCs/>
      <w:sz w:val="28"/>
      <w:szCs w:val="28"/>
    </w:rPr>
  </w:style>
  <w:style w:type="character" w:styleId="Heading2Char" w:customStyle="1">
    <w:name w:val="Heading 2 Char"/>
    <w:rPr>
      <w:rFonts w:ascii="Times New Roman" w:hAnsi="Times New Roman" w:eastAsia="Times New Roman" w:cs="Times New Roman"/>
      <w:bCs/>
      <w:sz w:val="24"/>
      <w:szCs w:val="26"/>
      <w:u w:val="single"/>
    </w:rPr>
  </w:style>
  <w:style w:type="character" w:styleId="Bullets" w:customStyle="1">
    <w:name w:val="Bullets"/>
    <w:rPr>
      <w:rFonts w:ascii="OpenSymbol" w:hAnsi="OpenSymbol" w:eastAsia="OpenSymbol" w:cs="OpenSymbol"/>
    </w:rPr>
  </w:style>
  <w:style w:type="character" w:styleId="Hyperlink">
    <w:name w:val="Hyperlink"/>
    <w:rPr>
      <w:color w:val="000080"/>
      <w:u w:val="single"/>
      <w:lang/>
    </w:rPr>
  </w:style>
  <w:style w:type="character" w:styleId="CommentReference1" w:customStyle="1">
    <w:name w:val="Comment Reference1"/>
    <w:rPr>
      <w:sz w:val="16"/>
      <w:szCs w:val="16"/>
    </w:rPr>
  </w:style>
  <w:style w:type="character" w:styleId="WW8Num7z3" w:customStyle="1">
    <w:name w:val="WW8Num7z3"/>
  </w:style>
  <w:style w:type="character" w:styleId="WW8Num7z4" w:customStyle="1">
    <w:name w:val="WW8Num7z4"/>
  </w:style>
  <w:style w:type="character" w:styleId="WW8Num7z5" w:customStyle="1">
    <w:name w:val="WW8Num7z5"/>
  </w:style>
  <w:style w:type="character" w:styleId="WW8Num7z6" w:customStyle="1">
    <w:name w:val="WW8Num7z6"/>
  </w:style>
  <w:style w:type="character" w:styleId="WW8Num7z7" w:customStyle="1">
    <w:name w:val="WW8Num7z7"/>
  </w:style>
  <w:style w:type="character" w:styleId="WW8Num7z8" w:customStyle="1">
    <w:name w:val="WW8Num7z8"/>
  </w:style>
  <w:style w:type="character" w:styleId="NumberingSymbols" w:customStyle="1">
    <w:name w:val="Numbering Symbols"/>
  </w:style>
  <w:style w:type="character" w:styleId="Strong">
    <w:name w:val="Strong"/>
    <w:qFormat/>
    <w:rPr>
      <w:b/>
      <w:bCs/>
    </w:rPr>
  </w:style>
  <w:style w:type="character" w:styleId="FootnoteCharacters" w:customStyle="1">
    <w:name w:val="Footnote Characters"/>
  </w:style>
  <w:style w:type="character" w:styleId="FootnoteReference1" w:customStyle="1">
    <w:name w:val="Footnote Reference1"/>
    <w:rPr>
      <w:vertAlign w:val="superscript"/>
    </w:rPr>
  </w:style>
  <w:style w:type="character" w:styleId="EndnoteCharacters" w:customStyle="1">
    <w:name w:val="Endnote Characters"/>
    <w:rPr>
      <w:vertAlign w:val="superscript"/>
    </w:rPr>
  </w:style>
  <w:style w:type="character" w:styleId="WW-EndnoteCharacters" w:customStyle="1">
    <w:name w:val="WW-Endnote Characters"/>
  </w:style>
  <w:style w:type="character" w:styleId="IndexLink" w:customStyle="1">
    <w:name w:val="Index Link"/>
  </w:style>
  <w:style w:type="character" w:styleId="TitleChar" w:customStyle="1">
    <w:name w:val="Title Char"/>
    <w:rPr>
      <w:rFonts w:ascii="Cambria" w:hAnsi="Cambria" w:eastAsia="Times New Roman" w:cs="Times New Roman"/>
      <w:b/>
      <w:bCs/>
      <w:color w:val="000000"/>
      <w:kern w:val="2"/>
      <w:sz w:val="32"/>
      <w:szCs w:val="32"/>
      <w:lang w:val="en-GB"/>
    </w:rPr>
  </w:style>
  <w:style w:type="character" w:styleId="Emphasis">
    <w:name w:val="Emphasis"/>
    <w:qFormat/>
    <w:rPr>
      <w:i/>
      <w:iCs/>
    </w:rPr>
  </w:style>
  <w:style w:type="character" w:styleId="UnresolvedMention">
    <w:name w:val="Unresolved Mention"/>
    <w:rPr>
      <w:color w:val="605E5C"/>
      <w:shd w:val="clear" w:color="auto" w:fill="E1DFDD"/>
    </w:rPr>
  </w:style>
  <w:style w:type="character" w:styleId="FollowedHyperlink">
    <w:name w:val="FollowedHyperlink"/>
    <w:rPr>
      <w:color w:val="954F72"/>
      <w:u w:val="single"/>
    </w:rPr>
  </w:style>
  <w:style w:type="paragraph" w:styleId="Heading" w:customStyle="1">
    <w:name w:val="Heading"/>
    <w:basedOn w:val="Normal"/>
    <w:next w:val="BodyText"/>
    <w:pPr>
      <w:keepNext/>
      <w:spacing w:before="240" w:after="120"/>
    </w:pPr>
    <w:rPr>
      <w:rFonts w:ascii="Arial" w:hAnsi="Arial" w:eastAsia="Droid Sans"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Lucida Sans"/>
      <w:i/>
      <w:iCs/>
      <w:szCs w:val="24"/>
    </w:rPr>
  </w:style>
  <w:style w:type="paragraph" w:styleId="Index" w:customStyle="1">
    <w:name w:val="Index"/>
    <w:basedOn w:val="Normal"/>
    <w:pPr>
      <w:suppressLineNumbers/>
    </w:pPr>
    <w:rPr>
      <w:rFonts w:cs="DejaVu Sans"/>
    </w:rPr>
  </w:style>
  <w:style w:type="paragraph" w:styleId="caption1" w:customStyle="1">
    <w:name w:val="caption1"/>
    <w:basedOn w:val="Normal"/>
    <w:pPr>
      <w:suppressLineNumbers/>
      <w:spacing w:before="120" w:after="120"/>
    </w:pPr>
    <w:rPr>
      <w:rFonts w:cs="Lucida Sans"/>
      <w:i/>
      <w:iCs/>
      <w:szCs w:val="24"/>
    </w:rPr>
  </w:style>
  <w:style w:type="paragraph" w:styleId="caption11" w:customStyle="1">
    <w:name w:val="caption11"/>
    <w:basedOn w:val="Normal"/>
    <w:pPr>
      <w:suppressLineNumbers/>
      <w:spacing w:before="120" w:after="120"/>
    </w:pPr>
    <w:rPr>
      <w:rFonts w:cs="Lucida Sans"/>
      <w:i/>
      <w:iCs/>
      <w:szCs w:val="24"/>
    </w:rPr>
  </w:style>
  <w:style w:type="paragraph" w:styleId="caption111" w:customStyle="1">
    <w:name w:val="caption111"/>
    <w:basedOn w:val="Normal"/>
    <w:pPr>
      <w:suppressLineNumbers/>
      <w:spacing w:before="120" w:after="120"/>
    </w:pPr>
    <w:rPr>
      <w:rFonts w:cs="Lucida Sans"/>
      <w:i/>
      <w:iCs/>
      <w:szCs w:val="24"/>
    </w:rPr>
  </w:style>
  <w:style w:type="paragraph" w:styleId="caption1111" w:customStyle="1">
    <w:name w:val="caption1111"/>
    <w:basedOn w:val="Normal"/>
    <w:pPr>
      <w:suppressLineNumbers/>
      <w:spacing w:before="120" w:after="120"/>
    </w:pPr>
    <w:rPr>
      <w:rFonts w:cs="Lucida Sans"/>
      <w:i/>
      <w:iCs/>
      <w:szCs w:val="24"/>
    </w:rPr>
  </w:style>
  <w:style w:type="paragraph" w:styleId="caption11111" w:customStyle="1">
    <w:name w:val="caption11111"/>
    <w:basedOn w:val="Normal"/>
    <w:pPr>
      <w:suppressLineNumbers/>
      <w:spacing w:before="120" w:after="120"/>
    </w:pPr>
    <w:rPr>
      <w:rFonts w:cs="DejaVu Sans"/>
      <w:i/>
      <w:iCs/>
      <w:szCs w:val="24"/>
    </w:rPr>
  </w:style>
  <w:style w:type="paragraph" w:styleId="HeaderandFooter" w:customStyle="1">
    <w:name w:val="Header and Footer"/>
    <w:basedOn w:val="Normal"/>
    <w:pPr>
      <w:suppressLineNumbers/>
      <w:tabs>
        <w:tab w:val="center" w:pos="4986"/>
        <w:tab w:val="right" w:pos="9972"/>
      </w:tabs>
    </w:p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styleId="IndexHeading">
    <w:name w:val="index heading"/>
    <w:basedOn w:val="Heading"/>
    <w:pPr>
      <w:suppressLineNumbers/>
    </w:pPr>
    <w:rPr>
      <w:b/>
      <w:bCs/>
      <w:sz w:val="32"/>
      <w:szCs w:val="32"/>
    </w:rPr>
  </w:style>
  <w:style w:type="paragraph" w:styleId="TOCHeading">
    <w:name w:val="TOC Heading"/>
    <w:basedOn w:val="Heading"/>
    <w:qFormat/>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hAnsi="Tinos" w:eastAsia="Droid Sans" w:cs="DejaVu Sans"/>
      <w:sz w:val="24"/>
      <w:szCs w:val="24"/>
      <w:lang w:eastAsia="zh-CN" w:bidi="hi-IN"/>
    </w:rPr>
  </w:style>
  <w:style w:type="paragraph" w:styleId="TableContents" w:customStyle="1">
    <w:name w:val="Table Contents"/>
    <w:basedOn w:val="Normal"/>
    <w:pPr>
      <w:suppressLineNumbers/>
    </w:pPr>
  </w:style>
  <w:style w:type="paragraph" w:styleId="TableHeading" w:customStyle="1">
    <w:name w:val="Table Heading"/>
    <w:basedOn w:val="TableContents"/>
    <w:pPr>
      <w:jc w:val="center"/>
    </w:pPr>
    <w:rPr>
      <w:b/>
      <w:bCs/>
    </w:rPr>
  </w:style>
  <w:style w:type="paragraph" w:styleId="PreformattedText" w:customStyle="1">
    <w:name w:val="Preformatted Text"/>
    <w:basedOn w:val="Normal"/>
    <w:rPr>
      <w:rFonts w:ascii="DejaVu Sans Mono" w:hAnsi="DejaVu Sans Mono" w:eastAsia="Droid Sans" w:cs="DejaVu Sans Mono"/>
      <w:sz w:val="20"/>
      <w:szCs w:val="20"/>
    </w:rPr>
  </w:style>
  <w:style w:type="paragraph" w:styleId="ListParagraph">
    <w:name w:val="List Paragraph"/>
    <w:basedOn w:val="Normal"/>
    <w:qFormat/>
  </w:style>
  <w:style w:type="paragraph" w:styleId="TOC1">
    <w:name w:val="toc 1"/>
    <w:basedOn w:val="Index"/>
    <w:pPr>
      <w:tabs>
        <w:tab w:val="right" w:leader="dot" w:pos="9360"/>
      </w:tabs>
    </w:pPr>
  </w:style>
  <w:style w:type="paragraph" w:styleId="TOC2">
    <w:name w:val="toc 2"/>
    <w:basedOn w:val="Index"/>
    <w:pPr>
      <w:tabs>
        <w:tab w:val="right" w:leader="dot" w:pos="9077"/>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styleId="Contents10" w:customStyle="1">
    <w:name w:val="Contents 10"/>
    <w:basedOn w:val="Index"/>
    <w:pPr>
      <w:tabs>
        <w:tab w:val="right" w:leader="dot" w:pos="7091"/>
      </w:tabs>
      <w:ind w:left="2547"/>
    </w:pPr>
  </w:style>
  <w:style w:type="paragraph" w:styleId="FootnoteText">
    <w:name w:val="footnote text"/>
    <w:basedOn w:val="Normal"/>
    <w:pPr>
      <w:suppressLineNumbers/>
      <w:ind w:left="283" w:hanging="283"/>
    </w:pPr>
    <w:rPr>
      <w:sz w:val="20"/>
      <w:szCs w:val="20"/>
    </w:rPr>
  </w:style>
  <w:style w:type="paragraph" w:styleId="Title">
    <w:name w:val="Title"/>
    <w:basedOn w:val="Normal"/>
    <w:next w:val="Normal"/>
    <w:qFormat/>
    <w:pPr>
      <w:spacing w:before="240" w:after="60"/>
      <w:jc w:val="center"/>
    </w:pPr>
    <w:rPr>
      <w:rFonts w:ascii="Cambria" w:hAnsi="Cambria" w:eastAsia="Times New Roman"/>
      <w:b/>
      <w:bCs/>
      <w:kern w:val="2"/>
      <w:sz w:val="32"/>
      <w:szCs w:val="32"/>
    </w:rPr>
  </w:style>
  <w:style w:type="paragraph" w:styleId="Subtitle">
    <w:name w:val="Subtitle"/>
    <w:basedOn w:val="Heading"/>
    <w:next w:val="BodyText"/>
    <w:qFormat/>
    <w:pPr>
      <w:jc w:val="center"/>
    </w:pPr>
    <w:rPr>
      <w:i/>
      <w:iCs/>
    </w:rPr>
  </w:style>
  <w:style w:type="paragraph" w:styleId="NormalWeb">
    <w:name w:val="Normal (Web)"/>
    <w:basedOn w:val="Normal"/>
    <w:pPr>
      <w:spacing w:line="100" w:lineRule="atLeast"/>
    </w:pPr>
    <w:rPr>
      <w:szCs w:val="24"/>
    </w:rPr>
  </w:style>
  <w:style w:type="paragraph" w:styleId="Heading10" w:customStyle="1">
    <w:name w:val="Heading 10"/>
    <w:basedOn w:val="Heading"/>
    <w:next w:val="BodyText"/>
    <w:pPr>
      <w:numPr>
        <w:numId w:val="2"/>
      </w:numPr>
    </w:pPr>
    <w:rPr>
      <w:b/>
      <w:bCs/>
      <w:sz w:val="21"/>
      <w:szCs w:val="21"/>
    </w:rPr>
  </w:style>
  <w:style w:type="paragraph" w:styleId="WW-Default" w:customStyle="1">
    <w:name w:val="WW-Default"/>
    <w:pPr>
      <w:suppressAutoHyphens/>
      <w:autoSpaceDE w:val="0"/>
    </w:pPr>
    <w:rPr>
      <w:rFonts w:ascii="Arial" w:hAnsi="Arial" w:cs="Arial"/>
      <w:color w:val="000000"/>
      <w:sz w:val="24"/>
      <w:szCs w:val="24"/>
      <w:lang w:val="en-IN" w:eastAsia="zh-CN"/>
    </w:rPr>
  </w:style>
  <w:style w:type="paragraph" w:styleId="TableofFigures1" w:customStyle="1">
    <w:name w:val="Table of Figures1"/>
    <w:basedOn w:val="Normal"/>
    <w:next w:val="Normal"/>
  </w:style>
  <w:style w:type="paragraph" w:styleId="Figure" w:customStyle="1">
    <w:name w:val="Figure"/>
    <w:basedOn w:val="caption1111"/>
  </w:style>
  <w:style w:type="paragraph" w:styleId="FigureIndexHeading" w:customStyle="1">
    <w:name w:val="Figure Index Heading"/>
    <w:basedOn w:val="IndexHeading"/>
  </w:style>
  <w:style w:type="paragraph" w:styleId="tableoffigures2" w:customStyle="1">
    <w:name w:val="table of figures2"/>
    <w:basedOn w:val="Index"/>
    <w:pPr>
      <w:tabs>
        <w:tab w:val="right" w:leader="dot" w:pos="9360"/>
      </w:tabs>
    </w:pPr>
  </w:style>
  <w:style w:type="paragraph" w:styleId="Table" w:customStyle="1">
    <w:name w:val="Table"/>
    <w:basedOn w:val="caption1111"/>
  </w:style>
  <w:style w:type="paragraph" w:styleId="TableIndexHeading" w:customStyle="1">
    <w:name w:val="Table Index Heading"/>
    <w:basedOn w:val="IndexHeading"/>
  </w:style>
  <w:style w:type="paragraph" w:styleId="TableIndex1" w:customStyle="1">
    <w:name w:val="Table Index 1"/>
    <w:basedOn w:val="Index"/>
    <w:pPr>
      <w:tabs>
        <w:tab w:val="right" w:leader="dot" w:pos="9360"/>
      </w:tabs>
    </w:pPr>
  </w:style>
  <w:style w:type="paragraph" w:styleId="FrameContents" w:customStyle="1">
    <w:name w:val="Frame Contents"/>
    <w:basedOn w:val="Normal"/>
  </w:style>
  <w:style w:type="paragraph" w:styleId="TableofFigures">
    <w:name w:val="table of figures"/>
    <w:basedOn w:val="Index"/>
    <w:pPr>
      <w:tabs>
        <w:tab w:val="right" w:leader="dot" w:pos="936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hyperlink" Target="https://doi.org/10.1016/j.mcpdig.2024.05.003" TargetMode="External" Id="rId13" /><Relationship Type="http://schemas.openxmlformats.org/officeDocument/2006/relationships/hyperlink" Target="https://doi.org/10.1186/s40900-023-00433-6" TargetMode="External" Id="rId18" /><Relationship Type="http://schemas.openxmlformats.org/officeDocument/2006/relationships/footer" Target="footer1.xml" Id="rId26" /><Relationship Type="http://schemas.openxmlformats.org/officeDocument/2006/relationships/settings" Target="settings.xml" Id="rId3" /><Relationship Type="http://schemas.openxmlformats.org/officeDocument/2006/relationships/hyperlink" Target="https://www.mdpi.com/2227-9709/11/4/97?utm_source=chatgpt.com" TargetMode="External" Id="rId21" /><Relationship Type="http://schemas.openxmlformats.org/officeDocument/2006/relationships/image" Target="media/image1.png" Id="rId7" /><Relationship Type="http://schemas.openxmlformats.org/officeDocument/2006/relationships/hyperlink" Target="https://doi.org/10.1038/s41746-024-01151-3" TargetMode="External" Id="rId12" /><Relationship Type="http://schemas.openxmlformats.org/officeDocument/2006/relationships/hyperlink" Target="http://arxiv.org/abs/2205.03220" TargetMode="External" Id="rId17" /><Relationship Type="http://schemas.openxmlformats.org/officeDocument/2006/relationships/hyperlink" Target="https://doi.org/10.34172/ijhpm.2022.6839" TargetMode="External" Id="rId25" /><Relationship Type="http://schemas.openxmlformats.org/officeDocument/2006/relationships/styles" Target="styles.xml" Id="rId2" /><Relationship Type="http://schemas.openxmlformats.org/officeDocument/2006/relationships/hyperlink" Target="https://doi.org/10.3389/fdgth.2025.1534419" TargetMode="External" Id="rId16" /><Relationship Type="http://schemas.openxmlformats.org/officeDocument/2006/relationships/hyperlink" Target="https://dalyresearch.engin.umich.edu/wp-content/uploads/sites/237/2023/08/Coulentianos-Rodriguez-Calero-Daly-Burridge-Sienko-Stakeholders-Prototypes-and-Settings-of-Front-End-Medical-Device-Design-Activities.pdf" TargetMode="External" Id="rId20" /><Relationship Type="http://schemas.openxmlformats.org/officeDocument/2006/relationships/theme" Target="theme/theme1.xml" Id="rId29"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doi.org/10.1016/j.socscimed.2025.117685" TargetMode="External" Id="rId11" /><Relationship Type="http://schemas.openxmlformats.org/officeDocument/2006/relationships/hyperlink" Target="https://doi.org/10.1145/3705320" TargetMode="External" Id="rId24" /><Relationship Type="http://schemas.openxmlformats.org/officeDocument/2006/relationships/footnotes" Target="footnotes.xml" Id="rId5" /><Relationship Type="http://schemas.openxmlformats.org/officeDocument/2006/relationships/hyperlink" Target="https://doi.org/10.1371/journal.pdig.0000860" TargetMode="External" Id="rId15" /><Relationship Type="http://schemas.openxmlformats.org/officeDocument/2006/relationships/hyperlink" Target="https://doi.org/10.1155/2023/6724656" TargetMode="External" Id="rId23" /><Relationship Type="http://schemas.openxmlformats.org/officeDocument/2006/relationships/fontTable" Target="fontTable.xml" Id="rId28" /><Relationship Type="http://schemas.openxmlformats.org/officeDocument/2006/relationships/hyperlink" Target="https://www.mdpi.com/1424-8220/23/7/3597?utm_source=chatgpt.com" TargetMode="External" Id="rId10" /><Relationship Type="http://schemas.openxmlformats.org/officeDocument/2006/relationships/hyperlink" Target="https://doi.org/10.1146/annurev-bioeng-081922-024834" TargetMode="External" Id="rId19" /><Relationship Type="http://schemas.openxmlformats.org/officeDocument/2006/relationships/webSettings" Target="webSettings.xml" Id="rId4" /><Relationship Type="http://schemas.openxmlformats.org/officeDocument/2006/relationships/hyperlink" Target="https://doi.org/10.3389/fmed.2025.1557054" TargetMode="External" Id="rId9" /><Relationship Type="http://schemas.openxmlformats.org/officeDocument/2006/relationships/hyperlink" Target="https://doi.org/10.1002/epi4.13038" TargetMode="External" Id="rId14" /><Relationship Type="http://schemas.openxmlformats.org/officeDocument/2006/relationships/hyperlink" Target="https://doi.org/10.2196/69077" TargetMode="External" Id="rId22" /><Relationship Type="http://schemas.openxmlformats.org/officeDocument/2006/relationships/footer" Target="footer2.xml" Id="rId27"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dc:creator>
  <keywords/>
  <lastModifiedBy>Catalin-Alexandru Boghiu (2333790)</lastModifiedBy>
  <revision>3</revision>
  <lastPrinted>1601-01-01T00:00:00.0000000Z</lastPrinted>
  <dcterms:created xsi:type="dcterms:W3CDTF">2025-12-08T16:03:00.0000000Z</dcterms:created>
  <dcterms:modified xsi:type="dcterms:W3CDTF">2025-12-08T16:06:20.7886792Z</dcterms:modified>
</coreProperties>
</file>