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24E01" w14:textId="77777777" w:rsidR="00B047F9" w:rsidRDefault="00B047F9" w:rsidP="00AB1BC1">
      <w:pPr>
        <w:pStyle w:val="Normal1"/>
        <w:jc w:val="center"/>
        <w:rPr>
          <w:rFonts w:ascii="Arial" w:hAnsi="Arial" w:cs="Arial"/>
          <w:b/>
          <w:bCs/>
        </w:rPr>
      </w:pPr>
    </w:p>
    <w:p w14:paraId="0DEF31C6" w14:textId="77777777" w:rsidR="00B047F9" w:rsidRDefault="00B047F9" w:rsidP="00AB1BC1">
      <w:pPr>
        <w:pStyle w:val="Normal1"/>
        <w:jc w:val="center"/>
        <w:rPr>
          <w:rFonts w:ascii="Arial" w:hAnsi="Arial" w:cs="Arial"/>
          <w:b/>
          <w:bCs/>
        </w:rPr>
      </w:pPr>
    </w:p>
    <w:p w14:paraId="5BDFF494" w14:textId="77777777" w:rsidR="00B047F9" w:rsidRDefault="00B047F9" w:rsidP="00AB1BC1">
      <w:pPr>
        <w:pStyle w:val="Normal1"/>
        <w:jc w:val="center"/>
        <w:rPr>
          <w:rFonts w:ascii="Arial" w:hAnsi="Arial" w:cs="Arial"/>
          <w:b/>
          <w:bCs/>
        </w:rPr>
      </w:pPr>
    </w:p>
    <w:p w14:paraId="338860F3" w14:textId="77777777" w:rsidR="00B047F9" w:rsidRDefault="00B047F9" w:rsidP="00AB1BC1">
      <w:pPr>
        <w:pStyle w:val="Normal1"/>
        <w:jc w:val="center"/>
        <w:rPr>
          <w:rFonts w:ascii="Arial" w:hAnsi="Arial" w:cs="Arial"/>
          <w:b/>
          <w:bCs/>
        </w:rPr>
      </w:pPr>
    </w:p>
    <w:p w14:paraId="11727F88" w14:textId="77777777" w:rsidR="00B047F9" w:rsidRDefault="00B047F9" w:rsidP="00AB1BC1">
      <w:pPr>
        <w:pStyle w:val="Normal1"/>
        <w:jc w:val="center"/>
        <w:rPr>
          <w:rFonts w:ascii="Arial" w:hAnsi="Arial" w:cs="Arial"/>
          <w:b/>
          <w:bCs/>
        </w:rPr>
      </w:pPr>
    </w:p>
    <w:p w14:paraId="59AB9818" w14:textId="77777777" w:rsidR="00B047F9" w:rsidRDefault="00B047F9" w:rsidP="00AB1BC1">
      <w:pPr>
        <w:pStyle w:val="Normal1"/>
        <w:jc w:val="center"/>
        <w:rPr>
          <w:rFonts w:ascii="Arial" w:hAnsi="Arial" w:cs="Arial"/>
          <w:b/>
          <w:bCs/>
        </w:rPr>
      </w:pPr>
    </w:p>
    <w:p w14:paraId="604A7E00" w14:textId="77777777" w:rsidR="00B047F9" w:rsidRDefault="00B047F9" w:rsidP="00AB1BC1">
      <w:pPr>
        <w:pStyle w:val="Normal1"/>
        <w:jc w:val="center"/>
        <w:rPr>
          <w:rFonts w:ascii="Arial" w:hAnsi="Arial" w:cs="Arial"/>
          <w:b/>
          <w:bCs/>
        </w:rPr>
      </w:pPr>
    </w:p>
    <w:p w14:paraId="72740E11" w14:textId="77777777" w:rsidR="00B047F9" w:rsidRDefault="00B047F9" w:rsidP="00AB1BC1">
      <w:pPr>
        <w:pStyle w:val="Normal1"/>
        <w:jc w:val="center"/>
        <w:rPr>
          <w:rFonts w:ascii="Arial" w:hAnsi="Arial" w:cs="Arial"/>
          <w:b/>
          <w:bCs/>
        </w:rPr>
      </w:pPr>
    </w:p>
    <w:p w14:paraId="3C5A30D9" w14:textId="77777777" w:rsidR="00B047F9" w:rsidRDefault="00B047F9" w:rsidP="00AB1BC1">
      <w:pPr>
        <w:pStyle w:val="Normal1"/>
        <w:jc w:val="center"/>
        <w:rPr>
          <w:rFonts w:ascii="Arial" w:hAnsi="Arial" w:cs="Arial"/>
          <w:b/>
          <w:bCs/>
        </w:rPr>
      </w:pPr>
    </w:p>
    <w:p w14:paraId="7D4B9FDF" w14:textId="77777777" w:rsidR="00B047F9" w:rsidRDefault="00B047F9" w:rsidP="00AB1BC1">
      <w:pPr>
        <w:pStyle w:val="Normal1"/>
        <w:jc w:val="center"/>
        <w:rPr>
          <w:rFonts w:ascii="Arial" w:hAnsi="Arial" w:cs="Arial"/>
          <w:b/>
          <w:bCs/>
        </w:rPr>
      </w:pPr>
    </w:p>
    <w:p w14:paraId="52C00FC2" w14:textId="6B10C467" w:rsidR="00AB1BC1" w:rsidRDefault="00AB1BC1" w:rsidP="00AB1BC1">
      <w:pPr>
        <w:pStyle w:val="Normal1"/>
        <w:jc w:val="center"/>
        <w:rPr>
          <w:rFonts w:ascii="Arial" w:hAnsi="Arial" w:cs="Arial"/>
          <w:b/>
          <w:bCs/>
        </w:rPr>
      </w:pPr>
      <w:r w:rsidRPr="00E63BF1">
        <w:rPr>
          <w:rFonts w:ascii="Arial" w:hAnsi="Arial" w:cs="Arial"/>
          <w:b/>
          <w:bCs/>
        </w:rPr>
        <w:t>Criminal law</w:t>
      </w:r>
      <w:r>
        <w:rPr>
          <w:rFonts w:ascii="Arial" w:hAnsi="Arial" w:cs="Arial"/>
          <w:b/>
          <w:bCs/>
        </w:rPr>
        <w:t xml:space="preserve"> – Assignment 2</w:t>
      </w:r>
    </w:p>
    <w:p w14:paraId="2D29798B" w14:textId="77777777" w:rsidR="00AB1BC1" w:rsidRDefault="00AB1BC1" w:rsidP="00AB1BC1">
      <w:pPr>
        <w:pStyle w:val="Normal1"/>
        <w:jc w:val="right"/>
        <w:rPr>
          <w:rFonts w:ascii="Arial" w:hAnsi="Arial" w:cs="Arial"/>
          <w:b/>
          <w:bCs/>
        </w:rPr>
      </w:pPr>
    </w:p>
    <w:p w14:paraId="2B288AD6" w14:textId="77777777" w:rsidR="00AB1BC1" w:rsidRDefault="00AB1BC1" w:rsidP="00AB1BC1">
      <w:pPr>
        <w:pStyle w:val="Normal1"/>
        <w:jc w:val="center"/>
        <w:rPr>
          <w:rFonts w:ascii="Arial" w:hAnsi="Arial" w:cs="Arial"/>
          <w:b/>
          <w:bCs/>
        </w:rPr>
      </w:pPr>
      <w:r>
        <w:rPr>
          <w:rFonts w:ascii="Arial" w:hAnsi="Arial" w:cs="Arial"/>
          <w:b/>
          <w:bCs/>
        </w:rPr>
        <w:t>BMLW4005</w:t>
      </w:r>
    </w:p>
    <w:p w14:paraId="4D62F634" w14:textId="77777777" w:rsidR="00AB1BC1" w:rsidRDefault="00AB1BC1" w:rsidP="00AB1BC1">
      <w:pPr>
        <w:pStyle w:val="Normal1"/>
        <w:jc w:val="right"/>
        <w:rPr>
          <w:rFonts w:ascii="Arial" w:hAnsi="Arial" w:cs="Arial"/>
          <w:b/>
          <w:bCs/>
        </w:rPr>
      </w:pPr>
    </w:p>
    <w:p w14:paraId="688C0726" w14:textId="77777777" w:rsidR="00AB1BC1" w:rsidRDefault="00AB1BC1" w:rsidP="00AB1BC1">
      <w:pPr>
        <w:pStyle w:val="Normal1"/>
        <w:jc w:val="right"/>
        <w:rPr>
          <w:rFonts w:ascii="Arial" w:hAnsi="Arial" w:cs="Arial"/>
          <w:b/>
          <w:bCs/>
        </w:rPr>
      </w:pPr>
      <w:r>
        <w:rPr>
          <w:rFonts w:ascii="Arial" w:hAnsi="Arial" w:cs="Arial"/>
          <w:b/>
          <w:bCs/>
        </w:rPr>
        <w:t>Olga Bocancea</w:t>
      </w:r>
    </w:p>
    <w:p w14:paraId="5EFB29F9" w14:textId="77777777" w:rsidR="00AB1BC1" w:rsidRDefault="00AB1BC1" w:rsidP="00AB1BC1">
      <w:pPr>
        <w:pStyle w:val="Normal1"/>
        <w:jc w:val="right"/>
        <w:rPr>
          <w:rFonts w:ascii="Arial" w:hAnsi="Arial" w:cs="Arial"/>
          <w:b/>
          <w:bCs/>
        </w:rPr>
      </w:pPr>
      <w:r>
        <w:rPr>
          <w:rFonts w:ascii="Arial" w:hAnsi="Arial" w:cs="Arial"/>
          <w:b/>
          <w:bCs/>
        </w:rPr>
        <w:t>2232377</w:t>
      </w:r>
    </w:p>
    <w:p w14:paraId="0000000D" w14:textId="6DA2A5DB" w:rsidR="004D5581" w:rsidRPr="00895238" w:rsidRDefault="00895238" w:rsidP="00895238">
      <w:pPr>
        <w:jc w:val="left"/>
        <w:rPr>
          <w:rFonts w:ascii="Arial" w:hAnsi="Arial" w:cs="Arial"/>
          <w:b/>
        </w:rPr>
      </w:pPr>
      <w:r w:rsidRPr="00895238">
        <w:rPr>
          <w:rFonts w:ascii="Arial" w:hAnsi="Arial" w:cs="Arial"/>
        </w:rPr>
        <w:br w:type="page"/>
      </w:r>
      <w:bookmarkStart w:id="0" w:name="_y9idmhti0ww8" w:colFirst="0" w:colLast="0"/>
      <w:bookmarkEnd w:id="0"/>
      <w:r w:rsidRPr="00895238">
        <w:rPr>
          <w:rFonts w:ascii="Arial" w:hAnsi="Arial" w:cs="Arial"/>
          <w:color w:val="0E101A"/>
        </w:rPr>
        <w:lastRenderedPageBreak/>
        <w:t xml:space="preserve">The study aims to elaborate on legal concerns regarding homicide in the UK. Legislations relating to homicide in England and Wales have been discussed in the study. Some issues which appear in dealing with homicide cases have been explained in the study also. Proposals which have been made by the Law Commissioner for reforming the legislation of the UK regarding homicide have been mentioned in the study. The reasons have been outlined for which some of the proposals have been accepted and rejected and those decisions of the government have been justified as well. The proclamation against reform has been made in the study for which the old statute is being relied on. </w:t>
      </w:r>
    </w:p>
    <w:p w14:paraId="0000000F" w14:textId="70FF1B3D" w:rsidR="004D5581" w:rsidRPr="00895238" w:rsidRDefault="00895238" w:rsidP="00895238">
      <w:pPr>
        <w:jc w:val="left"/>
        <w:rPr>
          <w:rFonts w:ascii="Arial" w:hAnsi="Arial" w:cs="Arial"/>
          <w:color w:val="0E101A"/>
        </w:rPr>
      </w:pPr>
      <w:bookmarkStart w:id="1" w:name="_c8oltpl3ngk3" w:colFirst="0" w:colLast="0"/>
      <w:bookmarkEnd w:id="1"/>
      <w:r w:rsidRPr="00895238">
        <w:rPr>
          <w:rFonts w:ascii="Arial" w:hAnsi="Arial" w:cs="Arial"/>
          <w:color w:val="0E101A"/>
        </w:rPr>
        <w:t xml:space="preserve">The legal proliferation of murder has been explained in the Homicide Act 1957. There are two major requirements which must be performed by the prosecution to establish a case of murder (Legislation.gov.uk, 1957). </w:t>
      </w:r>
      <w:proofErr w:type="gramStart"/>
      <w:r w:rsidRPr="00895238">
        <w:rPr>
          <w:rFonts w:ascii="Arial" w:hAnsi="Arial" w:cs="Arial"/>
          <w:color w:val="0E101A"/>
        </w:rPr>
        <w:t>Firstly</w:t>
      </w:r>
      <w:proofErr w:type="gramEnd"/>
      <w:r w:rsidR="00D537FA">
        <w:rPr>
          <w:rFonts w:ascii="Arial" w:hAnsi="Arial" w:cs="Arial"/>
          <w:color w:val="0E101A"/>
        </w:rPr>
        <w:t xml:space="preserve"> </w:t>
      </w:r>
      <w:r w:rsidRPr="00895238">
        <w:rPr>
          <w:rFonts w:ascii="Arial" w:hAnsi="Arial" w:cs="Arial"/>
          <w:color w:val="0E101A"/>
        </w:rPr>
        <w:t>it is mandatory to prove that the unlawful death has been caused by an act or omission which has been performed by the defendant and that the act or omission was not the result of malice intention implied or expressed (</w:t>
      </w:r>
      <w:proofErr w:type="spellStart"/>
      <w:r w:rsidRPr="00895238">
        <w:rPr>
          <w:rFonts w:ascii="Arial" w:hAnsi="Arial" w:cs="Arial"/>
          <w:color w:val="0E101A"/>
        </w:rPr>
        <w:t>Lexis</w:t>
      </w:r>
      <w:r w:rsidR="004C12B0">
        <w:rPr>
          <w:rFonts w:ascii="Arial" w:hAnsi="Arial" w:cs="Arial"/>
          <w:color w:val="0E101A"/>
        </w:rPr>
        <w:t>Plus</w:t>
      </w:r>
      <w:proofErr w:type="spellEnd"/>
      <w:r w:rsidRPr="00895238">
        <w:rPr>
          <w:rFonts w:ascii="Arial" w:hAnsi="Arial" w:cs="Arial"/>
          <w:color w:val="0E101A"/>
        </w:rPr>
        <w:t>, 2023). According to section 1 of the Homicide Act 1957, an action will not be considered murder unless that has been performed with malice aforethought. Besides that</w:t>
      </w:r>
      <w:r w:rsidR="00F44A6C">
        <w:rPr>
          <w:rFonts w:ascii="Arial" w:hAnsi="Arial" w:cs="Arial"/>
          <w:color w:val="0E101A"/>
        </w:rPr>
        <w:t>,</w:t>
      </w:r>
      <w:r w:rsidRPr="00895238">
        <w:rPr>
          <w:rFonts w:ascii="Arial" w:hAnsi="Arial" w:cs="Arial"/>
          <w:color w:val="0E101A"/>
        </w:rPr>
        <w:t xml:space="preserve"> there are some other conditions also which are essential to be applicable with the defendant including unlawful killing, sound mind, under the King's peace as killing during the war will not amount to murder. According to the case of </w:t>
      </w:r>
      <w:proofErr w:type="spellStart"/>
      <w:r w:rsidRPr="00895238">
        <w:rPr>
          <w:rFonts w:ascii="Arial" w:hAnsi="Arial" w:cs="Arial"/>
          <w:b/>
          <w:color w:val="0E101A"/>
        </w:rPr>
        <w:t>Rance</w:t>
      </w:r>
      <w:proofErr w:type="spellEnd"/>
      <w:r w:rsidRPr="00895238">
        <w:rPr>
          <w:rFonts w:ascii="Arial" w:hAnsi="Arial" w:cs="Arial"/>
          <w:b/>
          <w:color w:val="0E101A"/>
        </w:rPr>
        <w:t xml:space="preserve"> v Mid-Downs Health Authority (1991) 1 All ER 801</w:t>
      </w:r>
      <w:r w:rsidRPr="00895238">
        <w:rPr>
          <w:rFonts w:ascii="Arial" w:hAnsi="Arial" w:cs="Arial"/>
          <w:color w:val="0E101A"/>
        </w:rPr>
        <w:t xml:space="preserve">, the killing must be of any human being, not any other creature. The court held that as the foetus had the capability of living and breathing during the 26th week of pregnancy, termination of pregnancy will amount to murder (e-law resources, 2023). </w:t>
      </w:r>
    </w:p>
    <w:p w14:paraId="00000010" w14:textId="77777777" w:rsidR="004D5581" w:rsidRPr="00895238" w:rsidRDefault="00895238" w:rsidP="00895238">
      <w:pPr>
        <w:jc w:val="left"/>
        <w:rPr>
          <w:rFonts w:ascii="Arial" w:hAnsi="Arial" w:cs="Arial"/>
          <w:color w:val="0E101A"/>
        </w:rPr>
      </w:pPr>
      <w:r w:rsidRPr="00895238">
        <w:rPr>
          <w:rFonts w:ascii="Arial" w:hAnsi="Arial" w:cs="Arial"/>
          <w:color w:val="0E101A"/>
        </w:rPr>
        <w:t xml:space="preserve">There are three aspects of the legislation of murder which have made the laws regarding homicide more dynamic in England and Wales. The intent is the element which is highly required to make sure that the act which has been performed is a homicide. The kind of intention has been specified by law as well as in the case of </w:t>
      </w:r>
      <w:r w:rsidRPr="00895238">
        <w:rPr>
          <w:rFonts w:ascii="Arial" w:hAnsi="Arial" w:cs="Arial"/>
          <w:b/>
          <w:color w:val="0E101A"/>
        </w:rPr>
        <w:t>R v Matthews (Darren John) [2003] EWCA Crim 192</w:t>
      </w:r>
      <w:r w:rsidRPr="00895238">
        <w:rPr>
          <w:rFonts w:ascii="Arial" w:hAnsi="Arial" w:cs="Arial"/>
          <w:color w:val="0E101A"/>
        </w:rPr>
        <w:t xml:space="preserve"> it has been said that the intention must consist of the aim so that death becomes certain to the person against whom the attack will be made or to cause grievous bodily harm (Meyer, 2014). In the case of an attempt to murder only the intention is enough to justify the contribution of the defendant in the act of malice though any grievous bodily harm has not been even caused also. Causation is another important factor to prove the fact that </w:t>
      </w:r>
      <w:r w:rsidRPr="00895238">
        <w:rPr>
          <w:rFonts w:ascii="Arial" w:hAnsi="Arial" w:cs="Arial"/>
          <w:color w:val="0E101A"/>
        </w:rPr>
        <w:lastRenderedPageBreak/>
        <w:t xml:space="preserve">homicide has been committed. It is required to make sure that the death has been caused as the result of the action and that action must be done by the defendant too (CPS, 2022). </w:t>
      </w:r>
    </w:p>
    <w:p w14:paraId="00000012" w14:textId="238ECF8E" w:rsidR="004D5581" w:rsidRPr="00895238" w:rsidRDefault="00895238" w:rsidP="00895238">
      <w:pPr>
        <w:jc w:val="left"/>
        <w:rPr>
          <w:rFonts w:ascii="Arial" w:hAnsi="Arial" w:cs="Arial"/>
          <w:color w:val="0E101A"/>
        </w:rPr>
      </w:pPr>
      <w:bookmarkStart w:id="2" w:name="_hnz0e019p9bg" w:colFirst="0" w:colLast="0"/>
      <w:bookmarkEnd w:id="2"/>
      <w:r w:rsidRPr="00895238">
        <w:rPr>
          <w:rFonts w:ascii="Arial" w:hAnsi="Arial" w:cs="Arial"/>
          <w:color w:val="0E101A"/>
        </w:rPr>
        <w:t xml:space="preserve">The defendant who is get charged with the allegation of murder can avail partial defence where actions like diminishing responsibilities, aiming for the suicidal pact, infanticide and provocations can blame as the reason for committing or attempting such a crime. There is a situation called voluntary manslaughter which is recognised as a low-level crime than murder where people are found to attempt suicide and the mitigating circumstances are blamed for such ambience. If there is any strain of abnormality or any psychiatric issues will be found within the defendant, that can be used as a partial defence. While judging the crime, the court will </w:t>
      </w:r>
      <w:proofErr w:type="gramStart"/>
      <w:r w:rsidRPr="00895238">
        <w:rPr>
          <w:rFonts w:ascii="Arial" w:hAnsi="Arial" w:cs="Arial"/>
          <w:color w:val="0E101A"/>
        </w:rPr>
        <w:t>look into</w:t>
      </w:r>
      <w:proofErr w:type="gramEnd"/>
      <w:r w:rsidRPr="00895238">
        <w:rPr>
          <w:rFonts w:ascii="Arial" w:hAnsi="Arial" w:cs="Arial"/>
          <w:color w:val="0E101A"/>
        </w:rPr>
        <w:t xml:space="preserve"> the degree of mental disorder and also examine to what extent provocation was made which has compelled the defendant to make such criminal behaviour (</w:t>
      </w:r>
      <w:proofErr w:type="spellStart"/>
      <w:r w:rsidRPr="00895238">
        <w:rPr>
          <w:rFonts w:ascii="Arial" w:hAnsi="Arial" w:cs="Arial"/>
          <w:color w:val="0E101A"/>
        </w:rPr>
        <w:t>Bickle</w:t>
      </w:r>
      <w:proofErr w:type="spellEnd"/>
      <w:r w:rsidRPr="00895238">
        <w:rPr>
          <w:rFonts w:ascii="Arial" w:hAnsi="Arial" w:cs="Arial"/>
          <w:color w:val="0E101A"/>
        </w:rPr>
        <w:t xml:space="preserve">, 2008). </w:t>
      </w:r>
    </w:p>
    <w:p w14:paraId="00000013" w14:textId="57BEA532" w:rsidR="004D5581" w:rsidRPr="00895238" w:rsidRDefault="00895238" w:rsidP="00895238">
      <w:pPr>
        <w:jc w:val="left"/>
        <w:rPr>
          <w:rFonts w:ascii="Arial" w:hAnsi="Arial" w:cs="Arial"/>
          <w:color w:val="0E101A"/>
        </w:rPr>
      </w:pPr>
      <w:r w:rsidRPr="00895238">
        <w:rPr>
          <w:rFonts w:ascii="Arial" w:hAnsi="Arial" w:cs="Arial"/>
          <w:color w:val="0E101A"/>
        </w:rPr>
        <w:t xml:space="preserve">The concept of intent is highly recognised in both England and Wales. The idea of intent has faced several struggle controversies in the criminal justice system of the UK as the presence of mental elements in the commitment of homicide is hard to identify and though it sometimes gets reflected in heinous form, the relativity of the statute becomes a barrier to that. In the case of </w:t>
      </w:r>
      <w:r w:rsidRPr="00895238">
        <w:rPr>
          <w:rFonts w:ascii="Arial" w:hAnsi="Arial" w:cs="Arial"/>
          <w:b/>
          <w:color w:val="0E101A"/>
        </w:rPr>
        <w:t xml:space="preserve">R v </w:t>
      </w:r>
      <w:proofErr w:type="spellStart"/>
      <w:r w:rsidRPr="00895238">
        <w:rPr>
          <w:rFonts w:ascii="Arial" w:hAnsi="Arial" w:cs="Arial"/>
          <w:b/>
          <w:color w:val="0E101A"/>
        </w:rPr>
        <w:t>Woollin</w:t>
      </w:r>
      <w:proofErr w:type="spellEnd"/>
      <w:r w:rsidRPr="00895238">
        <w:rPr>
          <w:rFonts w:ascii="Arial" w:hAnsi="Arial" w:cs="Arial"/>
          <w:b/>
          <w:color w:val="0E101A"/>
        </w:rPr>
        <w:t xml:space="preserve"> [1999] AC 82 (HL); [1998] 3 WLR 382 HL [</w:t>
      </w:r>
      <w:proofErr w:type="spellStart"/>
      <w:r w:rsidRPr="00895238">
        <w:rPr>
          <w:rFonts w:ascii="Arial" w:hAnsi="Arial" w:cs="Arial"/>
          <w:b/>
          <w:color w:val="0E101A"/>
        </w:rPr>
        <w:t>Woollin</w:t>
      </w:r>
      <w:proofErr w:type="spellEnd"/>
      <w:r w:rsidRPr="00895238">
        <w:rPr>
          <w:rFonts w:ascii="Arial" w:hAnsi="Arial" w:cs="Arial"/>
          <w:b/>
          <w:color w:val="0E101A"/>
        </w:rPr>
        <w:t>]</w:t>
      </w:r>
      <w:r w:rsidRPr="00895238">
        <w:rPr>
          <w:rFonts w:ascii="Arial" w:hAnsi="Arial" w:cs="Arial"/>
          <w:color w:val="0E101A"/>
        </w:rPr>
        <w:t xml:space="preserve">, the court has stated that the intention of causing harm will be considered as the mental element of the crime. Besides that, there is another consideration also which is malice and that reflects that the purpose of the kill for which the death will be caused must be grievous. Knowledge is a major issue in the case of the mental element in manslaughter as it is counted as the subjective knowledge for the defendant. Most of the time it occurs to the defendant and makes a significant contribution in their act of </w:t>
      </w:r>
      <w:r w:rsidR="00B047F9" w:rsidRPr="00895238">
        <w:rPr>
          <w:rFonts w:ascii="Arial" w:hAnsi="Arial" w:cs="Arial"/>
          <w:color w:val="0E101A"/>
        </w:rPr>
        <w:t>manslaughter,</w:t>
      </w:r>
      <w:r w:rsidRPr="00895238">
        <w:rPr>
          <w:rFonts w:ascii="Arial" w:hAnsi="Arial" w:cs="Arial"/>
          <w:color w:val="0E101A"/>
        </w:rPr>
        <w:t xml:space="preserve"> but the purpose cannot be outlined by this element with logical perspectives. The definition of intention provided by the dictionary must not get abused by the concept which has been portrayed in the case of murder as the unlawful killing is labelled as manslaughter only after the comprehensive trial in front of a jury (Leigh, 2022). </w:t>
      </w:r>
    </w:p>
    <w:p w14:paraId="00000014" w14:textId="614A8EAE" w:rsidR="004D5581" w:rsidRPr="00895238" w:rsidRDefault="00895238" w:rsidP="00895238">
      <w:pPr>
        <w:jc w:val="left"/>
        <w:rPr>
          <w:rFonts w:ascii="Arial" w:hAnsi="Arial" w:cs="Arial"/>
          <w:color w:val="0E101A"/>
        </w:rPr>
      </w:pPr>
      <w:r w:rsidRPr="00895238">
        <w:rPr>
          <w:rFonts w:ascii="Arial" w:hAnsi="Arial" w:cs="Arial"/>
          <w:color w:val="0E101A"/>
        </w:rPr>
        <w:t xml:space="preserve">The Breadth of manslaughter is considered too broad as the act of crime is quite dynamic. The concept of involuntary manslaughter is another type which offers three different kinds of acts of crime. Unlawful manslaughter, negligence manslaughter and reckless manslaughter are considered variations of it and most of the time it becomes tough to manage a considerable understanding between the theoretical </w:t>
      </w:r>
      <w:r w:rsidRPr="00895238">
        <w:rPr>
          <w:rFonts w:ascii="Arial" w:hAnsi="Arial" w:cs="Arial"/>
          <w:color w:val="0E101A"/>
        </w:rPr>
        <w:lastRenderedPageBreak/>
        <w:t xml:space="preserve">concept of manslaughter and the empirical evidence. In most cases, it is found that most of the manslaughters are performed as voluntary manslaughter where the major reason is the lack of self-control (Mitchell and Mackay, 2011). </w:t>
      </w:r>
    </w:p>
    <w:p w14:paraId="00000016" w14:textId="79EA4553" w:rsidR="004D5581" w:rsidRPr="00895238" w:rsidRDefault="00895238" w:rsidP="00895238">
      <w:pPr>
        <w:jc w:val="left"/>
        <w:rPr>
          <w:rFonts w:ascii="Arial" w:hAnsi="Arial" w:cs="Arial"/>
          <w:color w:val="0E101A"/>
        </w:rPr>
      </w:pPr>
      <w:bookmarkStart w:id="3" w:name="_f8eztn6l6336" w:colFirst="0" w:colLast="0"/>
      <w:bookmarkEnd w:id="3"/>
      <w:r w:rsidRPr="00895238">
        <w:rPr>
          <w:rFonts w:ascii="Arial" w:hAnsi="Arial" w:cs="Arial"/>
          <w:color w:val="0E101A"/>
        </w:rPr>
        <w:t xml:space="preserve">The law commission of the UK put forward a three-tier penal system for the crimes of homicide in 2006. The first-degree murder crimes will be punished with an obligatory sentence of life imprisonment, the second-degree offences of murder will attract a discretionary life imprisonment and the crime of manslaughter will be punished with a discretionary life imprisonment. The commission also recommended modifications and variations in the different facets of homicidal law consisting of provocation, </w:t>
      </w:r>
      <w:r w:rsidR="00B047F9" w:rsidRPr="00895238">
        <w:rPr>
          <w:rFonts w:ascii="Arial" w:hAnsi="Arial" w:cs="Arial"/>
          <w:color w:val="0E101A"/>
        </w:rPr>
        <w:t>complicity,</w:t>
      </w:r>
      <w:r w:rsidRPr="00895238">
        <w:rPr>
          <w:rFonts w:ascii="Arial" w:hAnsi="Arial" w:cs="Arial"/>
          <w:color w:val="0E101A"/>
        </w:rPr>
        <w:t xml:space="preserve"> and diminished responsibility. These prevalent laws of provocation and diminished responsibility would be updated and enhanced according to the changing times and severity of crimes (JUSTICE, 2023).</w:t>
      </w:r>
    </w:p>
    <w:p w14:paraId="00000018" w14:textId="77777777" w:rsidR="004D5581" w:rsidRPr="00895238" w:rsidRDefault="00895238" w:rsidP="00895238">
      <w:pPr>
        <w:jc w:val="left"/>
        <w:rPr>
          <w:rFonts w:ascii="Arial" w:hAnsi="Arial" w:cs="Arial"/>
          <w:color w:val="0E101A"/>
        </w:rPr>
      </w:pPr>
      <w:bookmarkStart w:id="4" w:name="_eaqexvgloe82" w:colFirst="0" w:colLast="0"/>
      <w:bookmarkEnd w:id="4"/>
      <w:r w:rsidRPr="00895238">
        <w:rPr>
          <w:rFonts w:ascii="Arial" w:hAnsi="Arial" w:cs="Arial"/>
          <w:color w:val="0E101A"/>
        </w:rPr>
        <w:t>The government of the UK has however not accepted all the recommendations provided by the law commission on the laws of homicide. It has implemented and considered the commission's suggestions for variations in the laws of provocation and diminished responsibility as the government thinks that these modifications in the homicidal laws will decrease the conception of murder to merely manslaughter. The term provocation will take the place of killing happening in those conditions where the criminal would have been aware and scared of the severity of the offence or in situations where the things done or said will lead to the conception of the occurrence of crime in unwanted situations and will give chance to the defendant for justifying his or her explanation behind the commitment of the crime. Similarly, the government has inculcated and accepted the wider scope of the laws on diminished responsibility (JUSTICE, 2023).</w:t>
      </w:r>
    </w:p>
    <w:p w14:paraId="00000019" w14:textId="77777777" w:rsidR="004D5581" w:rsidRPr="00895238" w:rsidRDefault="00895238" w:rsidP="00895238">
      <w:pPr>
        <w:jc w:val="left"/>
        <w:rPr>
          <w:rFonts w:ascii="Arial" w:hAnsi="Arial" w:cs="Arial"/>
          <w:color w:val="0E101A"/>
        </w:rPr>
      </w:pPr>
      <w:r w:rsidRPr="00895238">
        <w:rPr>
          <w:rFonts w:ascii="Arial" w:hAnsi="Arial" w:cs="Arial"/>
          <w:color w:val="0E101A"/>
        </w:rPr>
        <w:t>The government of the UK has considered looking into the suggestions related to the defence of the offence of murder primarily to consider the three-tier system of punishment provided by the law commission. The government has considered and brought significant changes in the defences of provocation and diminished responsibility but has rejected all other suggestions provided by the law commission. The then coalition government, however, claimed that it had thoroughly reviewed and analysed the proposals of the three-tier system, but concluded on the statement that it was not the correct and appropriate time to implement and execute such a kind of substantial reform for the improvement and development of the criminal law (</w:t>
      </w:r>
      <w:proofErr w:type="spellStart"/>
      <w:r w:rsidRPr="00895238">
        <w:rPr>
          <w:rFonts w:ascii="Arial" w:hAnsi="Arial" w:cs="Arial"/>
          <w:color w:val="0E101A"/>
        </w:rPr>
        <w:t>researchbriefings</w:t>
      </w:r>
      <w:proofErr w:type="spellEnd"/>
      <w:r w:rsidRPr="00895238">
        <w:rPr>
          <w:rFonts w:ascii="Arial" w:hAnsi="Arial" w:cs="Arial"/>
          <w:color w:val="0E101A"/>
        </w:rPr>
        <w:t xml:space="preserve">, 2016). The government implemented such modifications in the </w:t>
      </w:r>
      <w:r w:rsidRPr="00895238">
        <w:rPr>
          <w:rFonts w:ascii="Arial" w:hAnsi="Arial" w:cs="Arial"/>
          <w:color w:val="0E101A"/>
        </w:rPr>
        <w:lastRenderedPageBreak/>
        <w:t xml:space="preserve">partial defence criteria of the </w:t>
      </w:r>
      <w:proofErr w:type="gramStart"/>
      <w:r w:rsidRPr="00895238">
        <w:rPr>
          <w:rFonts w:ascii="Arial" w:hAnsi="Arial" w:cs="Arial"/>
          <w:color w:val="0E101A"/>
        </w:rPr>
        <w:t>Coroners</w:t>
      </w:r>
      <w:proofErr w:type="gramEnd"/>
      <w:r w:rsidRPr="00895238">
        <w:rPr>
          <w:rFonts w:ascii="Arial" w:hAnsi="Arial" w:cs="Arial"/>
          <w:color w:val="0E101A"/>
        </w:rPr>
        <w:t xml:space="preserve"> and justice act 2009 with the introduction of sections 54 and 55 into the act but has still rejected the concept of developmental immaturity of the child offenders from its purview. </w:t>
      </w:r>
    </w:p>
    <w:p w14:paraId="0000001B" w14:textId="77777777" w:rsidR="004D5581" w:rsidRPr="00895238" w:rsidRDefault="00895238" w:rsidP="00895238">
      <w:pPr>
        <w:jc w:val="left"/>
        <w:rPr>
          <w:rFonts w:ascii="Arial" w:hAnsi="Arial" w:cs="Arial"/>
          <w:color w:val="0E101A"/>
        </w:rPr>
      </w:pPr>
      <w:bookmarkStart w:id="5" w:name="_hhitt4zd9j2i" w:colFirst="0" w:colLast="0"/>
      <w:bookmarkEnd w:id="5"/>
      <w:r w:rsidRPr="00895238">
        <w:rPr>
          <w:rFonts w:ascii="Arial" w:hAnsi="Arial" w:cs="Arial"/>
          <w:color w:val="0E101A"/>
        </w:rPr>
        <w:t xml:space="preserve">The recommendations of the law commission have been severely criticised by various scholars and dignified people. Scholar Victor </w:t>
      </w:r>
      <w:proofErr w:type="spellStart"/>
      <w:r w:rsidRPr="00895238">
        <w:rPr>
          <w:rFonts w:ascii="Arial" w:hAnsi="Arial" w:cs="Arial"/>
          <w:color w:val="0E101A"/>
        </w:rPr>
        <w:t>Tadros</w:t>
      </w:r>
      <w:proofErr w:type="spellEnd"/>
      <w:r w:rsidRPr="00895238">
        <w:rPr>
          <w:rFonts w:ascii="Arial" w:hAnsi="Arial" w:cs="Arial"/>
          <w:color w:val="0E101A"/>
        </w:rPr>
        <w:t xml:space="preserve"> argues against the suggestions provided by the law commission and claimed that the division and segregation of the crime of homicide into the three-tier system according to the extremity of the offence may pave the way for the development of the different conceptual mindsets of death. There will arise various misconceptions regarding the rank given to the heinous crime and will create chaos and confusion as to which is more severe and requires what type of punishment (</w:t>
      </w:r>
      <w:proofErr w:type="spellStart"/>
      <w:r w:rsidRPr="00895238">
        <w:rPr>
          <w:rFonts w:ascii="Arial" w:hAnsi="Arial" w:cs="Arial"/>
          <w:color w:val="0E101A"/>
        </w:rPr>
        <w:t>Risno</w:t>
      </w:r>
      <w:proofErr w:type="spellEnd"/>
      <w:r w:rsidRPr="00895238">
        <w:rPr>
          <w:rFonts w:ascii="Arial" w:hAnsi="Arial" w:cs="Arial"/>
          <w:color w:val="0E101A"/>
        </w:rPr>
        <w:t>, 2018).</w:t>
      </w:r>
    </w:p>
    <w:p w14:paraId="0000001D" w14:textId="77777777" w:rsidR="004D5581" w:rsidRPr="00895238" w:rsidRDefault="00895238" w:rsidP="00895238">
      <w:pPr>
        <w:jc w:val="left"/>
        <w:rPr>
          <w:rFonts w:ascii="Arial" w:hAnsi="Arial" w:cs="Arial"/>
          <w:color w:val="0E101A"/>
        </w:rPr>
      </w:pPr>
      <w:bookmarkStart w:id="6" w:name="_caeti6k38l55" w:colFirst="0" w:colLast="0"/>
      <w:bookmarkEnd w:id="6"/>
      <w:r w:rsidRPr="00895238">
        <w:rPr>
          <w:rFonts w:ascii="Arial" w:hAnsi="Arial" w:cs="Arial"/>
          <w:color w:val="0E101A"/>
        </w:rPr>
        <w:t xml:space="preserve">The study has described the concept of homicide from dynamic perspectives and the relationship between manslaughter and its essential elements have been discussed in the study also. The importance of intention, maleness and causation have been described in the study and possible attempts to conduct reforms on this ground have been analysed as well. </w:t>
      </w:r>
    </w:p>
    <w:p w14:paraId="0000001E" w14:textId="77777777" w:rsidR="004D5581" w:rsidRPr="00895238" w:rsidRDefault="004D5581" w:rsidP="00895238">
      <w:pPr>
        <w:jc w:val="left"/>
        <w:rPr>
          <w:rFonts w:ascii="Arial" w:hAnsi="Arial" w:cs="Arial"/>
        </w:rPr>
      </w:pPr>
    </w:p>
    <w:p w14:paraId="0000001F" w14:textId="77777777" w:rsidR="004D5581" w:rsidRPr="00895238" w:rsidRDefault="00895238" w:rsidP="00895238">
      <w:pPr>
        <w:jc w:val="left"/>
        <w:rPr>
          <w:rFonts w:ascii="Arial" w:hAnsi="Arial" w:cs="Arial"/>
          <w:b/>
        </w:rPr>
      </w:pPr>
      <w:r w:rsidRPr="00895238">
        <w:rPr>
          <w:rFonts w:ascii="Arial" w:hAnsi="Arial" w:cs="Arial"/>
        </w:rPr>
        <w:br w:type="page"/>
      </w:r>
    </w:p>
    <w:p w14:paraId="00000020" w14:textId="77777777" w:rsidR="004D5581" w:rsidRPr="00895238" w:rsidRDefault="00895238" w:rsidP="00895238">
      <w:pPr>
        <w:pStyle w:val="Heading1"/>
        <w:jc w:val="left"/>
        <w:rPr>
          <w:rFonts w:ascii="Arial" w:hAnsi="Arial" w:cs="Arial"/>
        </w:rPr>
      </w:pPr>
      <w:bookmarkStart w:id="7" w:name="_n6p6jtgxqirl" w:colFirst="0" w:colLast="0"/>
      <w:bookmarkEnd w:id="7"/>
      <w:r w:rsidRPr="00895238">
        <w:rPr>
          <w:rFonts w:ascii="Arial" w:hAnsi="Arial" w:cs="Arial"/>
        </w:rPr>
        <w:lastRenderedPageBreak/>
        <w:t>References</w:t>
      </w:r>
    </w:p>
    <w:p w14:paraId="00000021" w14:textId="7E1C84B0" w:rsidR="004D5581" w:rsidRPr="00895238" w:rsidRDefault="00895238" w:rsidP="00895238">
      <w:pPr>
        <w:jc w:val="left"/>
        <w:rPr>
          <w:rFonts w:ascii="Arial" w:hAnsi="Arial" w:cs="Arial"/>
        </w:rPr>
      </w:pPr>
      <w:proofErr w:type="spellStart"/>
      <w:r w:rsidRPr="00895238">
        <w:rPr>
          <w:rFonts w:ascii="Arial" w:hAnsi="Arial" w:cs="Arial"/>
        </w:rPr>
        <w:t>Bickle</w:t>
      </w:r>
      <w:proofErr w:type="spellEnd"/>
      <w:r w:rsidRPr="00895238">
        <w:rPr>
          <w:rFonts w:ascii="Arial" w:hAnsi="Arial" w:cs="Arial"/>
        </w:rPr>
        <w:t xml:space="preserve">, A., </w:t>
      </w:r>
      <w:r w:rsidR="00373011">
        <w:rPr>
          <w:rFonts w:ascii="Arial" w:hAnsi="Arial" w:cs="Arial"/>
        </w:rPr>
        <w:t>(</w:t>
      </w:r>
      <w:r w:rsidRPr="00895238">
        <w:rPr>
          <w:rFonts w:ascii="Arial" w:hAnsi="Arial" w:cs="Arial"/>
        </w:rPr>
        <w:t>2008</w:t>
      </w:r>
      <w:r w:rsidR="00373011">
        <w:rPr>
          <w:rFonts w:ascii="Arial" w:hAnsi="Arial" w:cs="Arial"/>
        </w:rPr>
        <w:t>)</w:t>
      </w:r>
      <w:r w:rsidRPr="00895238">
        <w:rPr>
          <w:rFonts w:ascii="Arial" w:hAnsi="Arial" w:cs="Arial"/>
        </w:rPr>
        <w:t xml:space="preserve">. </w:t>
      </w:r>
      <w:r w:rsidRPr="00895238">
        <w:rPr>
          <w:rFonts w:ascii="Arial" w:hAnsi="Arial" w:cs="Arial"/>
          <w:i/>
          <w:iCs/>
        </w:rPr>
        <w:t>Proposed Reforms to Partial Defences and their Implications for Mentally Disordered Defendants.</w:t>
      </w:r>
      <w:r w:rsidRPr="00895238">
        <w:rPr>
          <w:rFonts w:ascii="Arial" w:hAnsi="Arial" w:cs="Arial"/>
        </w:rPr>
        <w:t xml:space="preserve"> May 2008 J. Mental Health L., p.38.</w:t>
      </w:r>
    </w:p>
    <w:p w14:paraId="00000022" w14:textId="77777777" w:rsidR="004D5581" w:rsidRPr="00895238" w:rsidRDefault="00895238" w:rsidP="00895238">
      <w:pPr>
        <w:jc w:val="left"/>
        <w:rPr>
          <w:rFonts w:ascii="Arial" w:hAnsi="Arial" w:cs="Arial"/>
        </w:rPr>
      </w:pPr>
      <w:r w:rsidRPr="00895238">
        <w:rPr>
          <w:rFonts w:ascii="Arial" w:hAnsi="Arial" w:cs="Arial"/>
        </w:rPr>
        <w:t xml:space="preserve">Mitchell, B. and Mackay, R.D., 2011. </w:t>
      </w:r>
      <w:r w:rsidRPr="00895238">
        <w:rPr>
          <w:rFonts w:ascii="Arial" w:hAnsi="Arial" w:cs="Arial"/>
          <w:i/>
          <w:iCs/>
        </w:rPr>
        <w:t>Investigating involuntary manslaughter: An empirical study of 127 cases.</w:t>
      </w:r>
      <w:r w:rsidRPr="00895238">
        <w:rPr>
          <w:rFonts w:ascii="Arial" w:hAnsi="Arial" w:cs="Arial"/>
        </w:rPr>
        <w:t xml:space="preserve"> Oxford Journal of Legal Studies, 31(1), pp.165-191.</w:t>
      </w:r>
    </w:p>
    <w:p w14:paraId="00000023" w14:textId="35F9B8CE" w:rsidR="004D5581" w:rsidRPr="00895238" w:rsidRDefault="00895238" w:rsidP="00895238">
      <w:pPr>
        <w:jc w:val="left"/>
        <w:rPr>
          <w:rFonts w:ascii="Arial" w:hAnsi="Arial" w:cs="Arial"/>
        </w:rPr>
      </w:pPr>
      <w:r w:rsidRPr="00895238">
        <w:rPr>
          <w:rFonts w:ascii="Arial" w:hAnsi="Arial" w:cs="Arial"/>
        </w:rPr>
        <w:t xml:space="preserve">Leigh, G., </w:t>
      </w:r>
      <w:r w:rsidR="00373011">
        <w:rPr>
          <w:rFonts w:ascii="Arial" w:hAnsi="Arial" w:cs="Arial"/>
        </w:rPr>
        <w:t>(</w:t>
      </w:r>
      <w:r w:rsidRPr="00895238">
        <w:rPr>
          <w:rFonts w:ascii="Arial" w:hAnsi="Arial" w:cs="Arial"/>
        </w:rPr>
        <w:t>2022</w:t>
      </w:r>
      <w:r w:rsidR="00373011">
        <w:rPr>
          <w:rFonts w:ascii="Arial" w:hAnsi="Arial" w:cs="Arial"/>
        </w:rPr>
        <w:t>)</w:t>
      </w:r>
      <w:r w:rsidRPr="00895238">
        <w:rPr>
          <w:rFonts w:ascii="Arial" w:hAnsi="Arial" w:cs="Arial"/>
        </w:rPr>
        <w:t xml:space="preserve">. </w:t>
      </w:r>
      <w:r w:rsidRPr="00895238">
        <w:rPr>
          <w:rFonts w:ascii="Arial" w:hAnsi="Arial" w:cs="Arial"/>
          <w:i/>
          <w:iCs/>
        </w:rPr>
        <w:t xml:space="preserve">Murderous intent—The attitude of a </w:t>
      </w:r>
      <w:proofErr w:type="gramStart"/>
      <w:r w:rsidRPr="00895238">
        <w:rPr>
          <w:rFonts w:ascii="Arial" w:hAnsi="Arial" w:cs="Arial"/>
          <w:i/>
          <w:iCs/>
        </w:rPr>
        <w:t>murderer?.</w:t>
      </w:r>
      <w:proofErr w:type="gramEnd"/>
      <w:r w:rsidRPr="00895238">
        <w:rPr>
          <w:rFonts w:ascii="Arial" w:hAnsi="Arial" w:cs="Arial"/>
        </w:rPr>
        <w:t xml:space="preserve"> The Journal of Criminal Law, 86(1), pp.18-28.</w:t>
      </w:r>
    </w:p>
    <w:p w14:paraId="00000024" w14:textId="77777777" w:rsidR="004D5581" w:rsidRPr="00895238" w:rsidRDefault="00895238" w:rsidP="00895238">
      <w:pPr>
        <w:jc w:val="left"/>
        <w:rPr>
          <w:rFonts w:ascii="Arial" w:hAnsi="Arial" w:cs="Arial"/>
        </w:rPr>
      </w:pPr>
      <w:r w:rsidRPr="00895238">
        <w:rPr>
          <w:rFonts w:ascii="Arial" w:hAnsi="Arial" w:cs="Arial"/>
        </w:rPr>
        <w:t xml:space="preserve">CPS (2022) </w:t>
      </w:r>
      <w:r w:rsidRPr="00895238">
        <w:rPr>
          <w:rFonts w:ascii="Arial" w:hAnsi="Arial" w:cs="Arial"/>
          <w:i/>
          <w:iCs/>
        </w:rPr>
        <w:t>Homicide: Murder and manslaughter, Homicide: Murder and Manslaughter | The Crown Prosecution Service.</w:t>
      </w:r>
      <w:r w:rsidRPr="00895238">
        <w:rPr>
          <w:rFonts w:ascii="Arial" w:hAnsi="Arial" w:cs="Arial"/>
        </w:rPr>
        <w:t xml:space="preserve"> Available at: https://www.cps.gov.uk/legal-guidance/homicide-murder-and-manslaughter (Accessed: 27 June 2023).</w:t>
      </w:r>
    </w:p>
    <w:p w14:paraId="00000025" w14:textId="3B636D53" w:rsidR="004D5581" w:rsidRPr="00895238" w:rsidRDefault="00895238" w:rsidP="00895238">
      <w:pPr>
        <w:jc w:val="left"/>
        <w:rPr>
          <w:rFonts w:ascii="Arial" w:hAnsi="Arial" w:cs="Arial"/>
        </w:rPr>
      </w:pPr>
      <w:r w:rsidRPr="00895238">
        <w:rPr>
          <w:rFonts w:ascii="Arial" w:hAnsi="Arial" w:cs="Arial"/>
        </w:rPr>
        <w:t>e-</w:t>
      </w:r>
      <w:proofErr w:type="spellStart"/>
      <w:r w:rsidRPr="00895238">
        <w:rPr>
          <w:rFonts w:ascii="Arial" w:hAnsi="Arial" w:cs="Arial"/>
        </w:rPr>
        <w:t>lawresources</w:t>
      </w:r>
      <w:proofErr w:type="spellEnd"/>
      <w:r w:rsidRPr="00895238">
        <w:rPr>
          <w:rFonts w:ascii="Arial" w:hAnsi="Arial" w:cs="Arial"/>
        </w:rPr>
        <w:t xml:space="preserve"> (2023) </w:t>
      </w:r>
      <w:proofErr w:type="spellStart"/>
      <w:r w:rsidRPr="00895238">
        <w:rPr>
          <w:rFonts w:ascii="Arial" w:hAnsi="Arial" w:cs="Arial"/>
          <w:i/>
          <w:iCs/>
        </w:rPr>
        <w:t>Rance</w:t>
      </w:r>
      <w:proofErr w:type="spellEnd"/>
      <w:r w:rsidRPr="00895238">
        <w:rPr>
          <w:rFonts w:ascii="Arial" w:hAnsi="Arial" w:cs="Arial"/>
          <w:i/>
          <w:iCs/>
        </w:rPr>
        <w:t xml:space="preserve"> v mid </w:t>
      </w:r>
      <w:proofErr w:type="spellStart"/>
      <w:r w:rsidRPr="00895238">
        <w:rPr>
          <w:rFonts w:ascii="Arial" w:hAnsi="Arial" w:cs="Arial"/>
          <w:i/>
          <w:iCs/>
        </w:rPr>
        <w:t>downes</w:t>
      </w:r>
      <w:proofErr w:type="spellEnd"/>
      <w:r w:rsidRPr="00895238">
        <w:rPr>
          <w:rFonts w:ascii="Arial" w:hAnsi="Arial" w:cs="Arial"/>
          <w:i/>
          <w:iCs/>
        </w:rPr>
        <w:t xml:space="preserve"> health authority (1991) 1 all ER </w:t>
      </w:r>
      <w:proofErr w:type="gramStart"/>
      <w:r w:rsidRPr="00895238">
        <w:rPr>
          <w:rFonts w:ascii="Arial" w:hAnsi="Arial" w:cs="Arial"/>
          <w:i/>
          <w:iCs/>
        </w:rPr>
        <w:t>801  Queen’s</w:t>
      </w:r>
      <w:proofErr w:type="gramEnd"/>
      <w:r w:rsidRPr="00895238">
        <w:rPr>
          <w:rFonts w:ascii="Arial" w:hAnsi="Arial" w:cs="Arial"/>
          <w:i/>
          <w:iCs/>
        </w:rPr>
        <w:t xml:space="preserve"> bench division</w:t>
      </w:r>
      <w:r w:rsidRPr="00895238">
        <w:rPr>
          <w:rFonts w:ascii="Arial" w:hAnsi="Arial" w:cs="Arial"/>
        </w:rPr>
        <w:t>. Available at: https://e-lawresources.co.uk/cases/Rance-v-Mid-Downes.php (Accessed: 27 June 2023).</w:t>
      </w:r>
    </w:p>
    <w:p w14:paraId="00000026" w14:textId="574DFE5A" w:rsidR="004D5581" w:rsidRPr="00895238" w:rsidRDefault="00895238" w:rsidP="00895238">
      <w:pPr>
        <w:jc w:val="left"/>
        <w:rPr>
          <w:rFonts w:ascii="Arial" w:hAnsi="Arial" w:cs="Arial"/>
        </w:rPr>
      </w:pPr>
      <w:r w:rsidRPr="00895238">
        <w:rPr>
          <w:rFonts w:ascii="Arial" w:hAnsi="Arial" w:cs="Arial"/>
        </w:rPr>
        <w:t xml:space="preserve">Legislation.gov.uk (1957) </w:t>
      </w:r>
      <w:r w:rsidRPr="00895238">
        <w:rPr>
          <w:rFonts w:ascii="Arial" w:hAnsi="Arial" w:cs="Arial"/>
          <w:i/>
          <w:iCs/>
        </w:rPr>
        <w:t>Homicide act 1957</w:t>
      </w:r>
      <w:r>
        <w:rPr>
          <w:rFonts w:ascii="Arial" w:hAnsi="Arial" w:cs="Arial"/>
        </w:rPr>
        <w:t xml:space="preserve">. </w:t>
      </w:r>
      <w:r w:rsidRPr="00895238">
        <w:rPr>
          <w:rFonts w:ascii="Arial" w:hAnsi="Arial" w:cs="Arial"/>
        </w:rPr>
        <w:t>Available at: https://www.legislation.gov.uk/ukpga/Eliz2/5-6/11/enacted (Accessed: 27 June 2023).</w:t>
      </w:r>
    </w:p>
    <w:p w14:paraId="00000027" w14:textId="0D5E4AA9" w:rsidR="004D5581" w:rsidRPr="00895238" w:rsidRDefault="00895238" w:rsidP="00895238">
      <w:pPr>
        <w:jc w:val="left"/>
        <w:rPr>
          <w:rFonts w:ascii="Arial" w:hAnsi="Arial" w:cs="Arial"/>
        </w:rPr>
      </w:pPr>
      <w:r w:rsidRPr="00895238">
        <w:rPr>
          <w:rFonts w:ascii="Arial" w:hAnsi="Arial" w:cs="Arial"/>
        </w:rPr>
        <w:t>Lexis</w:t>
      </w:r>
      <w:r w:rsidR="00EB31C0">
        <w:rPr>
          <w:rFonts w:ascii="Arial" w:hAnsi="Arial" w:cs="Arial"/>
        </w:rPr>
        <w:t xml:space="preserve"> </w:t>
      </w:r>
      <w:r w:rsidR="004C12B0">
        <w:rPr>
          <w:rFonts w:ascii="Arial" w:hAnsi="Arial" w:cs="Arial"/>
        </w:rPr>
        <w:t>Plus</w:t>
      </w:r>
      <w:r w:rsidRPr="00895238">
        <w:rPr>
          <w:rFonts w:ascii="Arial" w:hAnsi="Arial" w:cs="Arial"/>
        </w:rPr>
        <w:t xml:space="preserve"> (2023) </w:t>
      </w:r>
      <w:r w:rsidRPr="00895238">
        <w:rPr>
          <w:rFonts w:ascii="Arial" w:hAnsi="Arial" w:cs="Arial"/>
          <w:i/>
          <w:iCs/>
        </w:rPr>
        <w:t>129. the elements of murder: Criminal law</w:t>
      </w:r>
      <w:r w:rsidRPr="00895238">
        <w:rPr>
          <w:rFonts w:ascii="Arial" w:hAnsi="Arial" w:cs="Arial"/>
        </w:rPr>
        <w:t xml:space="preserve">. Available at: </w:t>
      </w:r>
      <w:r>
        <w:rPr>
          <w:rFonts w:ascii="Arial" w:hAnsi="Arial" w:cs="Arial"/>
        </w:rPr>
        <w:t xml:space="preserve">  </w:t>
      </w:r>
      <w:proofErr w:type="gramStart"/>
      <w:r w:rsidR="00183F36" w:rsidRPr="00183F36">
        <w:rPr>
          <w:rFonts w:ascii="Arial" w:hAnsi="Arial" w:cs="Arial"/>
        </w:rPr>
        <w:t>https://plus-lexis-com.ezproxy.uwtsd.ac.uk/uk/document/?pdmfid=1001073&amp;crid=5aea11a7-a0a7-46e1-bd8d-12d5d839251e&amp;pddocfullpath=%2Fshared%2Fdocument%2Fanalytical-materials-uk%2Furn%3AcontentItem%3A653P-SH63-CGX8-03FH-00000-00&amp;pdcontentcomponentid=127822&amp;pdteaserkey=&amp;pdislpamode=false&amp;pddocumentnumber=1&amp;ecomp=ft5k&amp;earg=sr0&amp;prid=e5c15a6e-d0d8-483d-bc77-767e7255da3b</w:t>
      </w:r>
      <w:r w:rsidR="00183F36" w:rsidRPr="00183F36">
        <w:rPr>
          <w:rFonts w:ascii="Arial" w:hAnsi="Arial" w:cs="Arial"/>
        </w:rPr>
        <w:t xml:space="preserve"> </w:t>
      </w:r>
      <w:r w:rsidR="004C12B0">
        <w:rPr>
          <w:rFonts w:ascii="Arial" w:hAnsi="Arial" w:cs="Arial"/>
        </w:rPr>
        <w:t xml:space="preserve"> </w:t>
      </w:r>
      <w:r w:rsidRPr="00895238">
        <w:rPr>
          <w:rFonts w:ascii="Arial" w:hAnsi="Arial" w:cs="Arial"/>
        </w:rPr>
        <w:t>(</w:t>
      </w:r>
      <w:proofErr w:type="gramEnd"/>
      <w:r w:rsidRPr="00895238">
        <w:rPr>
          <w:rFonts w:ascii="Arial" w:hAnsi="Arial" w:cs="Arial"/>
        </w:rPr>
        <w:t xml:space="preserve">Accessed: </w:t>
      </w:r>
      <w:r w:rsidR="005305F2">
        <w:rPr>
          <w:rFonts w:ascii="Arial" w:hAnsi="Arial" w:cs="Arial"/>
        </w:rPr>
        <w:t>27 June</w:t>
      </w:r>
      <w:r w:rsidRPr="00895238">
        <w:rPr>
          <w:rFonts w:ascii="Arial" w:hAnsi="Arial" w:cs="Arial"/>
        </w:rPr>
        <w:t xml:space="preserve"> 2023)</w:t>
      </w:r>
      <w:r>
        <w:rPr>
          <w:rFonts w:ascii="Arial" w:hAnsi="Arial" w:cs="Arial"/>
        </w:rPr>
        <w:t xml:space="preserve"> </w:t>
      </w:r>
    </w:p>
    <w:p w14:paraId="00000028" w14:textId="2C835CF2" w:rsidR="004D5581" w:rsidRDefault="00895238" w:rsidP="00895238">
      <w:pPr>
        <w:jc w:val="left"/>
        <w:rPr>
          <w:rFonts w:ascii="Arial" w:hAnsi="Arial" w:cs="Arial"/>
        </w:rPr>
      </w:pPr>
      <w:r w:rsidRPr="00895238">
        <w:rPr>
          <w:rFonts w:ascii="Arial" w:hAnsi="Arial" w:cs="Arial"/>
        </w:rPr>
        <w:t xml:space="preserve">Meyer, J. (2014) R V (1) Darren John Matthews (2) Brian Dean Alleyne (2003), Available at: https://www.lccsa.org.uk/r-v-1-darren-john-matthews-2-brian-dean-alleyne-2003/ (Accessed: 27 June 2023). </w:t>
      </w:r>
    </w:p>
    <w:p w14:paraId="73AB3C3D" w14:textId="77777777" w:rsidR="00DE0376" w:rsidRPr="00895238" w:rsidRDefault="00DE0376" w:rsidP="00895238">
      <w:pPr>
        <w:jc w:val="left"/>
        <w:rPr>
          <w:rFonts w:ascii="Arial" w:hAnsi="Arial" w:cs="Arial"/>
        </w:rPr>
      </w:pPr>
    </w:p>
    <w:p w14:paraId="00000029" w14:textId="58E87C94" w:rsidR="004D5581" w:rsidRPr="00895238" w:rsidRDefault="00895238" w:rsidP="00895238">
      <w:pPr>
        <w:jc w:val="left"/>
        <w:rPr>
          <w:rFonts w:ascii="Arial" w:hAnsi="Arial" w:cs="Arial"/>
        </w:rPr>
      </w:pPr>
      <w:r w:rsidRPr="00895238">
        <w:rPr>
          <w:rFonts w:ascii="Arial" w:hAnsi="Arial" w:cs="Arial"/>
        </w:rPr>
        <w:t xml:space="preserve">JUSTICE (2023) </w:t>
      </w:r>
      <w:r w:rsidRPr="00895238">
        <w:rPr>
          <w:rFonts w:ascii="Arial" w:hAnsi="Arial" w:cs="Arial"/>
          <w:i/>
          <w:iCs/>
        </w:rPr>
        <w:t>Homicide law reform</w:t>
      </w:r>
      <w:r w:rsidRPr="00895238">
        <w:rPr>
          <w:rFonts w:ascii="Arial" w:hAnsi="Arial" w:cs="Arial"/>
        </w:rPr>
        <w:t xml:space="preserve">. Available at: https://justice.org.uk/homicide-law-reform/ (Accessed: 27 June 2023). </w:t>
      </w:r>
    </w:p>
    <w:p w14:paraId="0000002A" w14:textId="69D3758B" w:rsidR="004D5581" w:rsidRPr="00895238" w:rsidRDefault="00895238" w:rsidP="00895238">
      <w:pPr>
        <w:jc w:val="left"/>
        <w:rPr>
          <w:rFonts w:ascii="Arial" w:hAnsi="Arial" w:cs="Arial"/>
        </w:rPr>
      </w:pPr>
      <w:proofErr w:type="spellStart"/>
      <w:r w:rsidRPr="00895238">
        <w:rPr>
          <w:rFonts w:ascii="Arial" w:hAnsi="Arial" w:cs="Arial"/>
        </w:rPr>
        <w:t>researchbriefings</w:t>
      </w:r>
      <w:proofErr w:type="spellEnd"/>
      <w:r w:rsidRPr="00895238">
        <w:rPr>
          <w:rFonts w:ascii="Arial" w:hAnsi="Arial" w:cs="Arial"/>
        </w:rPr>
        <w:t xml:space="preserve"> (2016) </w:t>
      </w:r>
      <w:r w:rsidRPr="00895238">
        <w:rPr>
          <w:rFonts w:ascii="Arial" w:hAnsi="Arial" w:cs="Arial"/>
          <w:i/>
          <w:iCs/>
        </w:rPr>
        <w:t>Reforming the law on homicide</w:t>
      </w:r>
      <w:r>
        <w:rPr>
          <w:rFonts w:ascii="Arial" w:hAnsi="Arial" w:cs="Arial"/>
        </w:rPr>
        <w:t xml:space="preserve">. </w:t>
      </w:r>
      <w:r w:rsidRPr="00895238">
        <w:rPr>
          <w:rFonts w:ascii="Arial" w:hAnsi="Arial" w:cs="Arial"/>
        </w:rPr>
        <w:t xml:space="preserve">Available at: https://researchbriefings.files.parliament.uk/documents/CDP-2016-0094/CDP-2016-0094.pdf (Accessed: 27 June 2023). </w:t>
      </w:r>
    </w:p>
    <w:p w14:paraId="0000002D" w14:textId="7CCCADCB" w:rsidR="004D5581" w:rsidRDefault="00895238" w:rsidP="00895238">
      <w:pPr>
        <w:jc w:val="left"/>
        <w:rPr>
          <w:rFonts w:ascii="Arial" w:hAnsi="Arial" w:cs="Arial"/>
        </w:rPr>
      </w:pPr>
      <w:proofErr w:type="spellStart"/>
      <w:r w:rsidRPr="00895238">
        <w:rPr>
          <w:rFonts w:ascii="Arial" w:hAnsi="Arial" w:cs="Arial"/>
        </w:rPr>
        <w:lastRenderedPageBreak/>
        <w:t>Risno</w:t>
      </w:r>
      <w:proofErr w:type="spellEnd"/>
      <w:r w:rsidRPr="00895238">
        <w:rPr>
          <w:rFonts w:ascii="Arial" w:hAnsi="Arial" w:cs="Arial"/>
        </w:rPr>
        <w:t xml:space="preserve">, M. (2018) </w:t>
      </w:r>
      <w:r w:rsidRPr="00895238">
        <w:rPr>
          <w:rFonts w:ascii="Arial" w:hAnsi="Arial" w:cs="Arial"/>
          <w:i/>
          <w:iCs/>
        </w:rPr>
        <w:t>Holding someone liable for murder even if they did not intend to kill. on reform of homicide law</w:t>
      </w:r>
      <w:r>
        <w:rPr>
          <w:rFonts w:ascii="Arial" w:hAnsi="Arial" w:cs="Arial"/>
          <w:i/>
          <w:iCs/>
        </w:rPr>
        <w:t>.</w:t>
      </w:r>
      <w:r w:rsidRPr="00895238">
        <w:rPr>
          <w:rFonts w:ascii="Arial" w:hAnsi="Arial" w:cs="Arial"/>
        </w:rPr>
        <w:t xml:space="preserve"> Available at: https://medium.com/@mistrec/holding-someone-liable-for-murder-even-if-they-did-not-intend-to-kill-on-reform-of-homicide-law-8cc2b6001aa (Accessed: 27 June 2023). </w:t>
      </w:r>
    </w:p>
    <w:p w14:paraId="4918225C" w14:textId="77777777" w:rsidR="00B426DA" w:rsidRDefault="00B426DA" w:rsidP="00895238">
      <w:pPr>
        <w:jc w:val="left"/>
        <w:rPr>
          <w:rFonts w:ascii="Arial" w:hAnsi="Arial" w:cs="Arial"/>
        </w:rPr>
      </w:pPr>
    </w:p>
    <w:p w14:paraId="79539868" w14:textId="3B6FB2A3" w:rsidR="00B426DA" w:rsidRPr="00022AE4" w:rsidRDefault="00B426DA" w:rsidP="00895238">
      <w:pPr>
        <w:jc w:val="left"/>
        <w:rPr>
          <w:rFonts w:ascii="Arial" w:hAnsi="Arial" w:cs="Arial"/>
          <w:color w:val="000000" w:themeColor="text1"/>
        </w:rPr>
      </w:pPr>
      <w:hyperlink r:id="rId6" w:history="1">
        <w:r w:rsidRPr="00022AE4">
          <w:rPr>
            <w:rStyle w:val="Hyperlink"/>
            <w:rFonts w:ascii="Arial" w:hAnsi="Arial" w:cs="Arial"/>
            <w:color w:val="000000" w:themeColor="text1"/>
            <w:u w:val="none"/>
            <w:bdr w:val="none" w:sz="0" w:space="0" w:color="auto" w:frame="1"/>
            <w:shd w:val="clear" w:color="auto" w:fill="FFFFFF"/>
          </w:rPr>
          <w:t xml:space="preserve">R v </w:t>
        </w:r>
        <w:proofErr w:type="spellStart"/>
        <w:r w:rsidRPr="00022AE4">
          <w:rPr>
            <w:rStyle w:val="Hyperlink"/>
            <w:rFonts w:ascii="Arial" w:hAnsi="Arial" w:cs="Arial"/>
            <w:color w:val="000000" w:themeColor="text1"/>
            <w:u w:val="none"/>
            <w:bdr w:val="none" w:sz="0" w:space="0" w:color="auto" w:frame="1"/>
            <w:shd w:val="clear" w:color="auto" w:fill="FFFFFF"/>
          </w:rPr>
          <w:t>Woollin</w:t>
        </w:r>
        <w:proofErr w:type="spellEnd"/>
        <w:r w:rsidRPr="00022AE4">
          <w:rPr>
            <w:rStyle w:val="Hyperlink"/>
            <w:rFonts w:ascii="Arial" w:hAnsi="Arial" w:cs="Arial"/>
            <w:color w:val="000000" w:themeColor="text1"/>
            <w:u w:val="none"/>
            <w:bdr w:val="none" w:sz="0" w:space="0" w:color="auto" w:frame="1"/>
            <w:shd w:val="clear" w:color="auto" w:fill="FFFFFF"/>
          </w:rPr>
          <w:t xml:space="preserve"> [1999] </w:t>
        </w:r>
        <w:r w:rsidRPr="00022AE4">
          <w:rPr>
            <w:rStyle w:val="Hyperlink"/>
            <w:rFonts w:ascii="Arial" w:hAnsi="Arial" w:cs="Arial"/>
            <w:i/>
            <w:iCs/>
            <w:color w:val="000000" w:themeColor="text1"/>
            <w:u w:val="none"/>
            <w:bdr w:val="none" w:sz="0" w:space="0" w:color="auto" w:frame="1"/>
            <w:shd w:val="clear" w:color="auto" w:fill="FFFFFF"/>
          </w:rPr>
          <w:t>1 AC 82, [1998] 4 All ER 103, [1998] 3 WLR 382, [1999] 1 Cr App Rep 8, (1998) Times, 23 July, [1998] All ER (D) 369</w:t>
        </w:r>
      </w:hyperlink>
      <w:r w:rsidR="00022AE4">
        <w:rPr>
          <w:rFonts w:ascii="Arial" w:hAnsi="Arial" w:cs="Arial"/>
          <w:color w:val="000000" w:themeColor="text1"/>
        </w:rPr>
        <w:t>.</w:t>
      </w:r>
      <w:r w:rsidR="00022AE4" w:rsidRPr="00022AE4">
        <w:rPr>
          <w:rFonts w:ascii="Arial" w:hAnsi="Arial" w:cs="Arial"/>
          <w:color w:val="000000" w:themeColor="text1"/>
        </w:rPr>
        <w:t xml:space="preserve"> Available at : </w:t>
      </w:r>
      <w:hyperlink r:id="rId7" w:history="1">
        <w:r w:rsidR="00022AE4" w:rsidRPr="00022AE4">
          <w:rPr>
            <w:rStyle w:val="Hyperlink"/>
            <w:rFonts w:ascii="Arial" w:hAnsi="Arial" w:cs="Arial"/>
            <w:color w:val="000000" w:themeColor="text1"/>
            <w:u w:val="none"/>
          </w:rPr>
          <w:t>https://plus-lexis-com.ezproxy.uwtsd.ac.uk/uk/cases-uk/r-v-woollin_2?crid=e0915a8e-a1ff-46d9-815a-fc2940ebebfc</w:t>
        </w:r>
      </w:hyperlink>
      <w:r w:rsidR="00022AE4" w:rsidRPr="00022AE4">
        <w:rPr>
          <w:rFonts w:ascii="Arial" w:hAnsi="Arial" w:cs="Arial"/>
          <w:color w:val="000000" w:themeColor="text1"/>
        </w:rPr>
        <w:t xml:space="preserve"> (Accessed : </w:t>
      </w:r>
      <w:r w:rsidR="00CE7DBD">
        <w:rPr>
          <w:rFonts w:ascii="Arial" w:hAnsi="Arial" w:cs="Arial"/>
          <w:color w:val="000000" w:themeColor="text1"/>
        </w:rPr>
        <w:t xml:space="preserve">27 June </w:t>
      </w:r>
      <w:r w:rsidR="00022AE4" w:rsidRPr="00022AE4">
        <w:rPr>
          <w:rFonts w:ascii="Arial" w:hAnsi="Arial" w:cs="Arial"/>
          <w:color w:val="000000" w:themeColor="text1"/>
        </w:rPr>
        <w:t>2023)</w:t>
      </w:r>
    </w:p>
    <w:p w14:paraId="0000002F" w14:textId="77777777" w:rsidR="004D5581" w:rsidRPr="00895238" w:rsidRDefault="004D5581" w:rsidP="00895238">
      <w:pPr>
        <w:spacing w:before="240" w:after="240"/>
        <w:jc w:val="left"/>
        <w:rPr>
          <w:rFonts w:ascii="Arial" w:eastAsia="Times New Roman" w:hAnsi="Arial" w:cs="Arial"/>
          <w:color w:val="222222"/>
          <w:highlight w:val="white"/>
        </w:rPr>
      </w:pPr>
    </w:p>
    <w:sectPr w:rsidR="004D5581" w:rsidRPr="00895238" w:rsidSect="00CC62BA">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F1813" w14:textId="77777777" w:rsidR="00CA6509" w:rsidRDefault="00CA6509" w:rsidP="00CC62BA">
      <w:pPr>
        <w:spacing w:line="240" w:lineRule="auto"/>
      </w:pPr>
      <w:r>
        <w:separator/>
      </w:r>
    </w:p>
  </w:endnote>
  <w:endnote w:type="continuationSeparator" w:id="0">
    <w:p w14:paraId="5D196E43" w14:textId="77777777" w:rsidR="00CA6509" w:rsidRDefault="00CA6509" w:rsidP="00CC62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776131"/>
      <w:docPartObj>
        <w:docPartGallery w:val="Page Numbers (Bottom of Page)"/>
        <w:docPartUnique/>
      </w:docPartObj>
    </w:sdtPr>
    <w:sdtEndPr>
      <w:rPr>
        <w:noProof/>
      </w:rPr>
    </w:sdtEndPr>
    <w:sdtContent>
      <w:p w14:paraId="197214CC" w14:textId="0996A151" w:rsidR="00CC62BA" w:rsidRDefault="00CC62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F3C268" w14:textId="77777777" w:rsidR="00CC62BA" w:rsidRDefault="00CC6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4D550" w14:textId="77777777" w:rsidR="00CA6509" w:rsidRDefault="00CA6509" w:rsidP="00CC62BA">
      <w:pPr>
        <w:spacing w:line="240" w:lineRule="auto"/>
      </w:pPr>
      <w:r>
        <w:separator/>
      </w:r>
    </w:p>
  </w:footnote>
  <w:footnote w:type="continuationSeparator" w:id="0">
    <w:p w14:paraId="403A4C88" w14:textId="77777777" w:rsidR="00CA6509" w:rsidRDefault="00CA6509" w:rsidP="00CC62B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581"/>
    <w:rsid w:val="000111D8"/>
    <w:rsid w:val="00022AE4"/>
    <w:rsid w:val="00183F36"/>
    <w:rsid w:val="00373011"/>
    <w:rsid w:val="004C12B0"/>
    <w:rsid w:val="004D5581"/>
    <w:rsid w:val="005305F2"/>
    <w:rsid w:val="00694462"/>
    <w:rsid w:val="00895238"/>
    <w:rsid w:val="00AB1BC1"/>
    <w:rsid w:val="00B047F9"/>
    <w:rsid w:val="00B426DA"/>
    <w:rsid w:val="00CA6509"/>
    <w:rsid w:val="00CC62BA"/>
    <w:rsid w:val="00CE7DBD"/>
    <w:rsid w:val="00D537FA"/>
    <w:rsid w:val="00DE0376"/>
    <w:rsid w:val="00EB31C0"/>
    <w:rsid w:val="00EB7DE1"/>
    <w:rsid w:val="00F05A8B"/>
    <w:rsid w:val="00F44A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BF35D"/>
  <w15:docId w15:val="{66FC1CB6-ED32-4DF4-A896-F2D23A44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C62BA"/>
    <w:pPr>
      <w:tabs>
        <w:tab w:val="center" w:pos="4513"/>
        <w:tab w:val="right" w:pos="9026"/>
      </w:tabs>
      <w:spacing w:line="240" w:lineRule="auto"/>
    </w:pPr>
  </w:style>
  <w:style w:type="character" w:customStyle="1" w:styleId="HeaderChar">
    <w:name w:val="Header Char"/>
    <w:basedOn w:val="DefaultParagraphFont"/>
    <w:link w:val="Header"/>
    <w:uiPriority w:val="99"/>
    <w:rsid w:val="00CC62BA"/>
  </w:style>
  <w:style w:type="paragraph" w:styleId="Footer">
    <w:name w:val="footer"/>
    <w:basedOn w:val="Normal"/>
    <w:link w:val="FooterChar"/>
    <w:uiPriority w:val="99"/>
    <w:unhideWhenUsed/>
    <w:rsid w:val="00CC62BA"/>
    <w:pPr>
      <w:tabs>
        <w:tab w:val="center" w:pos="4513"/>
        <w:tab w:val="right" w:pos="9026"/>
      </w:tabs>
      <w:spacing w:line="240" w:lineRule="auto"/>
    </w:pPr>
  </w:style>
  <w:style w:type="character" w:customStyle="1" w:styleId="FooterChar">
    <w:name w:val="Footer Char"/>
    <w:basedOn w:val="DefaultParagraphFont"/>
    <w:link w:val="Footer"/>
    <w:uiPriority w:val="99"/>
    <w:rsid w:val="00CC62BA"/>
  </w:style>
  <w:style w:type="paragraph" w:customStyle="1" w:styleId="Normal1">
    <w:name w:val="Normal1"/>
    <w:rsid w:val="00AB1BC1"/>
    <w:rPr>
      <w:rFonts w:ascii="Times New Roman" w:eastAsia="Times New Roman" w:hAnsi="Times New Roman" w:cs="Times New Roman"/>
      <w:lang w:val="" w:eastAsia="en-US"/>
    </w:rPr>
  </w:style>
  <w:style w:type="character" w:styleId="Hyperlink">
    <w:name w:val="Hyperlink"/>
    <w:basedOn w:val="DefaultParagraphFont"/>
    <w:uiPriority w:val="99"/>
    <w:unhideWhenUsed/>
    <w:rsid w:val="00B426DA"/>
    <w:rPr>
      <w:color w:val="0000FF"/>
      <w:u w:val="single"/>
    </w:rPr>
  </w:style>
  <w:style w:type="character" w:styleId="UnresolvedMention">
    <w:name w:val="Unresolved Mention"/>
    <w:basedOn w:val="DefaultParagraphFont"/>
    <w:uiPriority w:val="99"/>
    <w:semiHidden/>
    <w:unhideWhenUsed/>
    <w:rsid w:val="00022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lus-lexis-com.ezproxy.uwtsd.ac.uk/uk/cases-uk/r-v-woollin_2?crid=e0915a8e-a1ff-46d9-815a-fc2940ebebf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us-lexis-com.ezproxy.uwtsd.ac.uk/api/document/collection/cases-uk/id/4FXR-GX40-TWW4-21JV-00000-00?cite=R%20v%20Woollin%2C%20%5B1999%5D%201%20AC%2082%2C%20%5B1998%5D%204%20All%20ER%20103%2C%20%5B1998%5D%203%20WLR%20382%2C%20%5B1999%5D%201%20Cr%20App%20Rep%208%2C%20(1998)%20Times%2C%2023%20July%2C%20%5B1998%5D%20All%20ER%20(D)%20369&amp;context=1001073"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1848</Words>
  <Characters>10539</Characters>
  <Application>Microsoft Office Word</Application>
  <DocSecurity>0</DocSecurity>
  <Lines>87</Lines>
  <Paragraphs>24</Paragraphs>
  <ScaleCrop>false</ScaleCrop>
  <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Bocancea</dc:creator>
  <cp:lastModifiedBy>Olga Bocancea</cp:lastModifiedBy>
  <cp:revision>2</cp:revision>
  <dcterms:created xsi:type="dcterms:W3CDTF">2023-07-05T07:17:00Z</dcterms:created>
  <dcterms:modified xsi:type="dcterms:W3CDTF">2023-07-05T07:17:00Z</dcterms:modified>
</cp:coreProperties>
</file>