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BBBDB" w14:textId="5274A043" w:rsidR="00147F04" w:rsidRPr="003611BF" w:rsidRDefault="001016F2" w:rsidP="003611BF">
      <w:pPr>
        <w:pStyle w:val="NoSpacing"/>
        <w:jc w:val="center"/>
        <w:rPr>
          <w:sz w:val="28"/>
          <w:szCs w:val="28"/>
          <w:u w:val="single"/>
        </w:rPr>
      </w:pPr>
      <w:r w:rsidRPr="003611BF">
        <w:rPr>
          <w:sz w:val="28"/>
          <w:szCs w:val="28"/>
          <w:u w:val="single"/>
        </w:rPr>
        <w:t>Gobbet on Ausonius Mosella,</w:t>
      </w:r>
    </w:p>
    <w:p w14:paraId="5F34FCD6" w14:textId="66319A0D" w:rsidR="001016F2" w:rsidRPr="003611BF" w:rsidRDefault="001016F2" w:rsidP="003611BF">
      <w:pPr>
        <w:pStyle w:val="NoSpacing"/>
        <w:jc w:val="center"/>
        <w:rPr>
          <w:sz w:val="28"/>
          <w:szCs w:val="28"/>
          <w:u w:val="single"/>
        </w:rPr>
      </w:pPr>
      <w:r w:rsidRPr="003611BF">
        <w:rPr>
          <w:sz w:val="28"/>
          <w:szCs w:val="28"/>
          <w:u w:val="single"/>
        </w:rPr>
        <w:t>Lines 0-32.</w:t>
      </w:r>
    </w:p>
    <w:p w14:paraId="17EFCB61" w14:textId="03F88696" w:rsidR="001016F2" w:rsidRPr="003611BF" w:rsidRDefault="001016F2" w:rsidP="003611BF">
      <w:pPr>
        <w:pStyle w:val="NoSpacing"/>
        <w:jc w:val="right"/>
        <w:rPr>
          <w:sz w:val="16"/>
          <w:szCs w:val="16"/>
        </w:rPr>
      </w:pPr>
      <w:r w:rsidRPr="003611BF">
        <w:rPr>
          <w:sz w:val="16"/>
          <w:szCs w:val="16"/>
        </w:rPr>
        <w:t>Darren Tierney</w:t>
      </w:r>
    </w:p>
    <w:p w14:paraId="704FEE06" w14:textId="2D213816" w:rsidR="001016F2" w:rsidRDefault="001016F2" w:rsidP="003611BF">
      <w:pPr>
        <w:pStyle w:val="NoSpacing"/>
        <w:jc w:val="right"/>
        <w:rPr>
          <w:sz w:val="16"/>
          <w:szCs w:val="16"/>
        </w:rPr>
      </w:pPr>
      <w:r w:rsidRPr="003611BF">
        <w:rPr>
          <w:sz w:val="16"/>
          <w:szCs w:val="16"/>
        </w:rPr>
        <w:t>08/12/22</w:t>
      </w:r>
    </w:p>
    <w:p w14:paraId="6E717C7B" w14:textId="2F7A1257" w:rsidR="003611BF" w:rsidRPr="003611BF" w:rsidRDefault="003611BF" w:rsidP="003611BF">
      <w:pPr>
        <w:pStyle w:val="NoSpacing"/>
        <w:jc w:val="right"/>
        <w:rPr>
          <w:sz w:val="16"/>
          <w:szCs w:val="16"/>
        </w:rPr>
      </w:pPr>
      <w:r>
        <w:rPr>
          <w:sz w:val="16"/>
          <w:szCs w:val="16"/>
        </w:rPr>
        <w:t>Level 5</w:t>
      </w:r>
    </w:p>
    <w:p w14:paraId="429C3260" w14:textId="723A0454" w:rsidR="001016F2" w:rsidRPr="00A57435" w:rsidRDefault="001016F2" w:rsidP="001016F2">
      <w:pPr>
        <w:rPr>
          <w:u w:val="single"/>
        </w:rPr>
      </w:pPr>
    </w:p>
    <w:p w14:paraId="76BC4B5E" w14:textId="35199253" w:rsidR="00234624" w:rsidRPr="00E66DE9" w:rsidRDefault="001016F2" w:rsidP="00E66DE9">
      <w:pPr>
        <w:ind w:firstLine="720"/>
      </w:pPr>
      <w:r>
        <w:t>Decimus Magnus Ausonius was a</w:t>
      </w:r>
      <w:r w:rsidR="00197371">
        <w:t xml:space="preserve"> Gallic</w:t>
      </w:r>
      <w:r>
        <w:t xml:space="preserve"> man who lived from 310-395</w:t>
      </w:r>
      <w:r w:rsidR="002B65EB">
        <w:t xml:space="preserve"> </w:t>
      </w:r>
      <w:r w:rsidR="00197371">
        <w:t>CE</w:t>
      </w:r>
      <w:r>
        <w:t xml:space="preserve">. It </w:t>
      </w:r>
      <w:r w:rsidR="002A217B">
        <w:t>is true</w:t>
      </w:r>
      <w:r>
        <w:t xml:space="preserve"> that Ausonius was </w:t>
      </w:r>
      <w:r w:rsidR="00197371">
        <w:t>born a</w:t>
      </w:r>
      <w:r w:rsidR="002A217B">
        <w:t xml:space="preserve"> Gaul, </w:t>
      </w:r>
      <w:r>
        <w:t>but at heart Ausonius identified as a Roman citizen</w:t>
      </w:r>
      <w:r w:rsidR="002A217B">
        <w:t xml:space="preserve">, in the Moselle he portrays this within </w:t>
      </w:r>
      <w:r w:rsidR="00197371">
        <w:t>his writings, Ausonius writes</w:t>
      </w:r>
      <w:r w:rsidR="00936F1A">
        <w:t>,</w:t>
      </w:r>
      <w:r w:rsidR="00936F1A">
        <w:rPr>
          <w:i/>
          <w:iCs/>
        </w:rPr>
        <w:t xml:space="preserve"> </w:t>
      </w:r>
      <w:r w:rsidR="00936F1A" w:rsidRPr="002A217B">
        <w:rPr>
          <w:i/>
          <w:iCs/>
        </w:rPr>
        <w:t>‘I</w:t>
      </w:r>
      <w:r w:rsidR="002A217B" w:rsidRPr="002A217B">
        <w:rPr>
          <w:i/>
          <w:iCs/>
        </w:rPr>
        <w:t>, Ausonius, Roman in name yet born and bred betwixt the frontiers of Gaul and high Pyrene</w:t>
      </w:r>
      <w:r w:rsidR="002A217B">
        <w:rPr>
          <w:i/>
          <w:iCs/>
        </w:rPr>
        <w:t>’.</w:t>
      </w:r>
      <w:r w:rsidR="002A217B">
        <w:rPr>
          <w:rStyle w:val="FootnoteReference"/>
          <w:i/>
          <w:iCs/>
        </w:rPr>
        <w:footnoteReference w:id="1"/>
      </w:r>
      <w:r w:rsidR="00E66DE9">
        <w:t xml:space="preserve"> </w:t>
      </w:r>
      <w:r>
        <w:t xml:space="preserve">In his lifetime Ausonius produced many works that still survive today, </w:t>
      </w:r>
      <w:r w:rsidR="00A57435">
        <w:t>we</w:t>
      </w:r>
      <w:r>
        <w:t xml:space="preserve"> find many schol</w:t>
      </w:r>
      <w:r w:rsidR="00A57435">
        <w:t>a</w:t>
      </w:r>
      <w:r>
        <w:t>rs believe he is one of the best sources of poetry of late antiquity due to his variety of works and his political and social connections</w:t>
      </w:r>
      <w:r w:rsidR="00142B60">
        <w:t>, and the Mosella is thought to be one of the best examples of poetry in late antiquity</w:t>
      </w:r>
      <w:r w:rsidR="00197371">
        <w:t>.</w:t>
      </w:r>
      <w:r w:rsidR="00142B60">
        <w:t xml:space="preserve"> J. Lobato writes</w:t>
      </w:r>
      <w:r w:rsidR="00E66DE9">
        <w:t>,</w:t>
      </w:r>
      <w:r w:rsidR="00142B60">
        <w:t xml:space="preserve"> </w:t>
      </w:r>
      <w:r w:rsidR="00142B60" w:rsidRPr="00142B60">
        <w:rPr>
          <w:i/>
          <w:iCs/>
        </w:rPr>
        <w:t>‘Ausonius’ Mosella is probably the most remarkable, studied and beloved poem of late antiquity.’</w:t>
      </w:r>
      <w:r w:rsidR="00142B60">
        <w:rPr>
          <w:rStyle w:val="FootnoteReference"/>
        </w:rPr>
        <w:footnoteReference w:id="2"/>
      </w:r>
      <w:r w:rsidR="00142B60">
        <w:rPr>
          <w:i/>
          <w:iCs/>
        </w:rPr>
        <w:t xml:space="preserve"> </w:t>
      </w:r>
      <w:r>
        <w:t>Ausonius was a tutor to emperor Valentinians’ son Gratian, th</w:t>
      </w:r>
      <w:r w:rsidR="00197371">
        <w:t>is we know is factual.</w:t>
      </w:r>
      <w:r>
        <w:t xml:space="preserve"> </w:t>
      </w:r>
      <w:r w:rsidR="00197371">
        <w:t>A</w:t>
      </w:r>
      <w:r>
        <w:t>lthough the meaning has been debated to the context within various texts that he may have been tutor to the Valentinian royal family rather than just Gratian himself</w:t>
      </w:r>
      <w:r w:rsidR="00197371">
        <w:t>.  In reference to this Ausonius writes,</w:t>
      </w:r>
      <w:r>
        <w:t xml:space="preserve"> </w:t>
      </w:r>
    </w:p>
    <w:p w14:paraId="129DC234" w14:textId="6E6522F5" w:rsidR="001016F2" w:rsidRPr="00234624" w:rsidRDefault="00234624" w:rsidP="00234624">
      <w:pPr>
        <w:jc w:val="center"/>
        <w:rPr>
          <w:i/>
          <w:iCs/>
        </w:rPr>
      </w:pPr>
      <w:r>
        <w:rPr>
          <w:i/>
          <w:iCs/>
        </w:rPr>
        <w:t>‘</w:t>
      </w:r>
      <w:r w:rsidRPr="00234624">
        <w:rPr>
          <w:i/>
          <w:iCs/>
        </w:rPr>
        <w:t xml:space="preserve">When the Emperor and his sons (my </w:t>
      </w:r>
      <w:proofErr w:type="spellStart"/>
      <w:r w:rsidRPr="00234624">
        <w:rPr>
          <w:i/>
          <w:iCs/>
        </w:rPr>
        <w:t>chiefest</w:t>
      </w:r>
      <w:proofErr w:type="spellEnd"/>
      <w:r w:rsidRPr="00234624">
        <w:rPr>
          <w:i/>
          <w:iCs/>
        </w:rPr>
        <w:t xml:space="preserve"> care) shall give me my discharge from service as their tutor</w:t>
      </w:r>
      <w:r>
        <w:rPr>
          <w:i/>
          <w:iCs/>
        </w:rPr>
        <w:t>’.</w:t>
      </w:r>
      <w:r>
        <w:rPr>
          <w:rStyle w:val="FootnoteReference"/>
          <w:i/>
          <w:iCs/>
        </w:rPr>
        <w:footnoteReference w:id="3"/>
      </w:r>
    </w:p>
    <w:p w14:paraId="392CC55F" w14:textId="3A3241F8" w:rsidR="0018576C" w:rsidRDefault="001016F2" w:rsidP="0018576C">
      <w:pPr>
        <w:ind w:firstLine="720"/>
      </w:pPr>
      <w:r>
        <w:t xml:space="preserve">In this gobbet, I will be doing a critical commentary on </w:t>
      </w:r>
      <w:r w:rsidR="00197371">
        <w:t xml:space="preserve">a single poem written by </w:t>
      </w:r>
      <w:r>
        <w:t>Ausonius titled ‘</w:t>
      </w:r>
      <w:proofErr w:type="spellStart"/>
      <w:r>
        <w:t>Mosella</w:t>
      </w:r>
      <w:proofErr w:type="spellEnd"/>
      <w:r>
        <w:t xml:space="preserve">’. This work was written as part of his </w:t>
      </w:r>
      <w:proofErr w:type="spellStart"/>
      <w:r>
        <w:t>Idyllia</w:t>
      </w:r>
      <w:proofErr w:type="spellEnd"/>
      <w:r>
        <w:t xml:space="preserve"> portfolio during the late 4th century CE</w:t>
      </w:r>
      <w:r w:rsidR="00197371">
        <w:t>,</w:t>
      </w:r>
      <w:r>
        <w:t xml:space="preserve"> during the </w:t>
      </w:r>
      <w:r w:rsidR="00EE29CA">
        <w:t>reign</w:t>
      </w:r>
      <w:r>
        <w:t xml:space="preserve"> of Valentinian I</w:t>
      </w:r>
      <w:r w:rsidR="00197371">
        <w:t>.</w:t>
      </w:r>
      <w:r>
        <w:t xml:space="preserve"> </w:t>
      </w:r>
      <w:r w:rsidR="00197371">
        <w:t>S</w:t>
      </w:r>
      <w:r>
        <w:t>ome believe it to be as early as 37</w:t>
      </w:r>
      <w:r w:rsidR="002A217B">
        <w:t>1</w:t>
      </w:r>
      <w:r>
        <w:t>, other</w:t>
      </w:r>
      <w:r w:rsidR="00197371">
        <w:t>s</w:t>
      </w:r>
      <w:r>
        <w:t xml:space="preserve"> disagree and say it had been made as early as 37</w:t>
      </w:r>
      <w:r w:rsidR="002A217B">
        <w:t>5</w:t>
      </w:r>
      <w:r>
        <w:t xml:space="preserve">, this is up for speculation as this is </w:t>
      </w:r>
      <w:r w:rsidR="00A57435">
        <w:t>still a strong topic of</w:t>
      </w:r>
      <w:r w:rsidR="00197371">
        <w:t xml:space="preserve"> scholarly</w:t>
      </w:r>
      <w:r w:rsidR="00A57435">
        <w:t xml:space="preserve"> discussion</w:t>
      </w:r>
      <w:r w:rsidR="00197371">
        <w:t>.</w:t>
      </w:r>
      <w:r w:rsidR="00A57435">
        <w:t xml:space="preserve"> </w:t>
      </w:r>
      <w:r w:rsidR="0018576C">
        <w:t xml:space="preserve">The focus of this gobbet is only the first 32 lines of the poem, but in these passages, we find some key information that sets a plateau for the rest this work. In this quote we find D. </w:t>
      </w:r>
      <w:proofErr w:type="spellStart"/>
      <w:r w:rsidR="0018576C">
        <w:t>Shanzer</w:t>
      </w:r>
      <w:proofErr w:type="spellEnd"/>
      <w:r w:rsidR="0018576C">
        <w:t xml:space="preserve"> </w:t>
      </w:r>
      <w:proofErr w:type="gramStart"/>
      <w:r w:rsidR="0018576C">
        <w:t>making an observation</w:t>
      </w:r>
      <w:proofErr w:type="gramEnd"/>
      <w:r w:rsidR="0018576C">
        <w:t xml:space="preserve"> on the possible date of the writing of the Mosella, claiming the usage of the </w:t>
      </w:r>
      <w:r w:rsidR="004069D0">
        <w:t>Latin</w:t>
      </w:r>
      <w:r w:rsidR="0018576C">
        <w:t xml:space="preserve"> word </w:t>
      </w:r>
      <w:r w:rsidR="002B65EB">
        <w:t>‘</w:t>
      </w:r>
      <w:proofErr w:type="spellStart"/>
      <w:r w:rsidR="002B65EB">
        <w:t>e</w:t>
      </w:r>
      <w:r w:rsidR="004069D0">
        <w:t>st</w:t>
      </w:r>
      <w:proofErr w:type="spellEnd"/>
      <w:r w:rsidR="002B65EB">
        <w:t>’</w:t>
      </w:r>
      <w:r w:rsidR="0018576C">
        <w:t xml:space="preserve"> to be linked to a possible date,  </w:t>
      </w:r>
    </w:p>
    <w:p w14:paraId="2C071F16" w14:textId="41784B11" w:rsidR="00A57435" w:rsidRPr="00131295" w:rsidRDefault="0018576C" w:rsidP="00131295">
      <w:pPr>
        <w:ind w:firstLine="720"/>
        <w:jc w:val="center"/>
        <w:rPr>
          <w:i/>
          <w:iCs/>
        </w:rPr>
      </w:pPr>
      <w:r>
        <w:rPr>
          <w:i/>
          <w:iCs/>
        </w:rPr>
        <w:t>‘</w:t>
      </w:r>
      <w:r w:rsidRPr="0018576C">
        <w:rPr>
          <w:i/>
          <w:iCs/>
        </w:rPr>
        <w:t xml:space="preserve">The present tense </w:t>
      </w:r>
      <w:proofErr w:type="spellStart"/>
      <w:r w:rsidRPr="0018576C">
        <w:rPr>
          <w:i/>
          <w:iCs/>
        </w:rPr>
        <w:t>est</w:t>
      </w:r>
      <w:proofErr w:type="spellEnd"/>
      <w:r w:rsidRPr="0018576C">
        <w:rPr>
          <w:i/>
          <w:iCs/>
        </w:rPr>
        <w:t xml:space="preserve"> excludes dates after 371, such as early 374 suggested by Canal and Pastorino.</w:t>
      </w:r>
      <w:r>
        <w:rPr>
          <w:i/>
          <w:iCs/>
        </w:rPr>
        <w:t>’</w:t>
      </w:r>
      <w:r w:rsidRPr="0018576C">
        <w:rPr>
          <w:rStyle w:val="FootnoteReference"/>
          <w:i/>
          <w:iCs/>
        </w:rPr>
        <w:footnoteReference w:id="4"/>
      </w:r>
    </w:p>
    <w:p w14:paraId="311A24C8" w14:textId="08B7C6C5" w:rsidR="00234624" w:rsidRDefault="00A57435" w:rsidP="001016F2">
      <w:r>
        <w:tab/>
      </w:r>
      <w:r w:rsidR="00BF11A0">
        <w:t>As we have already discussed</w:t>
      </w:r>
      <w:r w:rsidR="002B65EB">
        <w:t>,</w:t>
      </w:r>
      <w:r w:rsidR="00BF11A0">
        <w:t xml:space="preserve"> the Mosella is a document that likely dates from somewhere around the late 4</w:t>
      </w:r>
      <w:r w:rsidR="00BF11A0" w:rsidRPr="00BF11A0">
        <w:rPr>
          <w:vertAlign w:val="superscript"/>
        </w:rPr>
        <w:t>th</w:t>
      </w:r>
      <w:r w:rsidR="00BF11A0">
        <w:t xml:space="preserve"> century CE, this document is a poem that focuses on the </w:t>
      </w:r>
      <w:proofErr w:type="gramStart"/>
      <w:r w:rsidR="00BF11A0">
        <w:t>River</w:t>
      </w:r>
      <w:proofErr w:type="gramEnd"/>
      <w:r w:rsidR="00BF11A0">
        <w:t xml:space="preserve"> Moselle, a tributary of the</w:t>
      </w:r>
      <w:r w:rsidR="002B65EB">
        <w:t xml:space="preserve"> River</w:t>
      </w:r>
      <w:r w:rsidR="00BF11A0">
        <w:t xml:space="preserve"> Rhine</w:t>
      </w:r>
      <w:r w:rsidR="002B65EB">
        <w:t>,</w:t>
      </w:r>
      <w:r w:rsidR="00BF11A0">
        <w:t xml:space="preserve"> </w:t>
      </w:r>
      <w:r w:rsidR="002B65EB">
        <w:t>the Rhine</w:t>
      </w:r>
      <w:r w:rsidR="00BF11A0">
        <w:t xml:space="preserve"> flows along most of the French-German border and exits through modern day Netherlands. This would have been the border of the </w:t>
      </w:r>
      <w:r w:rsidR="002B65EB">
        <w:t>R</w:t>
      </w:r>
      <w:r w:rsidR="00BF11A0">
        <w:t xml:space="preserve">oman </w:t>
      </w:r>
      <w:r w:rsidR="002B65EB">
        <w:t>E</w:t>
      </w:r>
      <w:r w:rsidR="00BF11A0">
        <w:t xml:space="preserve">mpire at the time of Valentinian, separating the ‘civilised’ Roman </w:t>
      </w:r>
      <w:r w:rsidR="002B65EB">
        <w:t>E</w:t>
      </w:r>
      <w:r w:rsidR="00BF11A0">
        <w:t>mpire from the lands of the ‘barbarians</w:t>
      </w:r>
      <w:r w:rsidR="00197371">
        <w:t>.</w:t>
      </w:r>
      <w:r w:rsidR="00BF11A0">
        <w:t xml:space="preserve"> </w:t>
      </w:r>
      <w:r w:rsidR="00197371">
        <w:t>Therefore,</w:t>
      </w:r>
      <w:r w:rsidR="00BF11A0">
        <w:t xml:space="preserve"> we can </w:t>
      </w:r>
      <w:r w:rsidR="00197371">
        <w:t>take an educated guess that</w:t>
      </w:r>
      <w:r w:rsidR="00BF11A0">
        <w:t xml:space="preserve"> this poem is about the grandeur of Rome and the </w:t>
      </w:r>
      <w:r w:rsidR="00210FCD">
        <w:t>civilisation that they have built</w:t>
      </w:r>
      <w:r w:rsidR="00197371">
        <w:t>, as the Poet had to cater to the emperor that they were writing to.</w:t>
      </w:r>
      <w:r w:rsidR="00234624">
        <w:t xml:space="preserve"> </w:t>
      </w:r>
      <w:r w:rsidR="00197371">
        <w:t>I</w:t>
      </w:r>
      <w:r w:rsidR="00234624">
        <w:t>n th</w:t>
      </w:r>
      <w:r w:rsidR="00197371">
        <w:t>e next</w:t>
      </w:r>
      <w:r w:rsidR="00234624">
        <w:t xml:space="preserve"> </w:t>
      </w:r>
      <w:r w:rsidR="00197371">
        <w:t xml:space="preserve">quote written </w:t>
      </w:r>
      <w:r w:rsidR="002B65EB">
        <w:t>by</w:t>
      </w:r>
      <w:r w:rsidR="00197371">
        <w:t xml:space="preserve"> Ausonius</w:t>
      </w:r>
      <w:r w:rsidR="002B65EB">
        <w:t xml:space="preserve"> in the</w:t>
      </w:r>
      <w:r w:rsidR="00197371">
        <w:t xml:space="preserve"> </w:t>
      </w:r>
      <w:proofErr w:type="spellStart"/>
      <w:r w:rsidR="00197371">
        <w:t>Mosella</w:t>
      </w:r>
      <w:proofErr w:type="spellEnd"/>
      <w:r w:rsidR="002B65EB">
        <w:t>,</w:t>
      </w:r>
      <w:r w:rsidR="00197371">
        <w:t xml:space="preserve"> </w:t>
      </w:r>
      <w:r w:rsidR="00234624">
        <w:t xml:space="preserve">we </w:t>
      </w:r>
      <w:r w:rsidR="002B65EB">
        <w:t>find</w:t>
      </w:r>
      <w:r w:rsidR="00234624">
        <w:t xml:space="preserve"> a good example of</w:t>
      </w:r>
      <w:r w:rsidR="00197371">
        <w:t xml:space="preserve"> an air of Roman superiority,</w:t>
      </w:r>
    </w:p>
    <w:p w14:paraId="292D2BD9" w14:textId="5F10CA94" w:rsidR="00234624" w:rsidRPr="00234624" w:rsidRDefault="00234624" w:rsidP="00234624">
      <w:pPr>
        <w:jc w:val="center"/>
        <w:rPr>
          <w:i/>
          <w:iCs/>
        </w:rPr>
      </w:pPr>
      <w:r w:rsidRPr="00234624">
        <w:rPr>
          <w:i/>
          <w:iCs/>
        </w:rPr>
        <w:lastRenderedPageBreak/>
        <w:t>‘Hail, river, blessed by the fields, blessed by the husbandmen, to whom the Belgae owe the imperial honour which graces their city’.</w:t>
      </w:r>
      <w:r w:rsidRPr="00234624">
        <w:rPr>
          <w:rStyle w:val="FootnoteReference"/>
          <w:i/>
          <w:iCs/>
        </w:rPr>
        <w:footnoteReference w:id="5"/>
      </w:r>
    </w:p>
    <w:p w14:paraId="74A11122" w14:textId="77777777" w:rsidR="00234624" w:rsidRDefault="00234624" w:rsidP="001016F2"/>
    <w:p w14:paraId="7DFAEAC1" w14:textId="0D512D7D" w:rsidR="00553487" w:rsidRDefault="00210FCD" w:rsidP="00142B60">
      <w:pPr>
        <w:ind w:firstLine="720"/>
      </w:pPr>
      <w:r>
        <w:t xml:space="preserve">The poetry itself is written in Latin, which is extremely common for this era of the </w:t>
      </w:r>
      <w:r w:rsidR="00197371">
        <w:t>R</w:t>
      </w:r>
      <w:r>
        <w:t xml:space="preserve">oman </w:t>
      </w:r>
      <w:r w:rsidR="00197371">
        <w:t>E</w:t>
      </w:r>
      <w:r>
        <w:t>mpire, and the structure is of a hexameter style that Ausonius was a supposed veteran at publishing.</w:t>
      </w:r>
      <w:r w:rsidR="004069D0">
        <w:t xml:space="preserve"> </w:t>
      </w:r>
      <w:r>
        <w:t xml:space="preserve">Ausonius himself was part of the social literary elite, we can garner from the fact he was a tutor to the </w:t>
      </w:r>
      <w:r w:rsidR="00197371">
        <w:t>emperor’s</w:t>
      </w:r>
      <w:r>
        <w:t xml:space="preserve"> family as well as receiving a consulship of Rome, </w:t>
      </w:r>
      <w:r w:rsidR="00197371">
        <w:t>that he is</w:t>
      </w:r>
      <w:r>
        <w:t xml:space="preserve"> set apart </w:t>
      </w:r>
      <w:r w:rsidR="000B5ECA">
        <w:t>from the common poet as he has a unique insight into the Imperial court. We can also see he is learned just from looking at both the quantity and quality of his works that he produced, he was a Gallic citizen from a wealthy background,</w:t>
      </w:r>
      <w:r w:rsidR="00553487">
        <w:t xml:space="preserve"> and his closeness to the emperor makes some scholars think that this is a clear case of propaganda, E. Kennedy writes,</w:t>
      </w:r>
    </w:p>
    <w:p w14:paraId="5FCC8968" w14:textId="350E3B04" w:rsidR="00A57435" w:rsidRPr="00553487" w:rsidRDefault="00553487" w:rsidP="00553487">
      <w:pPr>
        <w:ind w:firstLine="720"/>
        <w:jc w:val="center"/>
        <w:rPr>
          <w:i/>
          <w:iCs/>
        </w:rPr>
      </w:pPr>
      <w:r w:rsidRPr="00553487">
        <w:rPr>
          <w:i/>
          <w:iCs/>
        </w:rPr>
        <w:t>‘It is against this political and military background that the Mosella must be read. It was clearly intended as propaganda.’</w:t>
      </w:r>
      <w:r w:rsidRPr="00553487">
        <w:rPr>
          <w:rStyle w:val="FootnoteReference"/>
          <w:i/>
          <w:iCs/>
        </w:rPr>
        <w:footnoteReference w:id="6"/>
      </w:r>
    </w:p>
    <w:p w14:paraId="1D0735EE" w14:textId="6AA71EFF" w:rsidR="00553487" w:rsidRDefault="000B5ECA" w:rsidP="00197371">
      <w:pPr>
        <w:ind w:firstLine="720"/>
      </w:pPr>
      <w:r>
        <w:t>In the most literal sense</w:t>
      </w:r>
      <w:r w:rsidR="00197371">
        <w:t>,</w:t>
      </w:r>
      <w:r>
        <w:t xml:space="preserve"> Ausonius tells us in th</w:t>
      </w:r>
      <w:r w:rsidR="00197371">
        <w:t>e</w:t>
      </w:r>
      <w:r>
        <w:t xml:space="preserve"> extract of the </w:t>
      </w:r>
      <w:proofErr w:type="spellStart"/>
      <w:r>
        <w:t>Mosella</w:t>
      </w:r>
      <w:proofErr w:type="spellEnd"/>
      <w:r w:rsidR="00197371">
        <w:t>,</w:t>
      </w:r>
      <w:r>
        <w:t xml:space="preserve"> of his journey, either alone or with companions, over the river Nay</w:t>
      </w:r>
      <w:r w:rsidR="00142B60">
        <w:t xml:space="preserve">a (modern day </w:t>
      </w:r>
      <w:proofErr w:type="spellStart"/>
      <w:r w:rsidR="00142B60">
        <w:t>Nahe</w:t>
      </w:r>
      <w:proofErr w:type="spellEnd"/>
      <w:r w:rsidR="00142B60">
        <w:t xml:space="preserve">), </w:t>
      </w:r>
      <w:r>
        <w:t xml:space="preserve">through the </w:t>
      </w:r>
      <w:proofErr w:type="spellStart"/>
      <w:r>
        <w:t>Hunsruck</w:t>
      </w:r>
      <w:proofErr w:type="spellEnd"/>
      <w:r w:rsidR="00553487">
        <w:t xml:space="preserve"> </w:t>
      </w:r>
      <w:r>
        <w:t>and then finally to the</w:t>
      </w:r>
      <w:r w:rsidR="00553487">
        <w:t xml:space="preserve"> </w:t>
      </w:r>
      <w:proofErr w:type="gramStart"/>
      <w:r w:rsidR="00553487">
        <w:t>River</w:t>
      </w:r>
      <w:proofErr w:type="gramEnd"/>
      <w:r>
        <w:t xml:space="preserve"> Mosell</w:t>
      </w:r>
      <w:r w:rsidR="00553487">
        <w:t>a</w:t>
      </w:r>
      <w:r>
        <w:t xml:space="preserve">. At this </w:t>
      </w:r>
      <w:r w:rsidR="00553487">
        <w:t>time,</w:t>
      </w:r>
      <w:r>
        <w:t xml:space="preserve"> we could </w:t>
      </w:r>
      <w:r w:rsidR="00197371">
        <w:t>speculate</w:t>
      </w:r>
      <w:r>
        <w:t xml:space="preserve"> that the </w:t>
      </w:r>
      <w:proofErr w:type="spellStart"/>
      <w:r>
        <w:t>Hunsruck</w:t>
      </w:r>
      <w:proofErr w:type="spellEnd"/>
      <w:r>
        <w:t xml:space="preserve"> would have been a forest</w:t>
      </w:r>
      <w:r w:rsidR="00197371">
        <w:t>, possibly with the dangers of</w:t>
      </w:r>
      <w:r>
        <w:t xml:space="preserve"> wild animals and bandits</w:t>
      </w:r>
      <w:r w:rsidR="00197371">
        <w:t>.</w:t>
      </w:r>
      <w:r>
        <w:t xml:space="preserve"> </w:t>
      </w:r>
      <w:r w:rsidR="00197371">
        <w:t>T</w:t>
      </w:r>
      <w:r>
        <w:t>his journey although short in the grand view of the empire</w:t>
      </w:r>
      <w:r w:rsidR="00197371">
        <w:t>,</w:t>
      </w:r>
      <w:r>
        <w:t xml:space="preserve"> could still have the aspect of danger alluding Ausonius</w:t>
      </w:r>
      <w:r w:rsidR="00197371">
        <w:t>.</w:t>
      </w:r>
      <w:r w:rsidR="00553487">
        <w:t xml:space="preserve"> </w:t>
      </w:r>
      <w:proofErr w:type="spellStart"/>
      <w:r w:rsidR="00491DA3">
        <w:t>L</w:t>
      </w:r>
      <w:r w:rsidR="00553487">
        <w:t>oboto</w:t>
      </w:r>
      <w:proofErr w:type="spellEnd"/>
      <w:r w:rsidR="00553487">
        <w:t xml:space="preserve"> writes an observation of </w:t>
      </w:r>
      <w:r w:rsidR="00197371">
        <w:t xml:space="preserve">this extract, he tells us that this is a </w:t>
      </w:r>
      <w:r w:rsidR="00553487">
        <w:t xml:space="preserve">writing </w:t>
      </w:r>
      <w:r w:rsidR="00197371">
        <w:t>of</w:t>
      </w:r>
      <w:r w:rsidR="00553487">
        <w:t xml:space="preserve"> metaphor</w:t>
      </w:r>
      <w:r w:rsidR="00197371">
        <w:t xml:space="preserve">ical </w:t>
      </w:r>
      <w:r w:rsidR="00553487">
        <w:t>dangers</w:t>
      </w:r>
      <w:r w:rsidR="00197371">
        <w:t xml:space="preserve"> that can be compared to hell,</w:t>
      </w:r>
      <w:r w:rsidR="00553487">
        <w:t xml:space="preserve"> mirroring Vergil in the sixth book of his Aeneid, </w:t>
      </w:r>
      <w:r w:rsidR="00553487" w:rsidRPr="00553487">
        <w:t xml:space="preserve"> </w:t>
      </w:r>
    </w:p>
    <w:p w14:paraId="54E965DD" w14:textId="3842A292" w:rsidR="00553487" w:rsidRPr="00553487" w:rsidRDefault="00553487" w:rsidP="00553487">
      <w:pPr>
        <w:jc w:val="center"/>
        <w:rPr>
          <w:i/>
          <w:iCs/>
        </w:rPr>
      </w:pPr>
      <w:r>
        <w:rPr>
          <w:i/>
          <w:iCs/>
        </w:rPr>
        <w:t>‘</w:t>
      </w:r>
      <w:r w:rsidRPr="00553487">
        <w:rPr>
          <w:i/>
          <w:iCs/>
        </w:rPr>
        <w:t>These first nine lines have indeed been proved to be a deliberate reworking of the topic of the travel to Hell or katabasis as depicted by Vergil in the sixth book of his Aeneid, many of whose passages are here intertextually borrowed</w:t>
      </w:r>
      <w:r w:rsidR="000B5ECA" w:rsidRPr="00553487">
        <w:rPr>
          <w:i/>
          <w:iCs/>
        </w:rPr>
        <w:t>.</w:t>
      </w:r>
      <w:r>
        <w:rPr>
          <w:i/>
          <w:iCs/>
        </w:rPr>
        <w:t>’</w:t>
      </w:r>
      <w:r w:rsidR="000B5ECA" w:rsidRPr="00553487">
        <w:rPr>
          <w:rStyle w:val="FootnoteReference"/>
          <w:i/>
          <w:iCs/>
        </w:rPr>
        <w:footnoteReference w:id="7"/>
      </w:r>
    </w:p>
    <w:p w14:paraId="51DC90D0" w14:textId="26740FDD" w:rsidR="00142B60" w:rsidRDefault="00197371" w:rsidP="00491DA3">
      <w:pPr>
        <w:ind w:firstLine="720"/>
      </w:pPr>
      <w:r>
        <w:t>As an overview, this extract of</w:t>
      </w:r>
      <w:r w:rsidR="002B65EB">
        <w:t xml:space="preserve"> the</w:t>
      </w:r>
      <w:r w:rsidR="00142B60">
        <w:t xml:space="preserve"> </w:t>
      </w:r>
      <w:proofErr w:type="spellStart"/>
      <w:r w:rsidR="00142B60">
        <w:t>Mosella</w:t>
      </w:r>
      <w:proofErr w:type="spellEnd"/>
      <w:r w:rsidR="00142B60">
        <w:t xml:space="preserve"> is about boundaries and the process of internal transformation</w:t>
      </w:r>
      <w:r>
        <w:t>.</w:t>
      </w:r>
      <w:r w:rsidR="00FF6929">
        <w:t xml:space="preserve"> </w:t>
      </w:r>
      <w:r>
        <w:t>W</w:t>
      </w:r>
      <w:r w:rsidR="00FF6929">
        <w:t>e</w:t>
      </w:r>
      <w:r>
        <w:t xml:space="preserve"> can see</w:t>
      </w:r>
      <w:r w:rsidR="00FF6929">
        <w:t xml:space="preserve"> in the extract</w:t>
      </w:r>
      <w:r>
        <w:t xml:space="preserve"> that</w:t>
      </w:r>
      <w:r w:rsidR="00FF6929">
        <w:t xml:space="preserve"> there is a strong focus on the journey rather than the river itself</w:t>
      </w:r>
      <w:r>
        <w:t>.</w:t>
      </w:r>
      <w:r w:rsidR="00FF6929">
        <w:t xml:space="preserve"> </w:t>
      </w:r>
      <w:r>
        <w:t>T</w:t>
      </w:r>
      <w:r w:rsidR="00FF6929">
        <w:t xml:space="preserve">he river and surrounding area </w:t>
      </w:r>
      <w:proofErr w:type="gramStart"/>
      <w:r w:rsidR="00FF6929">
        <w:t>is</w:t>
      </w:r>
      <w:proofErr w:type="gramEnd"/>
      <w:r w:rsidR="00FF6929">
        <w:t xml:space="preserve"> almost an idyllic representation of harmony, peace and beauty</w:t>
      </w:r>
      <w:r>
        <w:t>.</w:t>
      </w:r>
      <w:r w:rsidR="00142B60">
        <w:t xml:space="preserve"> J. </w:t>
      </w:r>
      <w:proofErr w:type="spellStart"/>
      <w:r w:rsidR="00142B60">
        <w:t>Loboto</w:t>
      </w:r>
      <w:proofErr w:type="spellEnd"/>
      <w:r w:rsidR="00142B60">
        <w:t xml:space="preserve"> writes</w:t>
      </w:r>
      <w:r>
        <w:t xml:space="preserve"> in support of this theory</w:t>
      </w:r>
      <w:r w:rsidR="00142B60">
        <w:t xml:space="preserve">, </w:t>
      </w:r>
    </w:p>
    <w:p w14:paraId="240BF4CD" w14:textId="53BBBDE4" w:rsidR="00142B60" w:rsidRPr="00142B60" w:rsidRDefault="00142B60" w:rsidP="00142B60">
      <w:pPr>
        <w:jc w:val="center"/>
        <w:rPr>
          <w:i/>
          <w:iCs/>
        </w:rPr>
      </w:pPr>
      <w:r>
        <w:rPr>
          <w:i/>
          <w:iCs/>
        </w:rPr>
        <w:t>‘</w:t>
      </w:r>
      <w:r w:rsidRPr="00142B60">
        <w:rPr>
          <w:i/>
          <w:iCs/>
        </w:rPr>
        <w:t>The Mosella is all about crossing over boundaries, about passing from darkness into light, about going over into a different consciousness by means of a process of internal transformation</w:t>
      </w:r>
      <w:r>
        <w:rPr>
          <w:i/>
          <w:iCs/>
        </w:rPr>
        <w:t>’.</w:t>
      </w:r>
      <w:r>
        <w:rPr>
          <w:rStyle w:val="FootnoteReference"/>
          <w:i/>
          <w:iCs/>
        </w:rPr>
        <w:footnoteReference w:id="8"/>
      </w:r>
    </w:p>
    <w:p w14:paraId="35D60A4F" w14:textId="683A5699" w:rsidR="000B5ECA" w:rsidRDefault="000B5ECA" w:rsidP="00142B60">
      <w:pPr>
        <w:ind w:firstLine="720"/>
      </w:pPr>
      <w:r>
        <w:t xml:space="preserve">His journey although </w:t>
      </w:r>
      <w:r w:rsidR="00197371">
        <w:t>short had</w:t>
      </w:r>
      <w:r>
        <w:t xml:space="preserve"> enough of an effect on him to include in the writing of the introduction to the </w:t>
      </w:r>
      <w:proofErr w:type="spellStart"/>
      <w:r>
        <w:t>Mosella</w:t>
      </w:r>
      <w:proofErr w:type="spellEnd"/>
      <w:r w:rsidR="00197371">
        <w:t>.</w:t>
      </w:r>
      <w:r>
        <w:t xml:space="preserve"> </w:t>
      </w:r>
      <w:r w:rsidR="00197371">
        <w:t>T</w:t>
      </w:r>
      <w:r>
        <w:t>his would have been around the same time Valentinian was inspecting the borders with Gratian, and people are unsure if Valentinian accompanied him on this short part of the journey, or an entourage, or even by himself</w:t>
      </w:r>
      <w:r w:rsidR="00197371">
        <w:t>.</w:t>
      </w:r>
      <w:r>
        <w:t xml:space="preserve"> </w:t>
      </w:r>
      <w:r w:rsidR="00197371">
        <w:t>W</w:t>
      </w:r>
      <w:r>
        <w:t xml:space="preserve">e find the </w:t>
      </w:r>
      <w:r w:rsidR="002B65EB">
        <w:t>constru</w:t>
      </w:r>
      <w:r w:rsidR="00232297">
        <w:t xml:space="preserve">ction </w:t>
      </w:r>
      <w:r>
        <w:t>of the</w:t>
      </w:r>
      <w:r w:rsidR="002B65EB">
        <w:t xml:space="preserve"> word</w:t>
      </w:r>
      <w:r>
        <w:t xml:space="preserve"> </w:t>
      </w:r>
      <w:r w:rsidR="00436D0A">
        <w:t>‘</w:t>
      </w:r>
      <w:r>
        <w:t>I travelled</w:t>
      </w:r>
      <w:r w:rsidR="00436D0A">
        <w:t xml:space="preserve">’ </w:t>
      </w:r>
      <w:r>
        <w:t>in Latin to be of a solitary nature, giving us a reason to doubt whether he had companions</w:t>
      </w:r>
      <w:r w:rsidR="00197371">
        <w:t>, or travelled by himself. This predicament</w:t>
      </w:r>
      <w:r w:rsidR="00234624">
        <w:t xml:space="preserve"> is shown in the following translated quote,</w:t>
      </w:r>
      <w:r w:rsidR="00197371">
        <w:t xml:space="preserve"> which leaves out the nuances of the original Latin extract,</w:t>
      </w:r>
    </w:p>
    <w:p w14:paraId="729D4D70" w14:textId="041365D6" w:rsidR="00234624" w:rsidRPr="00234624" w:rsidRDefault="00234624" w:rsidP="00234624">
      <w:pPr>
        <w:jc w:val="center"/>
        <w:rPr>
          <w:i/>
          <w:iCs/>
        </w:rPr>
      </w:pPr>
      <w:r>
        <w:rPr>
          <w:i/>
          <w:iCs/>
        </w:rPr>
        <w:t>‘</w:t>
      </w:r>
      <w:r w:rsidRPr="00234624">
        <w:rPr>
          <w:i/>
          <w:iCs/>
        </w:rPr>
        <w:t>I had crossed over swift-flowing Nava’s cloudy stream</w:t>
      </w:r>
      <w:r>
        <w:rPr>
          <w:i/>
          <w:iCs/>
        </w:rPr>
        <w:t>’.</w:t>
      </w:r>
      <w:r>
        <w:rPr>
          <w:rStyle w:val="FootnoteReference"/>
          <w:i/>
          <w:iCs/>
        </w:rPr>
        <w:footnoteReference w:id="9"/>
      </w:r>
    </w:p>
    <w:p w14:paraId="44B1F594" w14:textId="5547D0C3" w:rsidR="00436D0A" w:rsidRDefault="00436D0A" w:rsidP="001016F2">
      <w:r>
        <w:lastRenderedPageBreak/>
        <w:tab/>
        <w:t>The passage that stands out to me in this extract is</w:t>
      </w:r>
      <w:r w:rsidR="00197371">
        <w:t xml:space="preserve"> </w:t>
      </w:r>
      <w:r>
        <w:t xml:space="preserve">the moment he walks through the </w:t>
      </w:r>
      <w:proofErr w:type="spellStart"/>
      <w:r>
        <w:t>Hunsruck</w:t>
      </w:r>
      <w:proofErr w:type="spellEnd"/>
      <w:r>
        <w:t xml:space="preserve"> forest to the river Mosella, the exclamation of being in a place of beauty that is blessed by Dionysus gives us an inkling into the motivation of the </w:t>
      </w:r>
      <w:r w:rsidR="00232297">
        <w:t>writer</w:t>
      </w:r>
      <w:r w:rsidR="00197371">
        <w:t>.</w:t>
      </w:r>
      <w:r>
        <w:t xml:space="preserve"> The</w:t>
      </w:r>
      <w:r w:rsidR="00197371">
        <w:t xml:space="preserve"> stability of the empire and the emperor Valentinian, the</w:t>
      </w:r>
      <w:r>
        <w:t xml:space="preserve"> civilisation of Rome and what it has overcome, the idyllic scenery and </w:t>
      </w:r>
      <w:r w:rsidR="00197371">
        <w:t xml:space="preserve">the </w:t>
      </w:r>
      <w:r>
        <w:t>beauty</w:t>
      </w:r>
      <w:r w:rsidR="00232297">
        <w:t>,</w:t>
      </w:r>
      <w:r>
        <w:t xml:space="preserve"> sets it apart from the </w:t>
      </w:r>
      <w:r w:rsidR="00491DA3">
        <w:t xml:space="preserve">uncivilised </w:t>
      </w:r>
      <w:r>
        <w:t>forest that Ausonius has bravely travelled th</w:t>
      </w:r>
      <w:r w:rsidR="00197371">
        <w:t>r</w:t>
      </w:r>
      <w:r>
        <w:t>ough</w:t>
      </w:r>
      <w:r w:rsidR="00232297">
        <w:t>, this gives the reader a vivid image of the message Ausonius is trying to convey.</w:t>
      </w:r>
    </w:p>
    <w:p w14:paraId="6234BD29" w14:textId="1F09FD86" w:rsidR="00436D0A" w:rsidRPr="00131295" w:rsidRDefault="00234624" w:rsidP="00131295">
      <w:pPr>
        <w:jc w:val="center"/>
        <w:rPr>
          <w:i/>
          <w:iCs/>
        </w:rPr>
      </w:pPr>
      <w:r w:rsidRPr="00234624">
        <w:rPr>
          <w:i/>
          <w:iCs/>
        </w:rPr>
        <w:t>‘No longer is the sky to seek, shut out by the green gloom of branches intertwined: but the free breath of transparent day withholds not sight of the sun’s pure rays and of the aether, dazzling to the eyes.’</w:t>
      </w:r>
      <w:r w:rsidR="00436D0A" w:rsidRPr="00234624">
        <w:rPr>
          <w:rStyle w:val="FootnoteReference"/>
          <w:i/>
          <w:iCs/>
        </w:rPr>
        <w:footnoteReference w:id="10"/>
      </w:r>
    </w:p>
    <w:p w14:paraId="701DB381" w14:textId="49E6D155" w:rsidR="00294345" w:rsidRDefault="00436D0A" w:rsidP="00436D0A">
      <w:r>
        <w:tab/>
        <w:t xml:space="preserve">The context of the document is clearly a homage to Valentinian and the fortification of the borders of the Mosella, and the beauty he is </w:t>
      </w:r>
      <w:r w:rsidR="00232297">
        <w:t>bombarded by with</w:t>
      </w:r>
      <w:r>
        <w:t xml:space="preserve">in the lands of the Roman Empire. We find in the time of writing the </w:t>
      </w:r>
      <w:proofErr w:type="spellStart"/>
      <w:r>
        <w:t>Mosella</w:t>
      </w:r>
      <w:proofErr w:type="spellEnd"/>
      <w:r w:rsidR="00232297">
        <w:t xml:space="preserve"> that</w:t>
      </w:r>
      <w:r>
        <w:t xml:space="preserve"> Valentinian ha</w:t>
      </w:r>
      <w:r w:rsidR="00232297">
        <w:t>d</w:t>
      </w:r>
      <w:r>
        <w:t xml:space="preserve"> been made a consul of Rome, and his family prospered, so it may have had a political motive also. He had pro</w:t>
      </w:r>
      <w:r w:rsidR="00232297">
        <w:t xml:space="preserve">claimed </w:t>
      </w:r>
      <w:r>
        <w:t>himself as the teacher of the family of Valentinian</w:t>
      </w:r>
      <w:r w:rsidR="00232297">
        <w:t xml:space="preserve"> and</w:t>
      </w:r>
      <w:r>
        <w:t xml:space="preserve"> </w:t>
      </w:r>
      <w:r w:rsidR="00232297">
        <w:t>t</w:t>
      </w:r>
      <w:r w:rsidR="00197371">
        <w:t>his was</w:t>
      </w:r>
      <w:r>
        <w:t xml:space="preserve"> clearl</w:t>
      </w:r>
      <w:r w:rsidR="00197371">
        <w:t>y</w:t>
      </w:r>
      <w:r>
        <w:t xml:space="preserve"> a place of high stature, </w:t>
      </w:r>
      <w:r w:rsidR="000E01C7">
        <w:t>Ausonius’</w:t>
      </w:r>
      <w:r>
        <w:t xml:space="preserve"> family for the time being</w:t>
      </w:r>
      <w:r w:rsidR="000E01C7">
        <w:t>,</w:t>
      </w:r>
      <w:r>
        <w:t xml:space="preserve"> </w:t>
      </w:r>
      <w:r w:rsidR="000E01C7">
        <w:t xml:space="preserve">would </w:t>
      </w:r>
      <w:r>
        <w:t xml:space="preserve">be in a </w:t>
      </w:r>
      <w:r w:rsidR="000E01C7">
        <w:t xml:space="preserve">strongly situated position of influence. </w:t>
      </w:r>
    </w:p>
    <w:p w14:paraId="4E63AFC2" w14:textId="7B467EE7" w:rsidR="001B2546" w:rsidRDefault="000E01C7" w:rsidP="00294345">
      <w:pPr>
        <w:ind w:firstLine="720"/>
      </w:pPr>
      <w:r>
        <w:t xml:space="preserve">The Alemanni occupied the other side of the </w:t>
      </w:r>
      <w:r w:rsidR="00EE29CA">
        <w:t>Rhine,</w:t>
      </w:r>
      <w:r>
        <w:t xml:space="preserve"> and the Mosella is situated closely, just four years into Valentinians reign a battle was fought at </w:t>
      </w:r>
      <w:proofErr w:type="spellStart"/>
      <w:r>
        <w:t>Solicinium</w:t>
      </w:r>
      <w:proofErr w:type="spellEnd"/>
      <w:r w:rsidR="00477FEC">
        <w:t xml:space="preserve"> with the emperor himself</w:t>
      </w:r>
      <w:r w:rsidR="00232297">
        <w:t>.</w:t>
      </w:r>
      <w:r>
        <w:t xml:space="preserve"> </w:t>
      </w:r>
      <w:r w:rsidR="00232297">
        <w:t xml:space="preserve">In this campaign, </w:t>
      </w:r>
      <w:r>
        <w:t>Valentinian</w:t>
      </w:r>
      <w:r w:rsidR="00477FEC">
        <w:t xml:space="preserve"> was eventually victorious</w:t>
      </w:r>
      <w:r w:rsidR="00197371">
        <w:t>,</w:t>
      </w:r>
      <w:r w:rsidR="00477FEC">
        <w:t xml:space="preserve"> although his forces</w:t>
      </w:r>
      <w:r>
        <w:t xml:space="preserve"> suffer</w:t>
      </w:r>
      <w:r w:rsidR="00477FEC">
        <w:t>ed</w:t>
      </w:r>
      <w:r>
        <w:t xml:space="preserve"> heavy losses along the border of the Rhine</w:t>
      </w:r>
      <w:r w:rsidR="00477FEC">
        <w:t>. This may have been the motivation behind the Mosella, as Ausonius was writing to the strength and resilience of the empire through poetic means</w:t>
      </w:r>
      <w:r w:rsidR="001B2546">
        <w:t xml:space="preserve"> and Valentinians victory over the barbarians</w:t>
      </w:r>
      <w:r w:rsidR="00197371">
        <w:t>.</w:t>
      </w:r>
      <w:r w:rsidR="001B2546">
        <w:t xml:space="preserve"> Danuta </w:t>
      </w:r>
      <w:proofErr w:type="spellStart"/>
      <w:r w:rsidR="001B2546">
        <w:t>Shanzer</w:t>
      </w:r>
      <w:proofErr w:type="spellEnd"/>
      <w:r w:rsidR="001B2546">
        <w:t xml:space="preserve"> writes</w:t>
      </w:r>
      <w:r w:rsidR="00FF6929">
        <w:t xml:space="preserve"> in an argument of the writing of the Mosella about this</w:t>
      </w:r>
      <w:r w:rsidR="001B2546">
        <w:t xml:space="preserve">, </w:t>
      </w:r>
    </w:p>
    <w:p w14:paraId="16DDFE2B" w14:textId="28DE9900" w:rsidR="00436D0A" w:rsidRPr="001B2546" w:rsidRDefault="001B2546" w:rsidP="001B2546">
      <w:pPr>
        <w:jc w:val="center"/>
        <w:rPr>
          <w:i/>
          <w:iCs/>
        </w:rPr>
      </w:pPr>
      <w:r w:rsidRPr="001B2546">
        <w:rPr>
          <w:i/>
          <w:iCs/>
        </w:rPr>
        <w:t xml:space="preserve">‘Ausonius optimistically looks ahead to a consulship which he actually held in 379 in a poem that alludes to Valentinian's </w:t>
      </w:r>
      <w:proofErr w:type="spellStart"/>
      <w:r w:rsidRPr="001B2546">
        <w:rPr>
          <w:i/>
          <w:iCs/>
        </w:rPr>
        <w:t>Alamannic</w:t>
      </w:r>
      <w:proofErr w:type="spellEnd"/>
      <w:r w:rsidRPr="001B2546">
        <w:rPr>
          <w:i/>
          <w:iCs/>
        </w:rPr>
        <w:t xml:space="preserve"> victories of 368’.</w:t>
      </w:r>
      <w:r w:rsidRPr="001B2546">
        <w:rPr>
          <w:rStyle w:val="FootnoteReference"/>
          <w:i/>
          <w:iCs/>
        </w:rPr>
        <w:footnoteReference w:id="11"/>
      </w:r>
    </w:p>
    <w:p w14:paraId="1AF46038" w14:textId="56462FB9" w:rsidR="00477FEC" w:rsidRDefault="00477FEC" w:rsidP="00131295">
      <w:pPr>
        <w:ind w:firstLine="720"/>
      </w:pPr>
      <w:r>
        <w:t>The attitude</w:t>
      </w:r>
      <w:r w:rsidR="00197371">
        <w:t xml:space="preserve"> that the common citizen may have had</w:t>
      </w:r>
      <w:r>
        <w:t xml:space="preserve"> at the time was</w:t>
      </w:r>
      <w:r w:rsidR="00197371">
        <w:t xml:space="preserve"> that Rome was</w:t>
      </w:r>
      <w:r>
        <w:t xml:space="preserve"> an empire without limits</w:t>
      </w:r>
      <w:r w:rsidR="00131295">
        <w:t>,</w:t>
      </w:r>
      <w:r>
        <w:t xml:space="preserve"> Rome would never fall</w:t>
      </w:r>
      <w:r w:rsidR="00197371">
        <w:t>.</w:t>
      </w:r>
      <w:r>
        <w:t xml:space="preserve"> </w:t>
      </w:r>
      <w:r w:rsidR="00197371">
        <w:t>This emotion</w:t>
      </w:r>
      <w:r>
        <w:t xml:space="preserve"> bleeds </w:t>
      </w:r>
      <w:r w:rsidR="00197371">
        <w:t>through</w:t>
      </w:r>
      <w:r>
        <w:t xml:space="preserve"> the </w:t>
      </w:r>
      <w:proofErr w:type="spellStart"/>
      <w:r>
        <w:t>Mosella</w:t>
      </w:r>
      <w:proofErr w:type="spellEnd"/>
      <w:r>
        <w:t xml:space="preserve"> in a way that is both artistic and aesthetically pleasing to read. </w:t>
      </w:r>
      <w:r w:rsidR="004069D0">
        <w:t xml:space="preserve">This alludes to a great piece of propaganda that </w:t>
      </w:r>
      <w:r w:rsidR="00197371">
        <w:t xml:space="preserve">may </w:t>
      </w:r>
      <w:r w:rsidR="004069D0">
        <w:t>have travelled the Roman empire during and after Valentinians reign</w:t>
      </w:r>
      <w:r w:rsidR="00197371">
        <w:t>.</w:t>
      </w:r>
      <w:r w:rsidR="004069D0">
        <w:t xml:space="preserve"> </w:t>
      </w:r>
      <w:r w:rsidR="00197371">
        <w:t>W</w:t>
      </w:r>
      <w:r w:rsidR="004069D0">
        <w:t xml:space="preserve">hile the </w:t>
      </w:r>
      <w:r w:rsidR="003D499D">
        <w:t>message</w:t>
      </w:r>
      <w:r w:rsidR="004069D0">
        <w:t xml:space="preserve"> of transformation is a key aspect of the </w:t>
      </w:r>
      <w:r w:rsidR="00197371">
        <w:t>extract</w:t>
      </w:r>
      <w:r w:rsidR="004069D0">
        <w:t xml:space="preserve">, we can say for sure that he wanted </w:t>
      </w:r>
      <w:r w:rsidR="00131295">
        <w:t>to make</w:t>
      </w:r>
      <w:r w:rsidR="004069D0">
        <w:t xml:space="preserve"> this a piece that agrees with the empires achievements and in no way criticises it</w:t>
      </w:r>
      <w:r w:rsidR="00131295">
        <w:t>.</w:t>
      </w:r>
      <w:r w:rsidR="004069D0">
        <w:t xml:space="preserve"> </w:t>
      </w:r>
      <w:r w:rsidR="00131295">
        <w:t xml:space="preserve">The Mosella is a perfect example of the attitude of its time, in the first 32 lines we get the feeling of a transformation into civilisation, and Ausonius himself does not try to hide this fact. Ausonius was a product of his time, while some scholars disagree on the time of writing and the nuances of the work, most can see </w:t>
      </w:r>
      <w:r w:rsidR="001B2546">
        <w:t>the influence he held in</w:t>
      </w:r>
      <w:r w:rsidR="00131295">
        <w:t xml:space="preserve"> late antiquity poetry and </w:t>
      </w:r>
      <w:r w:rsidR="001B2546">
        <w:t>how it has bled through to modern day scholarly debate</w:t>
      </w:r>
      <w:r w:rsidR="00197371">
        <w:t>. There are many different works of poetry and literature</w:t>
      </w:r>
      <w:r w:rsidR="001B2546">
        <w:t xml:space="preserve"> that allow us to view the world through the eyes of </w:t>
      </w:r>
      <w:r w:rsidR="00197371">
        <w:t xml:space="preserve">a Roman in the late antiquity, but what sets the </w:t>
      </w:r>
      <w:proofErr w:type="spellStart"/>
      <w:r w:rsidR="00197371">
        <w:t>Mosella</w:t>
      </w:r>
      <w:proofErr w:type="spellEnd"/>
      <w:r w:rsidR="00197371">
        <w:t xml:space="preserve"> apart from the herd is the ability to see through the eyes of a consul of Rome that knows how to appeal to the modern-day man, Roman citizen, and even the emperor himself</w:t>
      </w:r>
      <w:r w:rsidR="001B2546">
        <w:t xml:space="preserve">. </w:t>
      </w:r>
    </w:p>
    <w:p w14:paraId="171CEBD3" w14:textId="33D8C976" w:rsidR="00EE29CA" w:rsidRDefault="00EE29CA" w:rsidP="001016F2"/>
    <w:p w14:paraId="1D871FBD" w14:textId="77777777" w:rsidR="00A57435" w:rsidRDefault="00A57435" w:rsidP="001016F2"/>
    <w:p w14:paraId="0E9A9643" w14:textId="1F49256B" w:rsidR="00936F1A" w:rsidRPr="003D499D" w:rsidRDefault="00936F1A" w:rsidP="003D499D"/>
    <w:p w14:paraId="1316C935" w14:textId="3BA04597" w:rsidR="00491DA3" w:rsidRDefault="00491DA3" w:rsidP="00491DA3">
      <w:pPr>
        <w:jc w:val="center"/>
        <w:rPr>
          <w:b/>
          <w:bCs/>
          <w:sz w:val="32"/>
          <w:szCs w:val="32"/>
          <w:u w:val="single"/>
        </w:rPr>
      </w:pPr>
      <w:r>
        <w:rPr>
          <w:b/>
          <w:bCs/>
          <w:sz w:val="32"/>
          <w:szCs w:val="32"/>
          <w:u w:val="single"/>
        </w:rPr>
        <w:lastRenderedPageBreak/>
        <w:t>Bibliography.</w:t>
      </w:r>
    </w:p>
    <w:p w14:paraId="4D5830B6" w14:textId="19313B02" w:rsidR="00491DA3" w:rsidRPr="00B310F2" w:rsidRDefault="00491DA3" w:rsidP="00491DA3">
      <w:pPr>
        <w:rPr>
          <w:b/>
          <w:bCs/>
          <w:u w:val="single"/>
        </w:rPr>
      </w:pPr>
      <w:r w:rsidRPr="00B310F2">
        <w:rPr>
          <w:b/>
          <w:bCs/>
          <w:u w:val="single"/>
        </w:rPr>
        <w:t>Main Sources</w:t>
      </w:r>
      <w:r w:rsidR="003B60C2" w:rsidRPr="00B310F2">
        <w:rPr>
          <w:b/>
          <w:bCs/>
          <w:u w:val="single"/>
        </w:rPr>
        <w:t>-</w:t>
      </w:r>
    </w:p>
    <w:p w14:paraId="5B5FCD0E" w14:textId="77777777" w:rsidR="00B310F2" w:rsidRDefault="00B310F2" w:rsidP="00B310F2">
      <w:pPr>
        <w:rPr>
          <w:sz w:val="18"/>
          <w:szCs w:val="18"/>
        </w:rPr>
      </w:pPr>
    </w:p>
    <w:p w14:paraId="4EC5295F" w14:textId="67EF1E06" w:rsidR="00AB3116" w:rsidRPr="00B310F2" w:rsidRDefault="00AB3116" w:rsidP="00B310F2">
      <w:pPr>
        <w:rPr>
          <w:sz w:val="18"/>
          <w:szCs w:val="18"/>
        </w:rPr>
      </w:pPr>
      <w:r w:rsidRPr="00B310F2">
        <w:rPr>
          <w:sz w:val="18"/>
          <w:szCs w:val="18"/>
        </w:rPr>
        <w:t>Warren, Deborah, </w:t>
      </w:r>
      <w:r w:rsidRPr="00B310F2">
        <w:rPr>
          <w:i/>
          <w:iCs/>
          <w:sz w:val="18"/>
          <w:szCs w:val="18"/>
        </w:rPr>
        <w:t>Ausonius: Moselle, Epigrams, and Other Poems</w:t>
      </w:r>
      <w:r w:rsidRPr="00B310F2">
        <w:rPr>
          <w:sz w:val="18"/>
          <w:szCs w:val="18"/>
        </w:rPr>
        <w:t> ([</w:t>
      </w:r>
      <w:proofErr w:type="spellStart"/>
      <w:r w:rsidRPr="00B310F2">
        <w:rPr>
          <w:sz w:val="18"/>
          <w:szCs w:val="18"/>
        </w:rPr>
        <w:t>n.p.</w:t>
      </w:r>
      <w:proofErr w:type="spellEnd"/>
      <w:r w:rsidRPr="00B310F2">
        <w:rPr>
          <w:sz w:val="18"/>
          <w:szCs w:val="18"/>
        </w:rPr>
        <w:t>]: Taylor &amp; Francis Group, 2017), 100 pp.</w:t>
      </w:r>
    </w:p>
    <w:p w14:paraId="1CEDC018" w14:textId="77777777" w:rsidR="00B310F2" w:rsidRDefault="00B310F2" w:rsidP="00491DA3">
      <w:pPr>
        <w:rPr>
          <w:b/>
          <w:bCs/>
          <w:u w:val="single"/>
        </w:rPr>
      </w:pPr>
    </w:p>
    <w:p w14:paraId="36B076C3" w14:textId="3B1B2F2E" w:rsidR="003B60C2" w:rsidRPr="00B310F2" w:rsidRDefault="003B60C2" w:rsidP="00491DA3">
      <w:pPr>
        <w:rPr>
          <w:b/>
          <w:bCs/>
          <w:u w:val="single"/>
        </w:rPr>
      </w:pPr>
      <w:r w:rsidRPr="00B310F2">
        <w:rPr>
          <w:b/>
          <w:bCs/>
          <w:u w:val="single"/>
        </w:rPr>
        <w:t>Secondary sources-</w:t>
      </w:r>
    </w:p>
    <w:p w14:paraId="3B8A1382" w14:textId="77777777" w:rsidR="00B310F2" w:rsidRDefault="00B310F2" w:rsidP="00B310F2">
      <w:pPr>
        <w:rPr>
          <w:sz w:val="18"/>
          <w:szCs w:val="18"/>
        </w:rPr>
      </w:pPr>
    </w:p>
    <w:p w14:paraId="4C6AD9A0" w14:textId="2B9984D8" w:rsidR="00191CBF" w:rsidRPr="00B310F2" w:rsidRDefault="00191CBF" w:rsidP="00B310F2">
      <w:pPr>
        <w:rPr>
          <w:sz w:val="18"/>
          <w:szCs w:val="18"/>
        </w:rPr>
      </w:pPr>
      <w:r w:rsidRPr="00B310F2">
        <w:rPr>
          <w:sz w:val="18"/>
          <w:szCs w:val="18"/>
        </w:rPr>
        <w:t>Hernández Lobato, Jesús, ‘MYSTIC RIVER: AUSONIUS'MOSELLAAS AN EPISTEMOLOGICAL REVELATION’, </w:t>
      </w:r>
      <w:r w:rsidRPr="00B310F2">
        <w:rPr>
          <w:i/>
          <w:iCs/>
          <w:sz w:val="18"/>
          <w:szCs w:val="18"/>
        </w:rPr>
        <w:t>Ramus</w:t>
      </w:r>
      <w:r w:rsidRPr="00B310F2">
        <w:rPr>
          <w:sz w:val="18"/>
          <w:szCs w:val="18"/>
        </w:rPr>
        <w:t>, 45.2 (December 2016), 231–66 &lt;</w:t>
      </w:r>
      <w:hyperlink r:id="rId6" w:tgtFrame="_blank" w:history="1">
        <w:r w:rsidRPr="00B310F2">
          <w:rPr>
            <w:rStyle w:val="Hyperlink"/>
            <w:rFonts w:ascii="Open Sans" w:hAnsi="Open Sans" w:cs="Open Sans"/>
            <w:color w:val="000000"/>
            <w:sz w:val="18"/>
            <w:szCs w:val="18"/>
          </w:rPr>
          <w:t>https://doi.org/10.1017/rmu.2016.12</w:t>
        </w:r>
      </w:hyperlink>
      <w:r w:rsidRPr="00B310F2">
        <w:rPr>
          <w:sz w:val="18"/>
          <w:szCs w:val="18"/>
        </w:rPr>
        <w:t>&gt;</w:t>
      </w:r>
    </w:p>
    <w:p w14:paraId="41F788EB" w14:textId="3BFF4E47" w:rsidR="00B70736" w:rsidRPr="00B310F2" w:rsidRDefault="00B70736" w:rsidP="00B310F2">
      <w:pPr>
        <w:rPr>
          <w:sz w:val="18"/>
          <w:szCs w:val="18"/>
        </w:rPr>
      </w:pPr>
      <w:proofErr w:type="spellStart"/>
      <w:r w:rsidRPr="00B310F2">
        <w:rPr>
          <w:sz w:val="18"/>
          <w:szCs w:val="18"/>
        </w:rPr>
        <w:t>Shanzer</w:t>
      </w:r>
      <w:proofErr w:type="spellEnd"/>
      <w:r w:rsidRPr="00B310F2">
        <w:rPr>
          <w:sz w:val="18"/>
          <w:szCs w:val="18"/>
        </w:rPr>
        <w:t>, Danuta, ‘The Date and Literary Context of Ausonius’s ‘</w:t>
      </w:r>
      <w:proofErr w:type="spellStart"/>
      <w:r w:rsidRPr="00B310F2">
        <w:rPr>
          <w:sz w:val="18"/>
          <w:szCs w:val="18"/>
        </w:rPr>
        <w:t>Mosella</w:t>
      </w:r>
      <w:proofErr w:type="spellEnd"/>
      <w:r w:rsidRPr="00B310F2">
        <w:rPr>
          <w:sz w:val="18"/>
          <w:szCs w:val="18"/>
        </w:rPr>
        <w:t xml:space="preserve">’: Valentinian I’s </w:t>
      </w:r>
      <w:proofErr w:type="spellStart"/>
      <w:r w:rsidRPr="00B310F2">
        <w:rPr>
          <w:sz w:val="18"/>
          <w:szCs w:val="18"/>
        </w:rPr>
        <w:t>Alamannic</w:t>
      </w:r>
      <w:proofErr w:type="spellEnd"/>
      <w:r w:rsidRPr="00B310F2">
        <w:rPr>
          <w:sz w:val="18"/>
          <w:szCs w:val="18"/>
        </w:rPr>
        <w:t xml:space="preserve"> Campaigns and an Unnamed Office-Holder.’, </w:t>
      </w:r>
      <w:r w:rsidRPr="00B310F2">
        <w:rPr>
          <w:i/>
          <w:iCs/>
          <w:sz w:val="18"/>
          <w:szCs w:val="18"/>
        </w:rPr>
        <w:t xml:space="preserve">Historia: </w:t>
      </w:r>
      <w:proofErr w:type="spellStart"/>
      <w:r w:rsidRPr="00B310F2">
        <w:rPr>
          <w:i/>
          <w:iCs/>
          <w:sz w:val="18"/>
          <w:szCs w:val="18"/>
        </w:rPr>
        <w:t>Zeitschrift</w:t>
      </w:r>
      <w:proofErr w:type="spellEnd"/>
      <w:r w:rsidRPr="00B310F2">
        <w:rPr>
          <w:i/>
          <w:iCs/>
          <w:sz w:val="18"/>
          <w:szCs w:val="18"/>
        </w:rPr>
        <w:t xml:space="preserve"> Für Alte </w:t>
      </w:r>
      <w:proofErr w:type="spellStart"/>
      <w:r w:rsidRPr="00B310F2">
        <w:rPr>
          <w:i/>
          <w:iCs/>
          <w:sz w:val="18"/>
          <w:szCs w:val="18"/>
        </w:rPr>
        <w:t>Geschichte</w:t>
      </w:r>
      <w:proofErr w:type="spellEnd"/>
      <w:r w:rsidRPr="00B310F2">
        <w:rPr>
          <w:sz w:val="18"/>
          <w:szCs w:val="18"/>
        </w:rPr>
        <w:t>, 47.2 (1998), 204–33 &lt;</w:t>
      </w:r>
      <w:hyperlink r:id="rId7" w:tgtFrame="_blank" w:history="1">
        <w:r w:rsidRPr="00B310F2">
          <w:rPr>
            <w:rStyle w:val="Hyperlink"/>
            <w:rFonts w:ascii="Open Sans" w:hAnsi="Open Sans" w:cs="Open Sans"/>
            <w:color w:val="000000"/>
            <w:sz w:val="18"/>
            <w:szCs w:val="18"/>
          </w:rPr>
          <w:t>http://www.jstor.org/stable/4436502</w:t>
        </w:r>
      </w:hyperlink>
      <w:r w:rsidRPr="00B310F2">
        <w:rPr>
          <w:sz w:val="18"/>
          <w:szCs w:val="18"/>
        </w:rPr>
        <w:t>&gt; [accessed 8 December 2022]</w:t>
      </w:r>
    </w:p>
    <w:p w14:paraId="616B657D" w14:textId="4734DB07" w:rsidR="00D8760D" w:rsidRPr="00B310F2" w:rsidRDefault="00191CBF" w:rsidP="00B310F2">
      <w:pPr>
        <w:rPr>
          <w:sz w:val="18"/>
          <w:szCs w:val="18"/>
        </w:rPr>
      </w:pPr>
      <w:r w:rsidRPr="00B310F2">
        <w:rPr>
          <w:sz w:val="18"/>
          <w:szCs w:val="18"/>
        </w:rPr>
        <w:t>Kenney, E. J., ‘The Mosella of Ausonius’, </w:t>
      </w:r>
      <w:proofErr w:type="gramStart"/>
      <w:r w:rsidRPr="00B310F2">
        <w:rPr>
          <w:i/>
          <w:iCs/>
          <w:sz w:val="18"/>
          <w:szCs w:val="18"/>
        </w:rPr>
        <w:t>Greece</w:t>
      </w:r>
      <w:proofErr w:type="gramEnd"/>
      <w:r w:rsidRPr="00B310F2">
        <w:rPr>
          <w:i/>
          <w:iCs/>
          <w:sz w:val="18"/>
          <w:szCs w:val="18"/>
        </w:rPr>
        <w:t xml:space="preserve"> and Rome</w:t>
      </w:r>
      <w:r w:rsidRPr="00B310F2">
        <w:rPr>
          <w:sz w:val="18"/>
          <w:szCs w:val="18"/>
        </w:rPr>
        <w:t>, 31.2 (October 1984), 190–202 &lt;</w:t>
      </w:r>
      <w:hyperlink r:id="rId8" w:tgtFrame="_blank" w:history="1">
        <w:r w:rsidRPr="00B310F2">
          <w:rPr>
            <w:rStyle w:val="Hyperlink"/>
            <w:rFonts w:ascii="Open Sans" w:hAnsi="Open Sans" w:cs="Open Sans"/>
            <w:color w:val="000000"/>
            <w:sz w:val="18"/>
            <w:szCs w:val="18"/>
          </w:rPr>
          <w:t>https://doi.org/10.1017/s0017383500028576</w:t>
        </w:r>
      </w:hyperlink>
      <w:r w:rsidRPr="00B310F2">
        <w:rPr>
          <w:sz w:val="18"/>
          <w:szCs w:val="18"/>
        </w:rPr>
        <w:t>&gt;</w:t>
      </w:r>
    </w:p>
    <w:sectPr w:rsidR="00D8760D" w:rsidRPr="00B310F2" w:rsidSect="00C33C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14625" w14:textId="77777777" w:rsidR="0017776D" w:rsidRDefault="0017776D" w:rsidP="00BF11A0">
      <w:pPr>
        <w:spacing w:after="0" w:line="240" w:lineRule="auto"/>
      </w:pPr>
      <w:r>
        <w:separator/>
      </w:r>
    </w:p>
  </w:endnote>
  <w:endnote w:type="continuationSeparator" w:id="0">
    <w:p w14:paraId="35921938" w14:textId="77777777" w:rsidR="0017776D" w:rsidRDefault="0017776D" w:rsidP="00BF1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FAF7C" w14:textId="77777777" w:rsidR="0017776D" w:rsidRDefault="0017776D" w:rsidP="00BF11A0">
      <w:pPr>
        <w:spacing w:after="0" w:line="240" w:lineRule="auto"/>
      </w:pPr>
      <w:r>
        <w:separator/>
      </w:r>
    </w:p>
  </w:footnote>
  <w:footnote w:type="continuationSeparator" w:id="0">
    <w:p w14:paraId="214B98C2" w14:textId="77777777" w:rsidR="0017776D" w:rsidRDefault="0017776D" w:rsidP="00BF11A0">
      <w:pPr>
        <w:spacing w:after="0" w:line="240" w:lineRule="auto"/>
      </w:pPr>
      <w:r>
        <w:continuationSeparator/>
      </w:r>
    </w:p>
  </w:footnote>
  <w:footnote w:id="1">
    <w:p w14:paraId="2101F78C" w14:textId="54540E48" w:rsidR="002A217B" w:rsidRPr="00B310F2" w:rsidRDefault="002A217B" w:rsidP="00B310F2">
      <w:pPr>
        <w:pStyle w:val="NoSpacing"/>
        <w:rPr>
          <w:sz w:val="16"/>
          <w:szCs w:val="16"/>
        </w:rPr>
      </w:pPr>
      <w:r w:rsidRPr="00B310F2">
        <w:rPr>
          <w:rStyle w:val="FootnoteReference"/>
          <w:sz w:val="16"/>
          <w:szCs w:val="16"/>
        </w:rPr>
        <w:footnoteRef/>
      </w:r>
      <w:r w:rsidRPr="00B310F2">
        <w:rPr>
          <w:sz w:val="16"/>
          <w:szCs w:val="16"/>
        </w:rPr>
        <w:t xml:space="preserve"> </w:t>
      </w:r>
      <w:r w:rsidR="00AB3116" w:rsidRPr="00B310F2">
        <w:rPr>
          <w:sz w:val="16"/>
          <w:szCs w:val="16"/>
        </w:rPr>
        <w:t>Deborah Warren, </w:t>
      </w:r>
      <w:r w:rsidR="00AB3116" w:rsidRPr="00B310F2">
        <w:rPr>
          <w:i/>
          <w:iCs/>
          <w:sz w:val="16"/>
          <w:szCs w:val="16"/>
        </w:rPr>
        <w:t>Ausonius: Moselle, Epigrams, and Other Poems</w:t>
      </w:r>
      <w:r w:rsidR="00AB3116" w:rsidRPr="00B310F2">
        <w:rPr>
          <w:sz w:val="16"/>
          <w:szCs w:val="16"/>
        </w:rPr>
        <w:t> ([</w:t>
      </w:r>
      <w:proofErr w:type="spellStart"/>
      <w:r w:rsidR="00AB3116" w:rsidRPr="00B310F2">
        <w:rPr>
          <w:sz w:val="16"/>
          <w:szCs w:val="16"/>
        </w:rPr>
        <w:t>n.p.</w:t>
      </w:r>
      <w:proofErr w:type="spellEnd"/>
      <w:r w:rsidR="00AB3116" w:rsidRPr="00B310F2">
        <w:rPr>
          <w:sz w:val="16"/>
          <w:szCs w:val="16"/>
        </w:rPr>
        <w:t>]: Taylor &amp; Francis Group, 2017), </w:t>
      </w:r>
      <w:r w:rsidR="00AB3116" w:rsidRPr="00B310F2">
        <w:rPr>
          <w:rStyle w:val="page-number-substitute"/>
          <w:rFonts w:ascii="Open Sans" w:hAnsi="Open Sans" w:cs="Open Sans"/>
          <w:color w:val="000000"/>
          <w:sz w:val="16"/>
          <w:szCs w:val="16"/>
        </w:rPr>
        <w:t>p. 30</w:t>
      </w:r>
      <w:r w:rsidR="00AB3116" w:rsidRPr="00B310F2">
        <w:rPr>
          <w:sz w:val="16"/>
          <w:szCs w:val="16"/>
        </w:rPr>
        <w:t>.</w:t>
      </w:r>
    </w:p>
  </w:footnote>
  <w:footnote w:id="2">
    <w:p w14:paraId="76C08177" w14:textId="374AA412" w:rsidR="00142B60" w:rsidRPr="00B310F2" w:rsidRDefault="00142B60" w:rsidP="00B310F2">
      <w:pPr>
        <w:pStyle w:val="NoSpacing"/>
        <w:rPr>
          <w:sz w:val="16"/>
          <w:szCs w:val="16"/>
        </w:rPr>
      </w:pPr>
      <w:r w:rsidRPr="00B310F2">
        <w:rPr>
          <w:rStyle w:val="FootnoteReference"/>
          <w:sz w:val="16"/>
          <w:szCs w:val="16"/>
        </w:rPr>
        <w:footnoteRef/>
      </w:r>
      <w:r w:rsidRPr="00B310F2">
        <w:rPr>
          <w:sz w:val="16"/>
          <w:szCs w:val="16"/>
        </w:rPr>
        <w:t xml:space="preserve"> </w:t>
      </w:r>
      <w:r w:rsidR="00191CBF" w:rsidRPr="00B310F2">
        <w:rPr>
          <w:sz w:val="16"/>
          <w:szCs w:val="16"/>
        </w:rPr>
        <w:t>Jesús Hernández Lobato, ‘MYSTIC RIVER: AUSONIUS'MOSELLAAS AN EPISTEMOLOGICAL REVELATION’, </w:t>
      </w:r>
      <w:r w:rsidR="00191CBF" w:rsidRPr="00B310F2">
        <w:rPr>
          <w:i/>
          <w:iCs/>
          <w:sz w:val="16"/>
          <w:szCs w:val="16"/>
        </w:rPr>
        <w:t>Ramus</w:t>
      </w:r>
      <w:r w:rsidR="00191CBF" w:rsidRPr="00B310F2">
        <w:rPr>
          <w:sz w:val="16"/>
          <w:szCs w:val="16"/>
        </w:rPr>
        <w:t>, 45.2 (December 2016), 231–66 (</w:t>
      </w:r>
      <w:r w:rsidR="00191CBF" w:rsidRPr="00B310F2">
        <w:rPr>
          <w:rStyle w:val="page-number-substitute"/>
          <w:rFonts w:ascii="Open Sans" w:hAnsi="Open Sans" w:cs="Open Sans"/>
          <w:color w:val="000000"/>
          <w:sz w:val="16"/>
          <w:szCs w:val="16"/>
        </w:rPr>
        <w:t>p. 231</w:t>
      </w:r>
      <w:r w:rsidR="00191CBF" w:rsidRPr="00B310F2">
        <w:rPr>
          <w:sz w:val="16"/>
          <w:szCs w:val="16"/>
        </w:rPr>
        <w:t>) &lt;</w:t>
      </w:r>
      <w:hyperlink r:id="rId1" w:tgtFrame="_blank" w:history="1">
        <w:r w:rsidR="00191CBF" w:rsidRPr="00B310F2">
          <w:rPr>
            <w:rStyle w:val="Hyperlink"/>
            <w:rFonts w:ascii="Open Sans" w:hAnsi="Open Sans" w:cs="Open Sans"/>
            <w:color w:val="000000"/>
            <w:sz w:val="16"/>
            <w:szCs w:val="16"/>
          </w:rPr>
          <w:t>https://doi.org/10.1017/rmu.2016.12</w:t>
        </w:r>
      </w:hyperlink>
      <w:r w:rsidR="00191CBF" w:rsidRPr="00B310F2">
        <w:rPr>
          <w:sz w:val="16"/>
          <w:szCs w:val="16"/>
        </w:rPr>
        <w:t>&gt;.</w:t>
      </w:r>
    </w:p>
  </w:footnote>
  <w:footnote w:id="3">
    <w:p w14:paraId="3702F9C5" w14:textId="0F8F01E2" w:rsidR="00234624" w:rsidRPr="00B310F2" w:rsidRDefault="00234624" w:rsidP="00B310F2">
      <w:pPr>
        <w:pStyle w:val="NoSpacing"/>
        <w:rPr>
          <w:sz w:val="16"/>
          <w:szCs w:val="16"/>
        </w:rPr>
      </w:pPr>
      <w:r w:rsidRPr="00B310F2">
        <w:rPr>
          <w:rStyle w:val="FootnoteReference"/>
          <w:sz w:val="16"/>
          <w:szCs w:val="16"/>
        </w:rPr>
        <w:footnoteRef/>
      </w:r>
      <w:r w:rsidRPr="00B310F2">
        <w:rPr>
          <w:sz w:val="16"/>
          <w:szCs w:val="16"/>
        </w:rPr>
        <w:t xml:space="preserve"> </w:t>
      </w:r>
      <w:r w:rsidR="00AB3116" w:rsidRPr="00B310F2">
        <w:rPr>
          <w:sz w:val="16"/>
          <w:szCs w:val="16"/>
        </w:rPr>
        <w:t>Warren, </w:t>
      </w:r>
      <w:r w:rsidR="00AB3116" w:rsidRPr="00B310F2">
        <w:rPr>
          <w:rStyle w:val="page-number-substitute"/>
          <w:rFonts w:ascii="Open Sans" w:hAnsi="Open Sans" w:cs="Open Sans"/>
          <w:color w:val="000000"/>
          <w:sz w:val="16"/>
          <w:szCs w:val="16"/>
        </w:rPr>
        <w:t>p. 30</w:t>
      </w:r>
      <w:r w:rsidR="00AB3116" w:rsidRPr="00B310F2">
        <w:rPr>
          <w:sz w:val="16"/>
          <w:szCs w:val="16"/>
        </w:rPr>
        <w:t>.</w:t>
      </w:r>
    </w:p>
  </w:footnote>
  <w:footnote w:id="4">
    <w:p w14:paraId="73D82F89" w14:textId="17199268" w:rsidR="0018576C" w:rsidRDefault="0018576C" w:rsidP="00B310F2">
      <w:pPr>
        <w:pStyle w:val="NoSpacing"/>
      </w:pPr>
      <w:r w:rsidRPr="00B310F2">
        <w:rPr>
          <w:rStyle w:val="FootnoteReference"/>
          <w:sz w:val="16"/>
          <w:szCs w:val="16"/>
        </w:rPr>
        <w:footnoteRef/>
      </w:r>
      <w:r w:rsidRPr="00B310F2">
        <w:rPr>
          <w:sz w:val="16"/>
          <w:szCs w:val="16"/>
        </w:rPr>
        <w:t xml:space="preserve"> </w:t>
      </w:r>
      <w:r w:rsidR="00B70736" w:rsidRPr="00B310F2">
        <w:rPr>
          <w:sz w:val="16"/>
          <w:szCs w:val="16"/>
        </w:rPr>
        <w:t xml:space="preserve">Danuta </w:t>
      </w:r>
      <w:proofErr w:type="spellStart"/>
      <w:r w:rsidR="00B70736" w:rsidRPr="00B310F2">
        <w:rPr>
          <w:sz w:val="16"/>
          <w:szCs w:val="16"/>
        </w:rPr>
        <w:t>Shanzer</w:t>
      </w:r>
      <w:proofErr w:type="spellEnd"/>
      <w:r w:rsidR="00B70736" w:rsidRPr="00B310F2">
        <w:rPr>
          <w:sz w:val="16"/>
          <w:szCs w:val="16"/>
        </w:rPr>
        <w:t>, ‘The Date and Literary Context of Ausonius’s ‘</w:t>
      </w:r>
      <w:proofErr w:type="spellStart"/>
      <w:r w:rsidR="00B70736" w:rsidRPr="00B310F2">
        <w:rPr>
          <w:sz w:val="16"/>
          <w:szCs w:val="16"/>
        </w:rPr>
        <w:t>Mosella</w:t>
      </w:r>
      <w:proofErr w:type="spellEnd"/>
      <w:r w:rsidR="00B70736" w:rsidRPr="00B310F2">
        <w:rPr>
          <w:sz w:val="16"/>
          <w:szCs w:val="16"/>
        </w:rPr>
        <w:t xml:space="preserve">’: Valentinian I’s </w:t>
      </w:r>
      <w:proofErr w:type="spellStart"/>
      <w:r w:rsidR="00B70736" w:rsidRPr="00B310F2">
        <w:rPr>
          <w:sz w:val="16"/>
          <w:szCs w:val="16"/>
        </w:rPr>
        <w:t>Alamannic</w:t>
      </w:r>
      <w:proofErr w:type="spellEnd"/>
      <w:r w:rsidR="00B70736" w:rsidRPr="00B310F2">
        <w:rPr>
          <w:sz w:val="16"/>
          <w:szCs w:val="16"/>
        </w:rPr>
        <w:t xml:space="preserve"> Campaigns and an Unnamed Office-Holder.’, </w:t>
      </w:r>
      <w:r w:rsidR="00B70736" w:rsidRPr="00B310F2">
        <w:rPr>
          <w:i/>
          <w:iCs/>
          <w:sz w:val="16"/>
          <w:szCs w:val="16"/>
        </w:rPr>
        <w:t xml:space="preserve">Historia: </w:t>
      </w:r>
      <w:proofErr w:type="spellStart"/>
      <w:r w:rsidR="00B70736" w:rsidRPr="00B310F2">
        <w:rPr>
          <w:i/>
          <w:iCs/>
          <w:sz w:val="16"/>
          <w:szCs w:val="16"/>
        </w:rPr>
        <w:t>Zeitschrift</w:t>
      </w:r>
      <w:proofErr w:type="spellEnd"/>
      <w:r w:rsidR="00B70736" w:rsidRPr="00B310F2">
        <w:rPr>
          <w:i/>
          <w:iCs/>
          <w:sz w:val="16"/>
          <w:szCs w:val="16"/>
        </w:rPr>
        <w:t xml:space="preserve"> Für Alte </w:t>
      </w:r>
      <w:proofErr w:type="spellStart"/>
      <w:r w:rsidR="00B70736" w:rsidRPr="00B310F2">
        <w:rPr>
          <w:i/>
          <w:iCs/>
          <w:sz w:val="16"/>
          <w:szCs w:val="16"/>
        </w:rPr>
        <w:t>Geschichte</w:t>
      </w:r>
      <w:proofErr w:type="spellEnd"/>
      <w:r w:rsidR="00B70736" w:rsidRPr="00B310F2">
        <w:rPr>
          <w:sz w:val="16"/>
          <w:szCs w:val="16"/>
        </w:rPr>
        <w:t>, 47.2 (1998), 204–33 (</w:t>
      </w:r>
      <w:r w:rsidR="00B70736" w:rsidRPr="00B310F2">
        <w:rPr>
          <w:rStyle w:val="page-number-substitute"/>
          <w:rFonts w:ascii="Open Sans" w:hAnsi="Open Sans" w:cs="Open Sans"/>
          <w:color w:val="000000"/>
          <w:sz w:val="16"/>
          <w:szCs w:val="16"/>
        </w:rPr>
        <w:t>p. 232</w:t>
      </w:r>
      <w:r w:rsidR="00B70736" w:rsidRPr="00B310F2">
        <w:rPr>
          <w:sz w:val="16"/>
          <w:szCs w:val="16"/>
        </w:rPr>
        <w:t>) &lt;</w:t>
      </w:r>
      <w:hyperlink r:id="rId2" w:tgtFrame="_blank" w:history="1">
        <w:r w:rsidR="00B70736" w:rsidRPr="00B310F2">
          <w:rPr>
            <w:rStyle w:val="Hyperlink"/>
            <w:rFonts w:ascii="Open Sans" w:hAnsi="Open Sans" w:cs="Open Sans"/>
            <w:color w:val="000000"/>
            <w:sz w:val="16"/>
            <w:szCs w:val="16"/>
          </w:rPr>
          <w:t>http://www.jstor.org/stable/4436502</w:t>
        </w:r>
      </w:hyperlink>
      <w:r w:rsidR="00B70736" w:rsidRPr="00B310F2">
        <w:rPr>
          <w:sz w:val="16"/>
          <w:szCs w:val="16"/>
        </w:rPr>
        <w:t>&gt; [accessed 8 December 2022].</w:t>
      </w:r>
    </w:p>
  </w:footnote>
  <w:footnote w:id="5">
    <w:p w14:paraId="584B5593" w14:textId="6A9D564B" w:rsidR="00234624" w:rsidRPr="00B310F2" w:rsidRDefault="00234624" w:rsidP="00B310F2">
      <w:pPr>
        <w:pStyle w:val="NoSpacing"/>
        <w:rPr>
          <w:sz w:val="16"/>
          <w:szCs w:val="16"/>
        </w:rPr>
      </w:pPr>
      <w:r w:rsidRPr="00B310F2">
        <w:rPr>
          <w:rStyle w:val="FootnoteReference"/>
          <w:sz w:val="16"/>
          <w:szCs w:val="16"/>
        </w:rPr>
        <w:footnoteRef/>
      </w:r>
      <w:r w:rsidRPr="00B310F2">
        <w:rPr>
          <w:sz w:val="16"/>
          <w:szCs w:val="16"/>
        </w:rPr>
        <w:t xml:space="preserve"> </w:t>
      </w:r>
      <w:r w:rsidR="00AB3116" w:rsidRPr="00B310F2">
        <w:rPr>
          <w:sz w:val="16"/>
          <w:szCs w:val="16"/>
        </w:rPr>
        <w:t>Warren, </w:t>
      </w:r>
      <w:r w:rsidR="00AB3116" w:rsidRPr="00B310F2">
        <w:rPr>
          <w:rStyle w:val="page-number-substitute"/>
          <w:rFonts w:ascii="Open Sans" w:hAnsi="Open Sans" w:cs="Open Sans"/>
          <w:color w:val="000000"/>
          <w:sz w:val="16"/>
          <w:szCs w:val="16"/>
        </w:rPr>
        <w:t>pp. 19-20</w:t>
      </w:r>
      <w:r w:rsidR="00AB3116" w:rsidRPr="00B310F2">
        <w:rPr>
          <w:sz w:val="16"/>
          <w:szCs w:val="16"/>
        </w:rPr>
        <w:t>.</w:t>
      </w:r>
    </w:p>
  </w:footnote>
  <w:footnote w:id="6">
    <w:p w14:paraId="40A05A14" w14:textId="50658DE6" w:rsidR="00553487" w:rsidRPr="00B310F2" w:rsidRDefault="00553487" w:rsidP="00B310F2">
      <w:pPr>
        <w:pStyle w:val="NoSpacing"/>
        <w:rPr>
          <w:sz w:val="16"/>
          <w:szCs w:val="16"/>
        </w:rPr>
      </w:pPr>
      <w:r w:rsidRPr="00B310F2">
        <w:rPr>
          <w:rStyle w:val="FootnoteReference"/>
          <w:sz w:val="16"/>
          <w:szCs w:val="16"/>
        </w:rPr>
        <w:footnoteRef/>
      </w:r>
      <w:r w:rsidRPr="00B310F2">
        <w:rPr>
          <w:sz w:val="16"/>
          <w:szCs w:val="16"/>
        </w:rPr>
        <w:t xml:space="preserve"> </w:t>
      </w:r>
      <w:r w:rsidR="00191CBF" w:rsidRPr="00B310F2">
        <w:rPr>
          <w:sz w:val="16"/>
          <w:szCs w:val="16"/>
        </w:rPr>
        <w:t>E. J. Kenney, ‘</w:t>
      </w:r>
      <w:proofErr w:type="spellStart"/>
      <w:r w:rsidR="00191CBF" w:rsidRPr="00B310F2">
        <w:rPr>
          <w:sz w:val="16"/>
          <w:szCs w:val="16"/>
        </w:rPr>
        <w:t>TheMosellaof</w:t>
      </w:r>
      <w:proofErr w:type="spellEnd"/>
      <w:r w:rsidR="00191CBF" w:rsidRPr="00B310F2">
        <w:rPr>
          <w:sz w:val="16"/>
          <w:szCs w:val="16"/>
        </w:rPr>
        <w:t xml:space="preserve"> Ausonius’, </w:t>
      </w:r>
      <w:proofErr w:type="gramStart"/>
      <w:r w:rsidR="00191CBF" w:rsidRPr="00B310F2">
        <w:rPr>
          <w:i/>
          <w:iCs/>
          <w:sz w:val="16"/>
          <w:szCs w:val="16"/>
        </w:rPr>
        <w:t>Greece</w:t>
      </w:r>
      <w:proofErr w:type="gramEnd"/>
      <w:r w:rsidR="00191CBF" w:rsidRPr="00B310F2">
        <w:rPr>
          <w:i/>
          <w:iCs/>
          <w:sz w:val="16"/>
          <w:szCs w:val="16"/>
        </w:rPr>
        <w:t xml:space="preserve"> and Rome</w:t>
      </w:r>
      <w:r w:rsidR="00191CBF" w:rsidRPr="00B310F2">
        <w:rPr>
          <w:sz w:val="16"/>
          <w:szCs w:val="16"/>
        </w:rPr>
        <w:t>, 31.2 (October 1984), 190–202 (</w:t>
      </w:r>
      <w:r w:rsidR="00191CBF" w:rsidRPr="00B310F2">
        <w:rPr>
          <w:rStyle w:val="page-number-substitute"/>
          <w:rFonts w:ascii="Open Sans" w:hAnsi="Open Sans" w:cs="Open Sans"/>
          <w:color w:val="000000"/>
          <w:sz w:val="16"/>
          <w:szCs w:val="16"/>
        </w:rPr>
        <w:t>p. 191</w:t>
      </w:r>
      <w:r w:rsidR="00191CBF" w:rsidRPr="00B310F2">
        <w:rPr>
          <w:sz w:val="16"/>
          <w:szCs w:val="16"/>
        </w:rPr>
        <w:t>) &lt;</w:t>
      </w:r>
      <w:hyperlink r:id="rId3" w:tgtFrame="_blank" w:history="1">
        <w:r w:rsidR="00191CBF" w:rsidRPr="00B310F2">
          <w:rPr>
            <w:rStyle w:val="Hyperlink"/>
            <w:rFonts w:ascii="Open Sans" w:hAnsi="Open Sans" w:cs="Open Sans"/>
            <w:color w:val="000000"/>
            <w:sz w:val="16"/>
            <w:szCs w:val="16"/>
          </w:rPr>
          <w:t>https://doi.org/10.1017/s0017383500028576</w:t>
        </w:r>
      </w:hyperlink>
      <w:r w:rsidR="00191CBF" w:rsidRPr="00B310F2">
        <w:rPr>
          <w:sz w:val="16"/>
          <w:szCs w:val="16"/>
        </w:rPr>
        <w:t>&gt;.</w:t>
      </w:r>
    </w:p>
  </w:footnote>
  <w:footnote w:id="7">
    <w:p w14:paraId="6308BDB4" w14:textId="4A00BD9C" w:rsidR="000B5ECA" w:rsidRPr="00B310F2" w:rsidRDefault="000B5ECA" w:rsidP="00B310F2">
      <w:pPr>
        <w:pStyle w:val="NoSpacing"/>
        <w:rPr>
          <w:sz w:val="16"/>
          <w:szCs w:val="16"/>
        </w:rPr>
      </w:pPr>
      <w:r w:rsidRPr="00B310F2">
        <w:rPr>
          <w:rStyle w:val="FootnoteReference"/>
          <w:sz w:val="16"/>
          <w:szCs w:val="16"/>
        </w:rPr>
        <w:footnoteRef/>
      </w:r>
      <w:r w:rsidRPr="00B310F2">
        <w:rPr>
          <w:sz w:val="16"/>
          <w:szCs w:val="16"/>
        </w:rPr>
        <w:t xml:space="preserve"> </w:t>
      </w:r>
      <w:r w:rsidR="00191CBF" w:rsidRPr="00B310F2">
        <w:rPr>
          <w:sz w:val="16"/>
          <w:szCs w:val="16"/>
        </w:rPr>
        <w:t>Hernández Lobato, pp. 231–66 (</w:t>
      </w:r>
      <w:r w:rsidR="00191CBF" w:rsidRPr="00B310F2">
        <w:rPr>
          <w:rStyle w:val="page-number-substitute"/>
          <w:rFonts w:ascii="Open Sans" w:hAnsi="Open Sans" w:cs="Open Sans"/>
          <w:color w:val="000000"/>
          <w:sz w:val="16"/>
          <w:szCs w:val="16"/>
        </w:rPr>
        <w:t>p. 233</w:t>
      </w:r>
      <w:r w:rsidR="00191CBF" w:rsidRPr="00B310F2">
        <w:rPr>
          <w:sz w:val="16"/>
          <w:szCs w:val="16"/>
        </w:rPr>
        <w:t>).</w:t>
      </w:r>
    </w:p>
  </w:footnote>
  <w:footnote w:id="8">
    <w:p w14:paraId="4FE28589" w14:textId="72F4FF9E" w:rsidR="00142B60" w:rsidRPr="00B310F2" w:rsidRDefault="00142B60" w:rsidP="00B310F2">
      <w:pPr>
        <w:pStyle w:val="NoSpacing"/>
        <w:rPr>
          <w:sz w:val="16"/>
          <w:szCs w:val="16"/>
        </w:rPr>
      </w:pPr>
      <w:r w:rsidRPr="00B310F2">
        <w:rPr>
          <w:rStyle w:val="FootnoteReference"/>
          <w:sz w:val="16"/>
          <w:szCs w:val="16"/>
        </w:rPr>
        <w:footnoteRef/>
      </w:r>
      <w:r w:rsidRPr="00B310F2">
        <w:rPr>
          <w:sz w:val="16"/>
          <w:szCs w:val="16"/>
        </w:rPr>
        <w:t xml:space="preserve"> </w:t>
      </w:r>
      <w:r w:rsidR="00191CBF" w:rsidRPr="00B310F2">
        <w:rPr>
          <w:sz w:val="16"/>
          <w:szCs w:val="16"/>
        </w:rPr>
        <w:t>Hernández Lobato, pp. 231–66 (</w:t>
      </w:r>
      <w:r w:rsidR="00191CBF" w:rsidRPr="00B310F2">
        <w:rPr>
          <w:rStyle w:val="page-number-substitute"/>
          <w:rFonts w:ascii="Open Sans" w:hAnsi="Open Sans" w:cs="Open Sans"/>
          <w:color w:val="000000"/>
          <w:sz w:val="16"/>
          <w:szCs w:val="16"/>
        </w:rPr>
        <w:t>p. 233</w:t>
      </w:r>
      <w:r w:rsidR="00191CBF" w:rsidRPr="00B310F2">
        <w:rPr>
          <w:sz w:val="16"/>
          <w:szCs w:val="16"/>
        </w:rPr>
        <w:t>).</w:t>
      </w:r>
    </w:p>
  </w:footnote>
  <w:footnote w:id="9">
    <w:p w14:paraId="7736746B" w14:textId="616B9577" w:rsidR="00234624" w:rsidRDefault="00234624" w:rsidP="00B310F2">
      <w:pPr>
        <w:pStyle w:val="NoSpacing"/>
      </w:pPr>
      <w:r w:rsidRPr="00B310F2">
        <w:rPr>
          <w:rStyle w:val="FootnoteReference"/>
          <w:sz w:val="16"/>
          <w:szCs w:val="16"/>
        </w:rPr>
        <w:footnoteRef/>
      </w:r>
      <w:r w:rsidRPr="00B310F2">
        <w:rPr>
          <w:sz w:val="16"/>
          <w:szCs w:val="16"/>
        </w:rPr>
        <w:t xml:space="preserve"> </w:t>
      </w:r>
      <w:r w:rsidR="00AB3116" w:rsidRPr="00B310F2">
        <w:rPr>
          <w:sz w:val="16"/>
          <w:szCs w:val="16"/>
        </w:rPr>
        <w:t>Warren, </w:t>
      </w:r>
      <w:r w:rsidR="00AB3116" w:rsidRPr="00B310F2">
        <w:rPr>
          <w:rStyle w:val="page-number-substitute"/>
          <w:rFonts w:ascii="Open Sans" w:hAnsi="Open Sans" w:cs="Open Sans"/>
          <w:color w:val="000000"/>
          <w:sz w:val="16"/>
          <w:szCs w:val="16"/>
        </w:rPr>
        <w:t>pp. 19-20</w:t>
      </w:r>
      <w:r w:rsidR="00AB3116" w:rsidRPr="00B310F2">
        <w:rPr>
          <w:sz w:val="16"/>
          <w:szCs w:val="16"/>
        </w:rPr>
        <w:t>.</w:t>
      </w:r>
    </w:p>
  </w:footnote>
  <w:footnote w:id="10">
    <w:p w14:paraId="3D25DC9C" w14:textId="1E830B07" w:rsidR="00436D0A" w:rsidRPr="00B310F2" w:rsidRDefault="00436D0A" w:rsidP="00B310F2">
      <w:pPr>
        <w:pStyle w:val="NoSpacing"/>
        <w:rPr>
          <w:sz w:val="16"/>
          <w:szCs w:val="16"/>
        </w:rPr>
      </w:pPr>
      <w:r w:rsidRPr="00B310F2">
        <w:rPr>
          <w:rStyle w:val="FootnoteReference"/>
          <w:sz w:val="16"/>
          <w:szCs w:val="16"/>
        </w:rPr>
        <w:footnoteRef/>
      </w:r>
      <w:r w:rsidRPr="00B310F2">
        <w:rPr>
          <w:sz w:val="16"/>
          <w:szCs w:val="16"/>
        </w:rPr>
        <w:t xml:space="preserve"> </w:t>
      </w:r>
      <w:r w:rsidR="00AB3116" w:rsidRPr="00B310F2">
        <w:rPr>
          <w:sz w:val="16"/>
          <w:szCs w:val="16"/>
        </w:rPr>
        <w:t>Warren, </w:t>
      </w:r>
      <w:r w:rsidR="00AB3116" w:rsidRPr="00B310F2">
        <w:rPr>
          <w:rStyle w:val="page-number-substitute"/>
          <w:rFonts w:ascii="Open Sans" w:hAnsi="Open Sans" w:cs="Open Sans"/>
          <w:color w:val="000000"/>
          <w:sz w:val="16"/>
          <w:szCs w:val="16"/>
        </w:rPr>
        <w:t>pp. 19-20</w:t>
      </w:r>
      <w:r w:rsidR="00AB3116" w:rsidRPr="00B310F2">
        <w:rPr>
          <w:sz w:val="16"/>
          <w:szCs w:val="16"/>
        </w:rPr>
        <w:t>.</w:t>
      </w:r>
    </w:p>
  </w:footnote>
  <w:footnote w:id="11">
    <w:p w14:paraId="0B9A6C8D" w14:textId="6D913571" w:rsidR="001B2546" w:rsidRDefault="001B2546" w:rsidP="00B310F2">
      <w:pPr>
        <w:pStyle w:val="NoSpacing"/>
      </w:pPr>
      <w:r w:rsidRPr="00B310F2">
        <w:rPr>
          <w:rStyle w:val="FootnoteReference"/>
          <w:sz w:val="16"/>
          <w:szCs w:val="16"/>
        </w:rPr>
        <w:footnoteRef/>
      </w:r>
      <w:r w:rsidRPr="00B310F2">
        <w:rPr>
          <w:sz w:val="16"/>
          <w:szCs w:val="16"/>
        </w:rPr>
        <w:t xml:space="preserve"> </w:t>
      </w:r>
      <w:proofErr w:type="spellStart"/>
      <w:r w:rsidR="00B70736" w:rsidRPr="00B310F2">
        <w:rPr>
          <w:sz w:val="16"/>
          <w:szCs w:val="16"/>
        </w:rPr>
        <w:t>Shanzer</w:t>
      </w:r>
      <w:proofErr w:type="spellEnd"/>
      <w:r w:rsidR="00B70736" w:rsidRPr="00B310F2">
        <w:rPr>
          <w:sz w:val="16"/>
          <w:szCs w:val="16"/>
        </w:rPr>
        <w:t>, pp. 204–33 (p. 205).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6F2"/>
    <w:rsid w:val="000B5ECA"/>
    <w:rsid w:val="000E01C7"/>
    <w:rsid w:val="001016F2"/>
    <w:rsid w:val="00131295"/>
    <w:rsid w:val="00142B60"/>
    <w:rsid w:val="00147F04"/>
    <w:rsid w:val="0017776D"/>
    <w:rsid w:val="0018576C"/>
    <w:rsid w:val="00191CBF"/>
    <w:rsid w:val="00197371"/>
    <w:rsid w:val="001B2546"/>
    <w:rsid w:val="00210045"/>
    <w:rsid w:val="00210FCD"/>
    <w:rsid w:val="00232297"/>
    <w:rsid w:val="00234624"/>
    <w:rsid w:val="00294345"/>
    <w:rsid w:val="002A217B"/>
    <w:rsid w:val="002B65EB"/>
    <w:rsid w:val="003611BF"/>
    <w:rsid w:val="003B60C2"/>
    <w:rsid w:val="003D499D"/>
    <w:rsid w:val="004069D0"/>
    <w:rsid w:val="0042168F"/>
    <w:rsid w:val="00436D0A"/>
    <w:rsid w:val="00477FEC"/>
    <w:rsid w:val="00491DA3"/>
    <w:rsid w:val="004A69C9"/>
    <w:rsid w:val="00553487"/>
    <w:rsid w:val="005808E2"/>
    <w:rsid w:val="00713962"/>
    <w:rsid w:val="008F2809"/>
    <w:rsid w:val="00936F1A"/>
    <w:rsid w:val="00A57435"/>
    <w:rsid w:val="00AB3116"/>
    <w:rsid w:val="00B310F2"/>
    <w:rsid w:val="00B70736"/>
    <w:rsid w:val="00BF11A0"/>
    <w:rsid w:val="00C33C58"/>
    <w:rsid w:val="00C575F4"/>
    <w:rsid w:val="00D8760D"/>
    <w:rsid w:val="00E66DE9"/>
    <w:rsid w:val="00E75069"/>
    <w:rsid w:val="00EE29CA"/>
    <w:rsid w:val="00F45BB7"/>
    <w:rsid w:val="00FF692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2C9154"/>
  <w15:chartTrackingRefBased/>
  <w15:docId w15:val="{C586403E-F348-483A-B657-668A3C2C1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F11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11A0"/>
    <w:rPr>
      <w:sz w:val="20"/>
      <w:szCs w:val="20"/>
    </w:rPr>
  </w:style>
  <w:style w:type="character" w:styleId="FootnoteReference">
    <w:name w:val="footnote reference"/>
    <w:basedOn w:val="DefaultParagraphFont"/>
    <w:uiPriority w:val="99"/>
    <w:semiHidden/>
    <w:unhideWhenUsed/>
    <w:rsid w:val="00BF11A0"/>
    <w:rPr>
      <w:vertAlign w:val="superscript"/>
    </w:rPr>
  </w:style>
  <w:style w:type="paragraph" w:styleId="NoSpacing">
    <w:name w:val="No Spacing"/>
    <w:uiPriority w:val="1"/>
    <w:qFormat/>
    <w:rsid w:val="003611BF"/>
    <w:pPr>
      <w:spacing w:after="0" w:line="240" w:lineRule="auto"/>
    </w:pPr>
  </w:style>
  <w:style w:type="character" w:styleId="Hyperlink">
    <w:name w:val="Hyperlink"/>
    <w:basedOn w:val="DefaultParagraphFont"/>
    <w:uiPriority w:val="99"/>
    <w:semiHidden/>
    <w:unhideWhenUsed/>
    <w:rsid w:val="00B70736"/>
    <w:rPr>
      <w:color w:val="0000FF"/>
      <w:u w:val="single"/>
    </w:rPr>
  </w:style>
  <w:style w:type="character" w:customStyle="1" w:styleId="page-number-substitute">
    <w:name w:val="page-number-substitute"/>
    <w:basedOn w:val="DefaultParagraphFont"/>
    <w:rsid w:val="00B707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s0017383500028576" TargetMode="External"/><Relationship Id="rId3" Type="http://schemas.openxmlformats.org/officeDocument/2006/relationships/webSettings" Target="webSettings.xml"/><Relationship Id="rId7" Type="http://schemas.openxmlformats.org/officeDocument/2006/relationships/hyperlink" Target="http://www.jstor.org/stable/443650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7/rmu.2016.12"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17/s0017383500028576" TargetMode="External"/><Relationship Id="rId2" Type="http://schemas.openxmlformats.org/officeDocument/2006/relationships/hyperlink" Target="http://www.jstor.org/stable/4436502" TargetMode="External"/><Relationship Id="rId1" Type="http://schemas.openxmlformats.org/officeDocument/2006/relationships/hyperlink" Target="https://doi.org/10.1017/rmu.2016.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4</Pages>
  <Words>1768</Words>
  <Characters>8543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Tierney (2114576)</dc:creator>
  <cp:keywords/>
  <dc:description/>
  <cp:lastModifiedBy>Darren Tierney</cp:lastModifiedBy>
  <cp:revision>7</cp:revision>
  <dcterms:created xsi:type="dcterms:W3CDTF">2022-12-15T11:52:00Z</dcterms:created>
  <dcterms:modified xsi:type="dcterms:W3CDTF">2022-12-16T17:04:00Z</dcterms:modified>
</cp:coreProperties>
</file>