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D799B2" w14:textId="77777777" w:rsidR="00CB27BB" w:rsidRDefault="00CB27BB" w:rsidP="00CB27BB"/>
    <w:p w14:paraId="135D0F67" w14:textId="77777777" w:rsidR="00CB27BB" w:rsidRDefault="00CB27BB" w:rsidP="00CB27BB"/>
    <w:p w14:paraId="3D4EE491" w14:textId="77777777" w:rsidR="00CB27BB" w:rsidRPr="00CB27BB" w:rsidRDefault="00CB27BB" w:rsidP="00CB27BB">
      <w:pPr>
        <w:rPr>
          <w:rFonts w:ascii="Times New Roman" w:hAnsi="Times New Roman" w:cs="Times New Roman"/>
          <w:b/>
          <w:bCs/>
          <w:sz w:val="40"/>
          <w:szCs w:val="40"/>
        </w:rPr>
      </w:pPr>
    </w:p>
    <w:p w14:paraId="15E1E225" w14:textId="77777777" w:rsidR="00CB27BB" w:rsidRPr="00CB27BB" w:rsidRDefault="00CB27BB" w:rsidP="00CB27BB">
      <w:pPr>
        <w:rPr>
          <w:rFonts w:ascii="Times New Roman" w:hAnsi="Times New Roman" w:cs="Times New Roman"/>
          <w:b/>
          <w:bCs/>
          <w:sz w:val="40"/>
          <w:szCs w:val="40"/>
        </w:rPr>
      </w:pPr>
    </w:p>
    <w:p w14:paraId="6A506D9C" w14:textId="16A36838" w:rsidR="00CB27BB" w:rsidRPr="00CB27BB" w:rsidRDefault="00CB27BB" w:rsidP="00CB27BB">
      <w:pPr>
        <w:spacing w:line="360" w:lineRule="auto"/>
        <w:rPr>
          <w:rFonts w:ascii="Times New Roman" w:hAnsi="Times New Roman" w:cs="Times New Roman"/>
          <w:b/>
          <w:bCs/>
          <w:sz w:val="40"/>
          <w:szCs w:val="40"/>
        </w:rPr>
      </w:pPr>
      <w:r w:rsidRPr="00CB27BB">
        <w:rPr>
          <w:rFonts w:ascii="Times New Roman" w:hAnsi="Times New Roman" w:cs="Times New Roman"/>
          <w:b/>
          <w:bCs/>
          <w:sz w:val="40"/>
          <w:szCs w:val="40"/>
        </w:rPr>
        <w:t>Organisational Consultancy</w:t>
      </w:r>
    </w:p>
    <w:p w14:paraId="2A89ECD7" w14:textId="77777777" w:rsidR="00CB27BB" w:rsidRPr="00CB27BB" w:rsidRDefault="00CB27BB" w:rsidP="00CB27BB">
      <w:pPr>
        <w:spacing w:line="360" w:lineRule="auto"/>
        <w:rPr>
          <w:rFonts w:ascii="Times New Roman" w:hAnsi="Times New Roman" w:cs="Times New Roman"/>
          <w:b/>
          <w:bCs/>
          <w:sz w:val="40"/>
          <w:szCs w:val="40"/>
        </w:rPr>
      </w:pPr>
      <w:r w:rsidRPr="00CB27BB">
        <w:rPr>
          <w:rFonts w:ascii="Times New Roman" w:hAnsi="Times New Roman" w:cs="Times New Roman"/>
          <w:b/>
          <w:bCs/>
          <w:sz w:val="40"/>
          <w:szCs w:val="40"/>
        </w:rPr>
        <w:t>BMIH6005</w:t>
      </w:r>
    </w:p>
    <w:p w14:paraId="34523173" w14:textId="4771336E" w:rsidR="00B151A8" w:rsidRPr="00CB27BB" w:rsidRDefault="00CB27BB" w:rsidP="00CB27BB">
      <w:pPr>
        <w:spacing w:line="360" w:lineRule="auto"/>
        <w:rPr>
          <w:rFonts w:ascii="Times New Roman" w:hAnsi="Times New Roman" w:cs="Times New Roman"/>
          <w:b/>
          <w:bCs/>
          <w:sz w:val="32"/>
          <w:szCs w:val="32"/>
        </w:rPr>
      </w:pPr>
      <w:r w:rsidRPr="00CB27BB">
        <w:rPr>
          <w:rFonts w:ascii="Times New Roman" w:hAnsi="Times New Roman" w:cs="Times New Roman"/>
          <w:b/>
          <w:bCs/>
          <w:sz w:val="32"/>
          <w:szCs w:val="32"/>
        </w:rPr>
        <w:t>Consultancy report</w:t>
      </w:r>
      <w:r>
        <w:rPr>
          <w:rFonts w:ascii="Times New Roman" w:hAnsi="Times New Roman" w:cs="Times New Roman"/>
          <w:b/>
          <w:bCs/>
          <w:sz w:val="32"/>
          <w:szCs w:val="32"/>
        </w:rPr>
        <w:t xml:space="preserve"> </w:t>
      </w:r>
    </w:p>
    <w:p w14:paraId="4496ABF3" w14:textId="77777777" w:rsidR="00CB27BB" w:rsidRDefault="00CB27BB" w:rsidP="00CB27BB">
      <w:pPr>
        <w:rPr>
          <w:rFonts w:ascii="Times New Roman" w:hAnsi="Times New Roman" w:cs="Times New Roman"/>
          <w:b/>
          <w:bCs/>
          <w:sz w:val="40"/>
          <w:szCs w:val="40"/>
        </w:rPr>
      </w:pPr>
    </w:p>
    <w:p w14:paraId="758C3F3C" w14:textId="17BD04E4" w:rsidR="00CB27BB" w:rsidRDefault="00CB27BB" w:rsidP="00CB27BB">
      <w:pPr>
        <w:rPr>
          <w:rFonts w:ascii="Times New Roman" w:hAnsi="Times New Roman" w:cs="Times New Roman"/>
          <w:b/>
          <w:bCs/>
          <w:sz w:val="40"/>
          <w:szCs w:val="40"/>
        </w:rPr>
      </w:pPr>
      <w:r w:rsidRPr="00CB27BB">
        <w:rPr>
          <w:rFonts w:ascii="Times New Roman" w:hAnsi="Times New Roman" w:cs="Times New Roman"/>
          <w:b/>
          <w:bCs/>
          <w:noProof/>
          <w:sz w:val="40"/>
          <w:szCs w:val="40"/>
        </w:rPr>
        <w:drawing>
          <wp:inline distT="0" distB="0" distL="0" distR="0" wp14:anchorId="49716D0E" wp14:editId="1F717DD7">
            <wp:extent cx="5677692" cy="3029373"/>
            <wp:effectExtent l="0" t="0" r="0" b="0"/>
            <wp:docPr id="770809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809496" name=""/>
                    <pic:cNvPicPr/>
                  </pic:nvPicPr>
                  <pic:blipFill>
                    <a:blip r:embed="rId7"/>
                    <a:stretch>
                      <a:fillRect/>
                    </a:stretch>
                  </pic:blipFill>
                  <pic:spPr>
                    <a:xfrm>
                      <a:off x="0" y="0"/>
                      <a:ext cx="5677692" cy="3029373"/>
                    </a:xfrm>
                    <a:prstGeom prst="rect">
                      <a:avLst/>
                    </a:prstGeom>
                  </pic:spPr>
                </pic:pic>
              </a:graphicData>
            </a:graphic>
          </wp:inline>
        </w:drawing>
      </w:r>
    </w:p>
    <w:p w14:paraId="65669F82" w14:textId="374FF56B" w:rsidR="00CB27BB" w:rsidRPr="00CB27BB" w:rsidRDefault="00CB27BB" w:rsidP="00CB27BB">
      <w:pPr>
        <w:rPr>
          <w:rFonts w:ascii="Times New Roman" w:hAnsi="Times New Roman" w:cs="Times New Roman"/>
          <w:b/>
          <w:bCs/>
          <w:sz w:val="32"/>
          <w:szCs w:val="32"/>
        </w:rPr>
      </w:pPr>
      <w:r w:rsidRPr="00CB27BB">
        <w:rPr>
          <w:rFonts w:ascii="Times New Roman" w:hAnsi="Times New Roman" w:cs="Times New Roman"/>
          <w:b/>
          <w:bCs/>
          <w:sz w:val="32"/>
          <w:szCs w:val="32"/>
        </w:rPr>
        <w:t>Student id:</w:t>
      </w:r>
      <w:r w:rsidR="00100F64">
        <w:rPr>
          <w:rFonts w:ascii="Times New Roman" w:hAnsi="Times New Roman" w:cs="Times New Roman"/>
          <w:b/>
          <w:bCs/>
          <w:sz w:val="32"/>
          <w:szCs w:val="32"/>
        </w:rPr>
        <w:t xml:space="preserve"> 2239006</w:t>
      </w:r>
    </w:p>
    <w:p w14:paraId="6166305B" w14:textId="55FA4B73" w:rsidR="00CB27BB" w:rsidRDefault="00CB27BB" w:rsidP="00CB27BB">
      <w:pPr>
        <w:rPr>
          <w:rFonts w:ascii="Times New Roman" w:hAnsi="Times New Roman" w:cs="Times New Roman"/>
          <w:b/>
          <w:bCs/>
          <w:sz w:val="32"/>
          <w:szCs w:val="32"/>
        </w:rPr>
      </w:pPr>
      <w:r w:rsidRPr="00CB27BB">
        <w:rPr>
          <w:rFonts w:ascii="Times New Roman" w:hAnsi="Times New Roman" w:cs="Times New Roman"/>
          <w:b/>
          <w:bCs/>
          <w:sz w:val="32"/>
          <w:szCs w:val="32"/>
        </w:rPr>
        <w:t xml:space="preserve">Student name: </w:t>
      </w:r>
      <w:r w:rsidR="00100F64">
        <w:rPr>
          <w:rFonts w:ascii="Times New Roman" w:hAnsi="Times New Roman" w:cs="Times New Roman"/>
          <w:b/>
          <w:bCs/>
          <w:sz w:val="32"/>
          <w:szCs w:val="32"/>
        </w:rPr>
        <w:t>Irina-Diana Buture</w:t>
      </w:r>
    </w:p>
    <w:p w14:paraId="4B26FD9B" w14:textId="77777777" w:rsidR="00CB27BB" w:rsidRDefault="00CB27BB" w:rsidP="00CB27BB">
      <w:pPr>
        <w:rPr>
          <w:rFonts w:ascii="Times New Roman" w:hAnsi="Times New Roman" w:cs="Times New Roman"/>
          <w:b/>
          <w:bCs/>
          <w:sz w:val="32"/>
          <w:szCs w:val="32"/>
        </w:rPr>
      </w:pPr>
    </w:p>
    <w:p w14:paraId="606E8242" w14:textId="77777777" w:rsidR="00CB27BB" w:rsidRDefault="00CB27BB" w:rsidP="00CB27BB">
      <w:pPr>
        <w:rPr>
          <w:rFonts w:ascii="Times New Roman" w:hAnsi="Times New Roman" w:cs="Times New Roman"/>
          <w:b/>
          <w:bCs/>
          <w:sz w:val="32"/>
          <w:szCs w:val="32"/>
        </w:rPr>
      </w:pPr>
    </w:p>
    <w:p w14:paraId="201D9D5D" w14:textId="1AA2913F" w:rsidR="00CB27BB" w:rsidRDefault="00CB27BB" w:rsidP="00CB27BB">
      <w:pPr>
        <w:spacing w:line="360" w:lineRule="auto"/>
        <w:jc w:val="both"/>
        <w:rPr>
          <w:rFonts w:ascii="Times New Roman" w:hAnsi="Times New Roman" w:cs="Times New Roman"/>
          <w:sz w:val="24"/>
          <w:szCs w:val="24"/>
        </w:rPr>
      </w:pPr>
      <w:r w:rsidRPr="00CB27BB">
        <w:rPr>
          <w:rFonts w:ascii="Times New Roman" w:hAnsi="Times New Roman" w:cs="Times New Roman"/>
          <w:sz w:val="24"/>
          <w:szCs w:val="24"/>
        </w:rPr>
        <w:lastRenderedPageBreak/>
        <w:t xml:space="preserve">I certify that I did not utilise any AI technologies throughout the research and preparation of this assignment. I </w:t>
      </w:r>
      <w:r>
        <w:rPr>
          <w:rFonts w:ascii="Times New Roman" w:hAnsi="Times New Roman" w:cs="Times New Roman"/>
          <w:sz w:val="24"/>
          <w:szCs w:val="24"/>
        </w:rPr>
        <w:t xml:space="preserve">confirm </w:t>
      </w:r>
      <w:r w:rsidRPr="00CB27BB">
        <w:rPr>
          <w:rFonts w:ascii="Times New Roman" w:hAnsi="Times New Roman" w:cs="Times New Roman"/>
          <w:sz w:val="24"/>
          <w:szCs w:val="24"/>
        </w:rPr>
        <w:t xml:space="preserve">that I did not offer any AI-generated content as my own work. I </w:t>
      </w:r>
      <w:r>
        <w:rPr>
          <w:rFonts w:ascii="Times New Roman" w:hAnsi="Times New Roman" w:cs="Times New Roman"/>
          <w:sz w:val="24"/>
          <w:szCs w:val="24"/>
        </w:rPr>
        <w:t>confirm</w:t>
      </w:r>
      <w:r w:rsidRPr="00CB27BB">
        <w:rPr>
          <w:rFonts w:ascii="Times New Roman" w:hAnsi="Times New Roman" w:cs="Times New Roman"/>
          <w:sz w:val="24"/>
          <w:szCs w:val="24"/>
        </w:rPr>
        <w:t xml:space="preserve"> that I have copies of my drafts, notes, and other materials that I utilised and may be required to produce as proof.</w:t>
      </w:r>
    </w:p>
    <w:p w14:paraId="58C1735F" w14:textId="77777777" w:rsidR="00CB27BB" w:rsidRDefault="00CB27BB" w:rsidP="00CB27BB">
      <w:pPr>
        <w:spacing w:line="360" w:lineRule="auto"/>
        <w:jc w:val="both"/>
        <w:rPr>
          <w:rFonts w:ascii="Times New Roman" w:hAnsi="Times New Roman" w:cs="Times New Roman"/>
          <w:sz w:val="24"/>
          <w:szCs w:val="24"/>
        </w:rPr>
      </w:pPr>
    </w:p>
    <w:p w14:paraId="486712B6" w14:textId="77777777" w:rsidR="00CB27BB" w:rsidRDefault="00CB27BB" w:rsidP="00CB27BB">
      <w:pPr>
        <w:spacing w:line="360" w:lineRule="auto"/>
        <w:jc w:val="both"/>
        <w:rPr>
          <w:rFonts w:ascii="Times New Roman" w:hAnsi="Times New Roman" w:cs="Times New Roman"/>
          <w:sz w:val="24"/>
          <w:szCs w:val="24"/>
        </w:rPr>
      </w:pPr>
    </w:p>
    <w:p w14:paraId="4D4825A8" w14:textId="77777777" w:rsidR="00CB27BB" w:rsidRDefault="00CB27BB" w:rsidP="00CB27BB">
      <w:pPr>
        <w:spacing w:line="360" w:lineRule="auto"/>
        <w:jc w:val="both"/>
        <w:rPr>
          <w:rFonts w:ascii="Times New Roman" w:hAnsi="Times New Roman" w:cs="Times New Roman"/>
          <w:sz w:val="24"/>
          <w:szCs w:val="24"/>
        </w:rPr>
      </w:pPr>
    </w:p>
    <w:p w14:paraId="2ABB61F5" w14:textId="77777777" w:rsidR="00CB27BB" w:rsidRDefault="00CB27BB" w:rsidP="00CB27BB">
      <w:pPr>
        <w:spacing w:line="360" w:lineRule="auto"/>
        <w:jc w:val="both"/>
        <w:rPr>
          <w:rFonts w:ascii="Times New Roman" w:hAnsi="Times New Roman" w:cs="Times New Roman"/>
          <w:sz w:val="24"/>
          <w:szCs w:val="24"/>
        </w:rPr>
      </w:pPr>
    </w:p>
    <w:p w14:paraId="19F46D06" w14:textId="77777777" w:rsidR="00CB27BB" w:rsidRDefault="00CB27BB" w:rsidP="00CB27BB">
      <w:pPr>
        <w:spacing w:line="360" w:lineRule="auto"/>
        <w:jc w:val="both"/>
        <w:rPr>
          <w:rFonts w:ascii="Times New Roman" w:hAnsi="Times New Roman" w:cs="Times New Roman"/>
          <w:sz w:val="24"/>
          <w:szCs w:val="24"/>
        </w:rPr>
      </w:pPr>
    </w:p>
    <w:p w14:paraId="1D659ABD" w14:textId="77777777" w:rsidR="00CB27BB" w:rsidRDefault="00CB27BB" w:rsidP="00CB27BB">
      <w:pPr>
        <w:spacing w:line="360" w:lineRule="auto"/>
        <w:jc w:val="both"/>
        <w:rPr>
          <w:rFonts w:ascii="Times New Roman" w:hAnsi="Times New Roman" w:cs="Times New Roman"/>
          <w:sz w:val="24"/>
          <w:szCs w:val="24"/>
        </w:rPr>
      </w:pPr>
    </w:p>
    <w:p w14:paraId="0F8E4EC9" w14:textId="77777777" w:rsidR="00CB27BB" w:rsidRDefault="00CB27BB" w:rsidP="00CB27BB">
      <w:pPr>
        <w:spacing w:line="360" w:lineRule="auto"/>
        <w:jc w:val="both"/>
        <w:rPr>
          <w:rFonts w:ascii="Times New Roman" w:hAnsi="Times New Roman" w:cs="Times New Roman"/>
          <w:sz w:val="24"/>
          <w:szCs w:val="24"/>
        </w:rPr>
      </w:pPr>
    </w:p>
    <w:p w14:paraId="4B8D746E" w14:textId="77777777" w:rsidR="00CB27BB" w:rsidRDefault="00CB27BB" w:rsidP="00CB27BB">
      <w:pPr>
        <w:spacing w:line="360" w:lineRule="auto"/>
        <w:jc w:val="both"/>
        <w:rPr>
          <w:rFonts w:ascii="Times New Roman" w:hAnsi="Times New Roman" w:cs="Times New Roman"/>
          <w:sz w:val="24"/>
          <w:szCs w:val="24"/>
        </w:rPr>
      </w:pPr>
    </w:p>
    <w:p w14:paraId="1EC620E2" w14:textId="77777777" w:rsidR="00CB27BB" w:rsidRDefault="00CB27BB" w:rsidP="00CB27BB">
      <w:pPr>
        <w:spacing w:line="360" w:lineRule="auto"/>
        <w:jc w:val="both"/>
        <w:rPr>
          <w:rFonts w:ascii="Times New Roman" w:hAnsi="Times New Roman" w:cs="Times New Roman"/>
          <w:sz w:val="24"/>
          <w:szCs w:val="24"/>
        </w:rPr>
      </w:pPr>
    </w:p>
    <w:p w14:paraId="38A8140D" w14:textId="77777777" w:rsidR="00CB27BB" w:rsidRDefault="00CB27BB" w:rsidP="00CB27BB">
      <w:pPr>
        <w:spacing w:line="360" w:lineRule="auto"/>
        <w:jc w:val="both"/>
        <w:rPr>
          <w:rFonts w:ascii="Times New Roman" w:hAnsi="Times New Roman" w:cs="Times New Roman"/>
          <w:sz w:val="24"/>
          <w:szCs w:val="24"/>
        </w:rPr>
      </w:pPr>
    </w:p>
    <w:p w14:paraId="21666BE6" w14:textId="77777777" w:rsidR="00CB27BB" w:rsidRDefault="00CB27BB" w:rsidP="00CB27BB">
      <w:pPr>
        <w:spacing w:line="360" w:lineRule="auto"/>
        <w:jc w:val="both"/>
        <w:rPr>
          <w:rFonts w:ascii="Times New Roman" w:hAnsi="Times New Roman" w:cs="Times New Roman"/>
          <w:sz w:val="24"/>
          <w:szCs w:val="24"/>
        </w:rPr>
      </w:pPr>
    </w:p>
    <w:p w14:paraId="2A7C7E3B" w14:textId="77777777" w:rsidR="00CB27BB" w:rsidRDefault="00CB27BB" w:rsidP="00CB27BB">
      <w:pPr>
        <w:spacing w:line="360" w:lineRule="auto"/>
        <w:jc w:val="both"/>
        <w:rPr>
          <w:rFonts w:ascii="Times New Roman" w:hAnsi="Times New Roman" w:cs="Times New Roman"/>
          <w:sz w:val="24"/>
          <w:szCs w:val="24"/>
        </w:rPr>
      </w:pPr>
    </w:p>
    <w:p w14:paraId="6E012CC2" w14:textId="77777777" w:rsidR="00CB27BB" w:rsidRDefault="00CB27BB" w:rsidP="00CB27BB">
      <w:pPr>
        <w:spacing w:line="360" w:lineRule="auto"/>
        <w:jc w:val="both"/>
        <w:rPr>
          <w:rFonts w:ascii="Times New Roman" w:hAnsi="Times New Roman" w:cs="Times New Roman"/>
          <w:sz w:val="24"/>
          <w:szCs w:val="24"/>
        </w:rPr>
      </w:pPr>
    </w:p>
    <w:p w14:paraId="473B49B3" w14:textId="77777777" w:rsidR="00CB27BB" w:rsidRDefault="00CB27BB" w:rsidP="00CB27BB">
      <w:pPr>
        <w:spacing w:line="360" w:lineRule="auto"/>
        <w:jc w:val="both"/>
        <w:rPr>
          <w:rFonts w:ascii="Times New Roman" w:hAnsi="Times New Roman" w:cs="Times New Roman"/>
          <w:sz w:val="24"/>
          <w:szCs w:val="24"/>
        </w:rPr>
      </w:pPr>
    </w:p>
    <w:p w14:paraId="07F527C7" w14:textId="77777777" w:rsidR="00CB27BB" w:rsidRDefault="00CB27BB" w:rsidP="00CB27BB">
      <w:pPr>
        <w:spacing w:line="360" w:lineRule="auto"/>
        <w:jc w:val="both"/>
        <w:rPr>
          <w:rFonts w:ascii="Times New Roman" w:hAnsi="Times New Roman" w:cs="Times New Roman"/>
          <w:sz w:val="24"/>
          <w:szCs w:val="24"/>
        </w:rPr>
      </w:pPr>
    </w:p>
    <w:p w14:paraId="203F6021" w14:textId="77777777" w:rsidR="00CB27BB" w:rsidRDefault="00CB27BB" w:rsidP="00CB27BB">
      <w:pPr>
        <w:spacing w:line="360" w:lineRule="auto"/>
        <w:jc w:val="both"/>
        <w:rPr>
          <w:rFonts w:ascii="Times New Roman" w:hAnsi="Times New Roman" w:cs="Times New Roman"/>
          <w:sz w:val="24"/>
          <w:szCs w:val="24"/>
        </w:rPr>
      </w:pPr>
    </w:p>
    <w:p w14:paraId="4B1DD299" w14:textId="77777777" w:rsidR="00CB27BB" w:rsidRDefault="00CB27BB" w:rsidP="00CB27BB">
      <w:pPr>
        <w:spacing w:line="360" w:lineRule="auto"/>
        <w:jc w:val="both"/>
        <w:rPr>
          <w:rFonts w:ascii="Times New Roman" w:hAnsi="Times New Roman" w:cs="Times New Roman"/>
          <w:sz w:val="24"/>
          <w:szCs w:val="24"/>
        </w:rPr>
      </w:pPr>
    </w:p>
    <w:p w14:paraId="7675A73C" w14:textId="77777777" w:rsidR="00CB27BB" w:rsidRDefault="00CB27BB" w:rsidP="00CB27BB">
      <w:pPr>
        <w:spacing w:line="360" w:lineRule="auto"/>
        <w:jc w:val="both"/>
        <w:rPr>
          <w:rFonts w:ascii="Times New Roman" w:hAnsi="Times New Roman" w:cs="Times New Roman"/>
          <w:sz w:val="24"/>
          <w:szCs w:val="24"/>
        </w:rPr>
      </w:pPr>
    </w:p>
    <w:p w14:paraId="2CA89F57" w14:textId="77777777" w:rsidR="00CB27BB" w:rsidRDefault="00CB27BB" w:rsidP="00CB27BB">
      <w:pPr>
        <w:spacing w:line="360" w:lineRule="auto"/>
        <w:jc w:val="both"/>
        <w:rPr>
          <w:rFonts w:ascii="Times New Roman" w:hAnsi="Times New Roman" w:cs="Times New Roman"/>
          <w:sz w:val="24"/>
          <w:szCs w:val="24"/>
        </w:rPr>
      </w:pPr>
    </w:p>
    <w:p w14:paraId="34A9E746" w14:textId="4AA29179" w:rsidR="00CB27BB" w:rsidRPr="00CE4535" w:rsidRDefault="00CB27BB" w:rsidP="00CE4535">
      <w:pPr>
        <w:pStyle w:val="EU"/>
        <w:spacing w:line="360" w:lineRule="auto"/>
        <w:rPr>
          <w:rFonts w:ascii="Times New Roman" w:hAnsi="Times New Roman" w:cs="Times New Roman"/>
          <w:color w:val="auto"/>
        </w:rPr>
      </w:pPr>
      <w:bookmarkStart w:id="0" w:name="_Toc201353356"/>
      <w:r w:rsidRPr="00CE4535">
        <w:rPr>
          <w:rFonts w:ascii="Times New Roman" w:hAnsi="Times New Roman" w:cs="Times New Roman"/>
          <w:color w:val="auto"/>
        </w:rPr>
        <w:lastRenderedPageBreak/>
        <w:t>Executive summary</w:t>
      </w:r>
      <w:bookmarkEnd w:id="0"/>
      <w:r w:rsidRPr="00CE4535">
        <w:rPr>
          <w:rFonts w:ascii="Times New Roman" w:hAnsi="Times New Roman" w:cs="Times New Roman"/>
          <w:color w:val="auto"/>
        </w:rPr>
        <w:t xml:space="preserve"> </w:t>
      </w:r>
    </w:p>
    <w:p w14:paraId="329A944C" w14:textId="1A42A395" w:rsidR="00CB27BB" w:rsidRPr="00CE4535" w:rsidRDefault="00CE4535" w:rsidP="00CE4535">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proofErr w:type="spellStart"/>
      <w:r w:rsidRPr="00CE4535">
        <w:rPr>
          <w:rFonts w:ascii="Times New Roman" w:eastAsiaTheme="majorEastAsia" w:hAnsi="Times New Roman" w:cs="Times New Roman"/>
          <w:bCs/>
          <w:kern w:val="0"/>
          <w:sz w:val="24"/>
          <w:szCs w:val="24"/>
          <w:lang w:eastAsia="en-GB"/>
          <w14:ligatures w14:val="none"/>
        </w:rPr>
        <w:t>VistaCore</w:t>
      </w:r>
      <w:proofErr w:type="spellEnd"/>
      <w:r w:rsidRPr="00CE4535">
        <w:rPr>
          <w:rFonts w:ascii="Times New Roman" w:eastAsiaTheme="majorEastAsia" w:hAnsi="Times New Roman" w:cs="Times New Roman"/>
          <w:bCs/>
          <w:kern w:val="0"/>
          <w:sz w:val="24"/>
          <w:szCs w:val="24"/>
          <w:lang w:eastAsia="en-GB"/>
          <w14:ligatures w14:val="none"/>
        </w:rPr>
        <w:t xml:space="preserve"> Strategy outlines a strategic, data-driven roadmap to transform Anantara Grand Hotel </w:t>
      </w:r>
      <w:proofErr w:type="spellStart"/>
      <w:r w:rsidRPr="00CE4535">
        <w:rPr>
          <w:rFonts w:ascii="Times New Roman" w:eastAsiaTheme="majorEastAsia" w:hAnsi="Times New Roman" w:cs="Times New Roman"/>
          <w:bCs/>
          <w:kern w:val="0"/>
          <w:sz w:val="24"/>
          <w:szCs w:val="24"/>
          <w:lang w:eastAsia="en-GB"/>
          <w14:ligatures w14:val="none"/>
        </w:rPr>
        <w:t>Krasnapolsky</w:t>
      </w:r>
      <w:proofErr w:type="spellEnd"/>
      <w:r w:rsidRPr="00CE4535">
        <w:rPr>
          <w:rFonts w:ascii="Times New Roman" w:eastAsiaTheme="majorEastAsia" w:hAnsi="Times New Roman" w:cs="Times New Roman"/>
          <w:bCs/>
          <w:kern w:val="0"/>
          <w:sz w:val="24"/>
          <w:szCs w:val="24"/>
          <w:lang w:eastAsia="en-GB"/>
          <w14:ligatures w14:val="none"/>
        </w:rPr>
        <w:t xml:space="preserve"> Amsterdam into a more robust, environmentally-friendly, and guest-centric five-star hotel that directly confronts the hotel’s staff attrition issues while also expanding revenue streams and embedding an environmental commitment throughout the organization. Leveraging over 150 years of history, an enviable location adjacent to Dam </w:t>
      </w:r>
      <w:r w:rsidRPr="00CE4535">
        <w:rPr>
          <w:rFonts w:ascii="Times New Roman" w:eastAsiaTheme="majorEastAsia" w:hAnsi="Times New Roman" w:cs="Times New Roman"/>
          <w:bCs/>
          <w:color w:val="000000" w:themeColor="text1"/>
          <w:kern w:val="0"/>
          <w:sz w:val="24"/>
          <w:szCs w:val="24"/>
          <w:lang w:eastAsia="en-GB"/>
          <w14:ligatures w14:val="none"/>
        </w:rPr>
        <w:t xml:space="preserve">Square, and a Michelin-starred restaurant, the plan seeks to leverage the existing equity of the hotel while addressing the root causes of attrition—namely, high stress levels, work-life imbalance, limited professional development opportunities, and a lack of recognition—in order to combat the issue head-on and eliminate both the time and financial costs associated with the recruitment and onboarding of new staff. Additionally, decreasing staff turnover can have the effect of increasing service consistency, improving retention of institutional knowledge, and protecting the guest experiences that are the cornerstone of the hotel’s reputation. In its first pillar, Employee Retention &amp; Development, the Retention Program includes an initial comprehensive analysis of wages to ensure that compensation is competitive and equitable, as well as the rollout of competency-based training programs to supplement existing knowledge and build new skills for front-line staff, supervisors, and management, the creation of a formal mentorship network that pairs veteran staff with newcomers to enhance knowledge transfer, morale, and community, and the implementation of a monthly recognition program with both formal awards and informal peer-nominated recognition supported by a mechanism for employees to offer feedback and suggestions for new issues that arise. Through this approach, voluntary attrition is expected to be reduced by at least twenty percent in the first year, the loyalty of staff and organization will be increased by giving clear opportunities for career development, and the service level of the hotel will be raised by the increased engagement and improved capabilities of staff. In its second pillar, Sustainable Operational Excellence, the plan will initially incorporate eco-efficient infrastructure and practices by retro-fitting public and back-of-house areas with LED lighting, smart sensors, and high-efficiency HVAC equipment to reduce energy consumption and utility costs, installing low-flow fixtures and a rainwater collection system to maximize water use, and instituting a waste management framework that includes on-site composting, recycling stations, and the removal of single-use plastics in </w:t>
      </w:r>
      <w:proofErr w:type="spellStart"/>
      <w:r w:rsidRPr="00CE4535">
        <w:rPr>
          <w:rFonts w:ascii="Times New Roman" w:eastAsiaTheme="majorEastAsia" w:hAnsi="Times New Roman" w:cs="Times New Roman"/>
          <w:bCs/>
          <w:color w:val="000000" w:themeColor="text1"/>
          <w:kern w:val="0"/>
          <w:sz w:val="24"/>
          <w:szCs w:val="24"/>
          <w:lang w:eastAsia="en-GB"/>
          <w14:ligatures w14:val="none"/>
        </w:rPr>
        <w:t>favor</w:t>
      </w:r>
      <w:proofErr w:type="spellEnd"/>
      <w:r w:rsidRPr="00CE4535">
        <w:rPr>
          <w:rFonts w:ascii="Times New Roman" w:eastAsiaTheme="majorEastAsia" w:hAnsi="Times New Roman" w:cs="Times New Roman"/>
          <w:bCs/>
          <w:color w:val="000000" w:themeColor="text1"/>
          <w:kern w:val="0"/>
          <w:sz w:val="24"/>
          <w:szCs w:val="24"/>
          <w:lang w:eastAsia="en-GB"/>
          <w14:ligatures w14:val="none"/>
        </w:rPr>
        <w:t xml:space="preserve"> of reusable and biodegradable alternatives. The effectiveness of these physical measures will </w:t>
      </w:r>
      <w:r w:rsidRPr="00CE4535">
        <w:rPr>
          <w:rFonts w:ascii="Times New Roman" w:eastAsiaTheme="majorEastAsia" w:hAnsi="Times New Roman" w:cs="Times New Roman"/>
          <w:bCs/>
          <w:color w:val="000000" w:themeColor="text1"/>
          <w:kern w:val="0"/>
          <w:sz w:val="24"/>
          <w:szCs w:val="24"/>
          <w:lang w:eastAsia="en-GB"/>
          <w14:ligatures w14:val="none"/>
        </w:rPr>
        <w:lastRenderedPageBreak/>
        <w:t xml:space="preserve">be supplemented by a series of interactive sustainability workshops that educate and empower staff to identify further opportunities for reducing resource consumption, and by securing relationships with local growers, artisans, and vendors to provide food, amenities, and materials from suppliers that reflect the hotel’s commitment to environmentally- and socially-responsible practices. Taken together, these actions are expected to result in a reduction of utility costs by ten percent in eighteen months, enhanced brand appeal among eco-minded travellers, and the ability to obtain green certifications that will reinforce the hotel’s commitment to responsible tourism. In its third pillar, Experience-Driven Revenue Diversification, the plan seeks to take advantage of the growing interest in experiential travel by creating custom heritage packages that lead guests through the hotel’s history, architectural highlights, and local offerings, collaborating with the White Room’s Michelin-starred chefs and visiting guest culinarians to create exclusive dining events, and curating off-property experiences such as guided canal tours, craft workshops, and private museum access. These experiences will be promoted through a revamped loyalty program that utilizes data analytics to deliver personalized offers, rewards repeat guests, and encourage bookings during off-peak periods through incentives. Launch efforts will be sequenced by beginning with in-house events and working toward the creation of curated city-wide experiences, allowing the hotel to generate non-room revenue expected to increase by fifteen percent within the first operating cycle while also increasing guest loyalty and appeal to high-value segments. These initiatives will be supported by a governance and performance-management framework that includes a cross-functional steering committee made up of senior leadership, department heads, and employee representatives to oversee timelines, resource utilization, and risk mitigation, a set of key performance indicators including staff turnover rates, training completion rates, internal promotion frequencies, energy-use metrics, waste-diversion statistics, guest satisfaction scores, and incremental revenue from new experiences to enable real-time monitoring and adjustments, and quarterly business reviews to maintain transparency, celebrate achievements, and ensure stakeholder alignment. By investing in people, the environment, and experiences, </w:t>
      </w:r>
      <w:proofErr w:type="spellStart"/>
      <w:r w:rsidRPr="00CE4535">
        <w:rPr>
          <w:rFonts w:ascii="Times New Roman" w:eastAsiaTheme="majorEastAsia" w:hAnsi="Times New Roman" w:cs="Times New Roman"/>
          <w:bCs/>
          <w:color w:val="000000" w:themeColor="text1"/>
          <w:kern w:val="0"/>
          <w:sz w:val="24"/>
          <w:szCs w:val="24"/>
          <w:lang w:eastAsia="en-GB"/>
          <w14:ligatures w14:val="none"/>
        </w:rPr>
        <w:t>VistaCore</w:t>
      </w:r>
      <w:proofErr w:type="spellEnd"/>
      <w:r w:rsidRPr="00CE4535">
        <w:rPr>
          <w:rFonts w:ascii="Times New Roman" w:eastAsiaTheme="majorEastAsia" w:hAnsi="Times New Roman" w:cs="Times New Roman"/>
          <w:bCs/>
          <w:color w:val="000000" w:themeColor="text1"/>
          <w:kern w:val="0"/>
          <w:sz w:val="24"/>
          <w:szCs w:val="24"/>
          <w:lang w:eastAsia="en-GB"/>
          <w14:ligatures w14:val="none"/>
        </w:rPr>
        <w:t xml:space="preserve"> Strategy will position Anantara Grand Hotel </w:t>
      </w:r>
      <w:proofErr w:type="spellStart"/>
      <w:r w:rsidRPr="00CE4535">
        <w:rPr>
          <w:rFonts w:ascii="Times New Roman" w:eastAsiaTheme="majorEastAsia" w:hAnsi="Times New Roman" w:cs="Times New Roman"/>
          <w:bCs/>
          <w:color w:val="000000" w:themeColor="text1"/>
          <w:kern w:val="0"/>
          <w:sz w:val="24"/>
          <w:szCs w:val="24"/>
          <w:lang w:eastAsia="en-GB"/>
          <w14:ligatures w14:val="none"/>
        </w:rPr>
        <w:t>Krasnapolsky</w:t>
      </w:r>
      <w:proofErr w:type="spellEnd"/>
      <w:r w:rsidRPr="00CE4535">
        <w:rPr>
          <w:rFonts w:ascii="Times New Roman" w:eastAsiaTheme="majorEastAsia" w:hAnsi="Times New Roman" w:cs="Times New Roman"/>
          <w:bCs/>
          <w:color w:val="000000" w:themeColor="text1"/>
          <w:kern w:val="0"/>
          <w:sz w:val="24"/>
          <w:szCs w:val="24"/>
          <w:lang w:eastAsia="en-GB"/>
          <w14:ligatures w14:val="none"/>
        </w:rPr>
        <w:t xml:space="preserve"> Amsterdam not only to arrest the downward cycle of attrition and related recruitment costs but also to reinforce its position as a leader in sustainable, experiential luxury hospitality. Over time, these combined actions are expected to produce significant returns on investment through the reduction of costs, creation of a high-</w:t>
      </w:r>
      <w:r w:rsidRPr="00CE4535">
        <w:rPr>
          <w:rFonts w:ascii="Times New Roman" w:eastAsiaTheme="majorEastAsia" w:hAnsi="Times New Roman" w:cs="Times New Roman"/>
          <w:bCs/>
          <w:color w:val="000000" w:themeColor="text1"/>
          <w:kern w:val="0"/>
          <w:sz w:val="24"/>
          <w:szCs w:val="24"/>
          <w:lang w:eastAsia="en-GB"/>
          <w14:ligatures w14:val="none"/>
        </w:rPr>
        <w:lastRenderedPageBreak/>
        <w:t>performing workforce, and generation of new revenue opportunities while also preserving the hotel’s historical significance and driving it toward a future defined by operational excellence, environmental responsibility, and guest satisfaction.</w:t>
      </w:r>
    </w:p>
    <w:p w14:paraId="509421DB" w14:textId="77777777" w:rsidR="00CB27BB" w:rsidRDefault="00CB27BB" w:rsidP="00CB27BB">
      <w:pPr>
        <w:rPr>
          <w:lang w:eastAsia="en-GB"/>
        </w:rPr>
      </w:pPr>
    </w:p>
    <w:p w14:paraId="043E4605" w14:textId="77777777" w:rsidR="00CB27BB" w:rsidRDefault="00CB27BB" w:rsidP="00CB27BB">
      <w:pPr>
        <w:rPr>
          <w:lang w:eastAsia="en-GB"/>
        </w:rPr>
      </w:pPr>
    </w:p>
    <w:p w14:paraId="776EC29A" w14:textId="77777777" w:rsidR="00CB27BB" w:rsidRDefault="00CB27BB" w:rsidP="00CB27BB">
      <w:pPr>
        <w:rPr>
          <w:lang w:eastAsia="en-GB"/>
        </w:rPr>
      </w:pPr>
    </w:p>
    <w:p w14:paraId="1CCBC8BE" w14:textId="77777777" w:rsidR="00CB27BB" w:rsidRDefault="00CB27BB" w:rsidP="00CB27BB">
      <w:pPr>
        <w:rPr>
          <w:lang w:eastAsia="en-GB"/>
        </w:rPr>
      </w:pPr>
    </w:p>
    <w:p w14:paraId="5D75B676" w14:textId="77777777" w:rsidR="00CB27BB" w:rsidRDefault="00CB27BB" w:rsidP="00CB27BB">
      <w:pPr>
        <w:rPr>
          <w:lang w:eastAsia="en-GB"/>
        </w:rPr>
      </w:pPr>
    </w:p>
    <w:p w14:paraId="13AE9799" w14:textId="77777777" w:rsidR="00CB27BB" w:rsidRDefault="00CB27BB" w:rsidP="00CB27BB">
      <w:pPr>
        <w:rPr>
          <w:lang w:eastAsia="en-GB"/>
        </w:rPr>
      </w:pPr>
    </w:p>
    <w:p w14:paraId="42E66396" w14:textId="77777777" w:rsidR="00CB27BB" w:rsidRDefault="00CB27BB" w:rsidP="00CB27BB">
      <w:pPr>
        <w:rPr>
          <w:lang w:eastAsia="en-GB"/>
        </w:rPr>
      </w:pPr>
    </w:p>
    <w:p w14:paraId="3272B5C2" w14:textId="77777777" w:rsidR="00CB27BB" w:rsidRDefault="00CB27BB" w:rsidP="00CB27BB">
      <w:pPr>
        <w:rPr>
          <w:lang w:eastAsia="en-GB"/>
        </w:rPr>
      </w:pPr>
    </w:p>
    <w:p w14:paraId="0494C193" w14:textId="77777777" w:rsidR="00CB27BB" w:rsidRDefault="00CB27BB" w:rsidP="00CB27BB">
      <w:pPr>
        <w:rPr>
          <w:lang w:eastAsia="en-GB"/>
        </w:rPr>
      </w:pPr>
    </w:p>
    <w:p w14:paraId="0735357C" w14:textId="77777777" w:rsidR="00CB27BB" w:rsidRDefault="00CB27BB" w:rsidP="00CB27BB">
      <w:pPr>
        <w:rPr>
          <w:lang w:eastAsia="en-GB"/>
        </w:rPr>
      </w:pPr>
    </w:p>
    <w:p w14:paraId="170CE03B" w14:textId="77777777" w:rsidR="00CB27BB" w:rsidRDefault="00CB27BB" w:rsidP="00CB27BB">
      <w:pPr>
        <w:rPr>
          <w:lang w:eastAsia="en-GB"/>
        </w:rPr>
      </w:pPr>
    </w:p>
    <w:p w14:paraId="634A8CA7" w14:textId="77777777" w:rsidR="00CB27BB" w:rsidRDefault="00CB27BB" w:rsidP="00CB27BB">
      <w:pPr>
        <w:rPr>
          <w:lang w:eastAsia="en-GB"/>
        </w:rPr>
      </w:pPr>
    </w:p>
    <w:p w14:paraId="0E452804" w14:textId="77777777" w:rsidR="00CB27BB" w:rsidRDefault="00CB27BB" w:rsidP="00CB27BB">
      <w:pPr>
        <w:rPr>
          <w:lang w:eastAsia="en-GB"/>
        </w:rPr>
      </w:pPr>
    </w:p>
    <w:p w14:paraId="0554E6CA" w14:textId="77777777" w:rsidR="00CB27BB" w:rsidRDefault="00CB27BB" w:rsidP="00CB27BB">
      <w:pPr>
        <w:rPr>
          <w:lang w:eastAsia="en-GB"/>
        </w:rPr>
      </w:pPr>
    </w:p>
    <w:p w14:paraId="51AEBBFD" w14:textId="77777777" w:rsidR="00CB27BB" w:rsidRDefault="00CB27BB" w:rsidP="00CB27BB">
      <w:pPr>
        <w:rPr>
          <w:lang w:eastAsia="en-GB"/>
        </w:rPr>
      </w:pPr>
    </w:p>
    <w:p w14:paraId="307B1701" w14:textId="77777777" w:rsidR="00CB27BB" w:rsidRDefault="00CB27BB" w:rsidP="00CB27BB">
      <w:pPr>
        <w:rPr>
          <w:lang w:eastAsia="en-GB"/>
        </w:rPr>
      </w:pPr>
    </w:p>
    <w:p w14:paraId="75037BDB" w14:textId="77777777" w:rsidR="00CB27BB" w:rsidRDefault="00CB27BB" w:rsidP="00CB27BB">
      <w:pPr>
        <w:rPr>
          <w:lang w:eastAsia="en-GB"/>
        </w:rPr>
      </w:pPr>
    </w:p>
    <w:p w14:paraId="7BA22A24" w14:textId="77777777" w:rsidR="00CB27BB" w:rsidRDefault="00CB27BB" w:rsidP="00CB27BB">
      <w:pPr>
        <w:rPr>
          <w:lang w:eastAsia="en-GB"/>
        </w:rPr>
      </w:pPr>
    </w:p>
    <w:p w14:paraId="498A0FF9" w14:textId="77777777" w:rsidR="00CB27BB" w:rsidRDefault="00CB27BB" w:rsidP="00CB27BB">
      <w:pPr>
        <w:rPr>
          <w:lang w:eastAsia="en-GB"/>
        </w:rPr>
      </w:pPr>
    </w:p>
    <w:p w14:paraId="4C594383" w14:textId="77777777" w:rsidR="00CB27BB" w:rsidRDefault="00CB27BB" w:rsidP="00CB27BB">
      <w:pPr>
        <w:rPr>
          <w:lang w:eastAsia="en-GB"/>
        </w:rPr>
      </w:pPr>
    </w:p>
    <w:p w14:paraId="1C4B880F" w14:textId="77777777" w:rsidR="00CB27BB" w:rsidRDefault="00CB27BB" w:rsidP="00CB27BB">
      <w:pPr>
        <w:rPr>
          <w:lang w:eastAsia="en-GB"/>
        </w:rPr>
      </w:pPr>
    </w:p>
    <w:p w14:paraId="1DE07E00" w14:textId="77777777" w:rsidR="00CB27BB" w:rsidRDefault="00CB27BB" w:rsidP="00CB27BB">
      <w:pPr>
        <w:rPr>
          <w:lang w:eastAsia="en-GB"/>
        </w:rPr>
      </w:pPr>
    </w:p>
    <w:p w14:paraId="07435BBA" w14:textId="77777777" w:rsidR="00CB27BB" w:rsidRDefault="00CB27BB" w:rsidP="00CB27BB">
      <w:pPr>
        <w:rPr>
          <w:lang w:eastAsia="en-GB"/>
        </w:rPr>
      </w:pPr>
    </w:p>
    <w:p w14:paraId="51959932" w14:textId="77777777" w:rsidR="00CB27BB" w:rsidRDefault="00CB27BB" w:rsidP="00CB27BB">
      <w:pPr>
        <w:rPr>
          <w:lang w:eastAsia="en-GB"/>
        </w:rPr>
      </w:pPr>
    </w:p>
    <w:p w14:paraId="1DA8F403" w14:textId="77777777" w:rsidR="00CB27BB" w:rsidRDefault="00CB27BB" w:rsidP="00CB27BB">
      <w:pPr>
        <w:rPr>
          <w:lang w:eastAsia="en-GB"/>
        </w:rPr>
      </w:pPr>
    </w:p>
    <w:sdt>
      <w:sdtPr>
        <w:rPr>
          <w:rFonts w:asciiTheme="minorHAnsi" w:eastAsiaTheme="minorHAnsi" w:hAnsiTheme="minorHAnsi" w:cstheme="minorBidi"/>
          <w:color w:val="auto"/>
          <w:kern w:val="2"/>
          <w:sz w:val="22"/>
          <w:szCs w:val="22"/>
          <w:lang w:val="en-GB"/>
          <w14:ligatures w14:val="standardContextual"/>
        </w:rPr>
        <w:id w:val="499549294"/>
        <w:docPartObj>
          <w:docPartGallery w:val="Table of Contents"/>
          <w:docPartUnique/>
        </w:docPartObj>
      </w:sdtPr>
      <w:sdtEndPr>
        <w:rPr>
          <w:b/>
          <w:bCs/>
          <w:noProof/>
        </w:rPr>
      </w:sdtEndPr>
      <w:sdtContent>
        <w:p w14:paraId="6FFAF223" w14:textId="4DE96C0F" w:rsidR="00E45790" w:rsidRPr="00E45790" w:rsidRDefault="00E45790">
          <w:pPr>
            <w:pStyle w:val="TOCHeading"/>
            <w:rPr>
              <w:rFonts w:ascii="Times New Roman" w:hAnsi="Times New Roman" w:cs="Times New Roman"/>
              <w:color w:val="auto"/>
            </w:rPr>
          </w:pPr>
          <w:r w:rsidRPr="00E45790">
            <w:rPr>
              <w:rFonts w:ascii="Times New Roman" w:hAnsi="Times New Roman" w:cs="Times New Roman"/>
              <w:color w:val="auto"/>
            </w:rPr>
            <w:t>Table of Contents</w:t>
          </w:r>
        </w:p>
        <w:p w14:paraId="10376C8C" w14:textId="5299CAB6" w:rsidR="00E45790" w:rsidRPr="00E45790" w:rsidRDefault="00E45790">
          <w:pPr>
            <w:pStyle w:val="TOC1"/>
            <w:tabs>
              <w:tab w:val="right" w:leader="dot" w:pos="9016"/>
            </w:tabs>
            <w:rPr>
              <w:rFonts w:ascii="Times New Roman" w:hAnsi="Times New Roman" w:cs="Times New Roman"/>
              <w:noProof/>
            </w:rPr>
          </w:pPr>
          <w:r w:rsidRPr="00E45790">
            <w:rPr>
              <w:rFonts w:ascii="Times New Roman" w:hAnsi="Times New Roman" w:cs="Times New Roman"/>
            </w:rPr>
            <w:fldChar w:fldCharType="begin"/>
          </w:r>
          <w:r w:rsidRPr="00E45790">
            <w:rPr>
              <w:rFonts w:ascii="Times New Roman" w:hAnsi="Times New Roman" w:cs="Times New Roman"/>
            </w:rPr>
            <w:instrText xml:space="preserve"> TOC \o "1-3" \h \z \u </w:instrText>
          </w:r>
          <w:r w:rsidRPr="00E45790">
            <w:rPr>
              <w:rFonts w:ascii="Times New Roman" w:hAnsi="Times New Roman" w:cs="Times New Roman"/>
            </w:rPr>
            <w:fldChar w:fldCharType="separate"/>
          </w:r>
          <w:hyperlink w:anchor="_Toc201353356" w:history="1">
            <w:r w:rsidRPr="00E45790">
              <w:rPr>
                <w:rStyle w:val="Hyperlink"/>
                <w:rFonts w:ascii="Times New Roman" w:hAnsi="Times New Roman" w:cs="Times New Roman"/>
                <w:noProof/>
                <w:color w:val="auto"/>
              </w:rPr>
              <w:t>Executive summary</w:t>
            </w:r>
            <w:r w:rsidRPr="00E45790">
              <w:rPr>
                <w:rFonts w:ascii="Times New Roman" w:hAnsi="Times New Roman" w:cs="Times New Roman"/>
                <w:noProof/>
                <w:webHidden/>
              </w:rPr>
              <w:tab/>
            </w:r>
            <w:r w:rsidRPr="00E45790">
              <w:rPr>
                <w:rFonts w:ascii="Times New Roman" w:hAnsi="Times New Roman" w:cs="Times New Roman"/>
                <w:noProof/>
                <w:webHidden/>
              </w:rPr>
              <w:fldChar w:fldCharType="begin"/>
            </w:r>
            <w:r w:rsidRPr="00E45790">
              <w:rPr>
                <w:rFonts w:ascii="Times New Roman" w:hAnsi="Times New Roman" w:cs="Times New Roman"/>
                <w:noProof/>
                <w:webHidden/>
              </w:rPr>
              <w:instrText xml:space="preserve"> PAGEREF _Toc201353356 \h </w:instrText>
            </w:r>
            <w:r w:rsidRPr="00E45790">
              <w:rPr>
                <w:rFonts w:ascii="Times New Roman" w:hAnsi="Times New Roman" w:cs="Times New Roman"/>
                <w:noProof/>
                <w:webHidden/>
              </w:rPr>
            </w:r>
            <w:r w:rsidRPr="00E45790">
              <w:rPr>
                <w:rFonts w:ascii="Times New Roman" w:hAnsi="Times New Roman" w:cs="Times New Roman"/>
                <w:noProof/>
                <w:webHidden/>
              </w:rPr>
              <w:fldChar w:fldCharType="separate"/>
            </w:r>
            <w:r>
              <w:rPr>
                <w:rFonts w:ascii="Times New Roman" w:hAnsi="Times New Roman" w:cs="Times New Roman"/>
                <w:noProof/>
                <w:webHidden/>
              </w:rPr>
              <w:t>3</w:t>
            </w:r>
            <w:r w:rsidRPr="00E45790">
              <w:rPr>
                <w:rFonts w:ascii="Times New Roman" w:hAnsi="Times New Roman" w:cs="Times New Roman"/>
                <w:noProof/>
                <w:webHidden/>
              </w:rPr>
              <w:fldChar w:fldCharType="end"/>
            </w:r>
          </w:hyperlink>
        </w:p>
        <w:p w14:paraId="394BFBB8" w14:textId="07772EBB" w:rsidR="00E45790" w:rsidRPr="00E45790" w:rsidRDefault="00E45790">
          <w:pPr>
            <w:pStyle w:val="TOC1"/>
            <w:tabs>
              <w:tab w:val="left" w:pos="480"/>
              <w:tab w:val="right" w:leader="dot" w:pos="9016"/>
            </w:tabs>
            <w:rPr>
              <w:rFonts w:ascii="Times New Roman" w:hAnsi="Times New Roman" w:cs="Times New Roman"/>
              <w:noProof/>
            </w:rPr>
          </w:pPr>
          <w:hyperlink w:anchor="_Toc201353357" w:history="1">
            <w:r w:rsidRPr="00E45790">
              <w:rPr>
                <w:rStyle w:val="Hyperlink"/>
                <w:rFonts w:ascii="Times New Roman" w:hAnsi="Times New Roman" w:cs="Times New Roman"/>
                <w:noProof/>
                <w:color w:val="auto"/>
              </w:rPr>
              <w:t>1.</w:t>
            </w:r>
            <w:r w:rsidRPr="00E45790">
              <w:rPr>
                <w:rFonts w:ascii="Times New Roman" w:hAnsi="Times New Roman" w:cs="Times New Roman"/>
                <w:noProof/>
              </w:rPr>
              <w:tab/>
            </w:r>
            <w:r w:rsidRPr="00E45790">
              <w:rPr>
                <w:rStyle w:val="Hyperlink"/>
                <w:rFonts w:ascii="Times New Roman" w:hAnsi="Times New Roman" w:cs="Times New Roman"/>
                <w:noProof/>
                <w:color w:val="auto"/>
              </w:rPr>
              <w:t>Introduction</w:t>
            </w:r>
            <w:r w:rsidRPr="00E45790">
              <w:rPr>
                <w:rFonts w:ascii="Times New Roman" w:hAnsi="Times New Roman" w:cs="Times New Roman"/>
                <w:noProof/>
                <w:webHidden/>
              </w:rPr>
              <w:tab/>
            </w:r>
            <w:r w:rsidRPr="00E45790">
              <w:rPr>
                <w:rFonts w:ascii="Times New Roman" w:hAnsi="Times New Roman" w:cs="Times New Roman"/>
                <w:noProof/>
                <w:webHidden/>
              </w:rPr>
              <w:fldChar w:fldCharType="begin"/>
            </w:r>
            <w:r w:rsidRPr="00E45790">
              <w:rPr>
                <w:rFonts w:ascii="Times New Roman" w:hAnsi="Times New Roman" w:cs="Times New Roman"/>
                <w:noProof/>
                <w:webHidden/>
              </w:rPr>
              <w:instrText xml:space="preserve"> PAGEREF _Toc201353357 \h </w:instrText>
            </w:r>
            <w:r w:rsidRPr="00E45790">
              <w:rPr>
                <w:rFonts w:ascii="Times New Roman" w:hAnsi="Times New Roman" w:cs="Times New Roman"/>
                <w:noProof/>
                <w:webHidden/>
              </w:rPr>
            </w:r>
            <w:r w:rsidRPr="00E45790">
              <w:rPr>
                <w:rFonts w:ascii="Times New Roman" w:hAnsi="Times New Roman" w:cs="Times New Roman"/>
                <w:noProof/>
                <w:webHidden/>
              </w:rPr>
              <w:fldChar w:fldCharType="separate"/>
            </w:r>
            <w:r>
              <w:rPr>
                <w:rFonts w:ascii="Times New Roman" w:hAnsi="Times New Roman" w:cs="Times New Roman"/>
                <w:noProof/>
                <w:webHidden/>
              </w:rPr>
              <w:t>7</w:t>
            </w:r>
            <w:r w:rsidRPr="00E45790">
              <w:rPr>
                <w:rFonts w:ascii="Times New Roman" w:hAnsi="Times New Roman" w:cs="Times New Roman"/>
                <w:noProof/>
                <w:webHidden/>
              </w:rPr>
              <w:fldChar w:fldCharType="end"/>
            </w:r>
          </w:hyperlink>
        </w:p>
        <w:p w14:paraId="330498E9" w14:textId="32D23F31" w:rsidR="00E45790" w:rsidRPr="00E45790" w:rsidRDefault="00E45790">
          <w:pPr>
            <w:pStyle w:val="TOC1"/>
            <w:tabs>
              <w:tab w:val="left" w:pos="480"/>
              <w:tab w:val="right" w:leader="dot" w:pos="9016"/>
            </w:tabs>
            <w:rPr>
              <w:rFonts w:ascii="Times New Roman" w:hAnsi="Times New Roman" w:cs="Times New Roman"/>
              <w:noProof/>
            </w:rPr>
          </w:pPr>
          <w:hyperlink w:anchor="_Toc201353358" w:history="1">
            <w:r w:rsidRPr="00E45790">
              <w:rPr>
                <w:rStyle w:val="Hyperlink"/>
                <w:rFonts w:ascii="Times New Roman" w:hAnsi="Times New Roman" w:cs="Times New Roman"/>
                <w:noProof/>
                <w:color w:val="auto"/>
              </w:rPr>
              <w:t>2.</w:t>
            </w:r>
            <w:r w:rsidRPr="00E45790">
              <w:rPr>
                <w:rFonts w:ascii="Times New Roman" w:hAnsi="Times New Roman" w:cs="Times New Roman"/>
                <w:noProof/>
              </w:rPr>
              <w:tab/>
            </w:r>
            <w:r w:rsidRPr="00E45790">
              <w:rPr>
                <w:rStyle w:val="Hyperlink"/>
                <w:rFonts w:ascii="Times New Roman" w:hAnsi="Times New Roman" w:cs="Times New Roman"/>
                <w:noProof/>
                <w:color w:val="auto"/>
              </w:rPr>
              <w:t>Analysis of the hotel</w:t>
            </w:r>
            <w:r w:rsidRPr="00E45790">
              <w:rPr>
                <w:rFonts w:ascii="Times New Roman" w:hAnsi="Times New Roman" w:cs="Times New Roman"/>
                <w:noProof/>
                <w:webHidden/>
              </w:rPr>
              <w:tab/>
            </w:r>
            <w:r w:rsidRPr="00E45790">
              <w:rPr>
                <w:rFonts w:ascii="Times New Roman" w:hAnsi="Times New Roman" w:cs="Times New Roman"/>
                <w:noProof/>
                <w:webHidden/>
              </w:rPr>
              <w:fldChar w:fldCharType="begin"/>
            </w:r>
            <w:r w:rsidRPr="00E45790">
              <w:rPr>
                <w:rFonts w:ascii="Times New Roman" w:hAnsi="Times New Roman" w:cs="Times New Roman"/>
                <w:noProof/>
                <w:webHidden/>
              </w:rPr>
              <w:instrText xml:space="preserve"> PAGEREF _Toc201353358 \h </w:instrText>
            </w:r>
            <w:r w:rsidRPr="00E45790">
              <w:rPr>
                <w:rFonts w:ascii="Times New Roman" w:hAnsi="Times New Roman" w:cs="Times New Roman"/>
                <w:noProof/>
                <w:webHidden/>
              </w:rPr>
            </w:r>
            <w:r w:rsidRPr="00E45790">
              <w:rPr>
                <w:rFonts w:ascii="Times New Roman" w:hAnsi="Times New Roman" w:cs="Times New Roman"/>
                <w:noProof/>
                <w:webHidden/>
              </w:rPr>
              <w:fldChar w:fldCharType="separate"/>
            </w:r>
            <w:r>
              <w:rPr>
                <w:rFonts w:ascii="Times New Roman" w:hAnsi="Times New Roman" w:cs="Times New Roman"/>
                <w:noProof/>
                <w:webHidden/>
              </w:rPr>
              <w:t>8</w:t>
            </w:r>
            <w:r w:rsidRPr="00E45790">
              <w:rPr>
                <w:rFonts w:ascii="Times New Roman" w:hAnsi="Times New Roman" w:cs="Times New Roman"/>
                <w:noProof/>
                <w:webHidden/>
              </w:rPr>
              <w:fldChar w:fldCharType="end"/>
            </w:r>
          </w:hyperlink>
        </w:p>
        <w:p w14:paraId="526AFF08" w14:textId="11ADFC60" w:rsidR="00E45790" w:rsidRPr="00E45790" w:rsidRDefault="00E45790">
          <w:pPr>
            <w:pStyle w:val="TOC1"/>
            <w:tabs>
              <w:tab w:val="right" w:leader="dot" w:pos="9016"/>
            </w:tabs>
            <w:rPr>
              <w:rFonts w:ascii="Times New Roman" w:hAnsi="Times New Roman" w:cs="Times New Roman"/>
              <w:noProof/>
            </w:rPr>
          </w:pPr>
          <w:hyperlink w:anchor="_Toc201353359" w:history="1">
            <w:r w:rsidRPr="00E45790">
              <w:rPr>
                <w:rStyle w:val="Hyperlink"/>
                <w:rFonts w:ascii="Times New Roman" w:hAnsi="Times New Roman" w:cs="Times New Roman"/>
                <w:noProof/>
                <w:color w:val="auto"/>
              </w:rPr>
              <w:t>SWOT</w:t>
            </w:r>
            <w:r w:rsidRPr="00E45790">
              <w:rPr>
                <w:rFonts w:ascii="Times New Roman" w:hAnsi="Times New Roman" w:cs="Times New Roman"/>
                <w:noProof/>
                <w:webHidden/>
              </w:rPr>
              <w:tab/>
            </w:r>
            <w:r w:rsidRPr="00E45790">
              <w:rPr>
                <w:rFonts w:ascii="Times New Roman" w:hAnsi="Times New Roman" w:cs="Times New Roman"/>
                <w:noProof/>
                <w:webHidden/>
              </w:rPr>
              <w:fldChar w:fldCharType="begin"/>
            </w:r>
            <w:r w:rsidRPr="00E45790">
              <w:rPr>
                <w:rFonts w:ascii="Times New Roman" w:hAnsi="Times New Roman" w:cs="Times New Roman"/>
                <w:noProof/>
                <w:webHidden/>
              </w:rPr>
              <w:instrText xml:space="preserve"> PAGEREF _Toc201353359 \h </w:instrText>
            </w:r>
            <w:r w:rsidRPr="00E45790">
              <w:rPr>
                <w:rFonts w:ascii="Times New Roman" w:hAnsi="Times New Roman" w:cs="Times New Roman"/>
                <w:noProof/>
                <w:webHidden/>
              </w:rPr>
            </w:r>
            <w:r w:rsidRPr="00E45790">
              <w:rPr>
                <w:rFonts w:ascii="Times New Roman" w:hAnsi="Times New Roman" w:cs="Times New Roman"/>
                <w:noProof/>
                <w:webHidden/>
              </w:rPr>
              <w:fldChar w:fldCharType="separate"/>
            </w:r>
            <w:r>
              <w:rPr>
                <w:rFonts w:ascii="Times New Roman" w:hAnsi="Times New Roman" w:cs="Times New Roman"/>
                <w:noProof/>
                <w:webHidden/>
              </w:rPr>
              <w:t>9</w:t>
            </w:r>
            <w:r w:rsidRPr="00E45790">
              <w:rPr>
                <w:rFonts w:ascii="Times New Roman" w:hAnsi="Times New Roman" w:cs="Times New Roman"/>
                <w:noProof/>
                <w:webHidden/>
              </w:rPr>
              <w:fldChar w:fldCharType="end"/>
            </w:r>
          </w:hyperlink>
        </w:p>
        <w:p w14:paraId="6DC6AE52" w14:textId="54E72552" w:rsidR="00E45790" w:rsidRPr="00E45790" w:rsidRDefault="00E45790">
          <w:pPr>
            <w:pStyle w:val="TOC1"/>
            <w:tabs>
              <w:tab w:val="right" w:leader="dot" w:pos="9016"/>
            </w:tabs>
            <w:rPr>
              <w:rFonts w:ascii="Times New Roman" w:hAnsi="Times New Roman" w:cs="Times New Roman"/>
              <w:noProof/>
            </w:rPr>
          </w:pPr>
          <w:hyperlink w:anchor="_Toc201353360" w:history="1">
            <w:r w:rsidRPr="00E45790">
              <w:rPr>
                <w:rStyle w:val="Hyperlink"/>
                <w:rFonts w:ascii="Times New Roman" w:hAnsi="Times New Roman" w:cs="Times New Roman"/>
                <w:noProof/>
                <w:color w:val="auto"/>
              </w:rPr>
              <w:t>STEEPLE</w:t>
            </w:r>
            <w:r w:rsidRPr="00E45790">
              <w:rPr>
                <w:rFonts w:ascii="Times New Roman" w:hAnsi="Times New Roman" w:cs="Times New Roman"/>
                <w:noProof/>
                <w:webHidden/>
              </w:rPr>
              <w:tab/>
            </w:r>
            <w:r w:rsidRPr="00E45790">
              <w:rPr>
                <w:rFonts w:ascii="Times New Roman" w:hAnsi="Times New Roman" w:cs="Times New Roman"/>
                <w:noProof/>
                <w:webHidden/>
              </w:rPr>
              <w:fldChar w:fldCharType="begin"/>
            </w:r>
            <w:r w:rsidRPr="00E45790">
              <w:rPr>
                <w:rFonts w:ascii="Times New Roman" w:hAnsi="Times New Roman" w:cs="Times New Roman"/>
                <w:noProof/>
                <w:webHidden/>
              </w:rPr>
              <w:instrText xml:space="preserve"> PAGEREF _Toc201353360 \h </w:instrText>
            </w:r>
            <w:r w:rsidRPr="00E45790">
              <w:rPr>
                <w:rFonts w:ascii="Times New Roman" w:hAnsi="Times New Roman" w:cs="Times New Roman"/>
                <w:noProof/>
                <w:webHidden/>
              </w:rPr>
            </w:r>
            <w:r w:rsidRPr="00E45790">
              <w:rPr>
                <w:rFonts w:ascii="Times New Roman" w:hAnsi="Times New Roman" w:cs="Times New Roman"/>
                <w:noProof/>
                <w:webHidden/>
              </w:rPr>
              <w:fldChar w:fldCharType="separate"/>
            </w:r>
            <w:r>
              <w:rPr>
                <w:rFonts w:ascii="Times New Roman" w:hAnsi="Times New Roman" w:cs="Times New Roman"/>
                <w:noProof/>
                <w:webHidden/>
              </w:rPr>
              <w:t>10</w:t>
            </w:r>
            <w:r w:rsidRPr="00E45790">
              <w:rPr>
                <w:rFonts w:ascii="Times New Roman" w:hAnsi="Times New Roman" w:cs="Times New Roman"/>
                <w:noProof/>
                <w:webHidden/>
              </w:rPr>
              <w:fldChar w:fldCharType="end"/>
            </w:r>
          </w:hyperlink>
        </w:p>
        <w:p w14:paraId="7A1A6683" w14:textId="18909E4F" w:rsidR="00E45790" w:rsidRPr="00E45790" w:rsidRDefault="00E45790">
          <w:pPr>
            <w:pStyle w:val="TOC1"/>
            <w:tabs>
              <w:tab w:val="right" w:leader="dot" w:pos="9016"/>
            </w:tabs>
            <w:rPr>
              <w:rFonts w:ascii="Times New Roman" w:hAnsi="Times New Roman" w:cs="Times New Roman"/>
              <w:noProof/>
            </w:rPr>
          </w:pPr>
          <w:hyperlink w:anchor="_Toc201353361" w:history="1">
            <w:r w:rsidRPr="00E45790">
              <w:rPr>
                <w:rStyle w:val="Hyperlink"/>
                <w:rFonts w:ascii="Times New Roman" w:hAnsi="Times New Roman" w:cs="Times New Roman"/>
                <w:noProof/>
                <w:color w:val="auto"/>
              </w:rPr>
              <w:t>TOWS Analysis</w:t>
            </w:r>
            <w:r w:rsidRPr="00E45790">
              <w:rPr>
                <w:rFonts w:ascii="Times New Roman" w:hAnsi="Times New Roman" w:cs="Times New Roman"/>
                <w:noProof/>
                <w:webHidden/>
              </w:rPr>
              <w:tab/>
            </w:r>
            <w:r w:rsidRPr="00E45790">
              <w:rPr>
                <w:rFonts w:ascii="Times New Roman" w:hAnsi="Times New Roman" w:cs="Times New Roman"/>
                <w:noProof/>
                <w:webHidden/>
              </w:rPr>
              <w:fldChar w:fldCharType="begin"/>
            </w:r>
            <w:r w:rsidRPr="00E45790">
              <w:rPr>
                <w:rFonts w:ascii="Times New Roman" w:hAnsi="Times New Roman" w:cs="Times New Roman"/>
                <w:noProof/>
                <w:webHidden/>
              </w:rPr>
              <w:instrText xml:space="preserve"> PAGEREF _Toc201353361 \h </w:instrText>
            </w:r>
            <w:r w:rsidRPr="00E45790">
              <w:rPr>
                <w:rFonts w:ascii="Times New Roman" w:hAnsi="Times New Roman" w:cs="Times New Roman"/>
                <w:noProof/>
                <w:webHidden/>
              </w:rPr>
            </w:r>
            <w:r w:rsidRPr="00E45790">
              <w:rPr>
                <w:rFonts w:ascii="Times New Roman" w:hAnsi="Times New Roman" w:cs="Times New Roman"/>
                <w:noProof/>
                <w:webHidden/>
              </w:rPr>
              <w:fldChar w:fldCharType="separate"/>
            </w:r>
            <w:r>
              <w:rPr>
                <w:rFonts w:ascii="Times New Roman" w:hAnsi="Times New Roman" w:cs="Times New Roman"/>
                <w:noProof/>
                <w:webHidden/>
              </w:rPr>
              <w:t>13</w:t>
            </w:r>
            <w:r w:rsidRPr="00E45790">
              <w:rPr>
                <w:rFonts w:ascii="Times New Roman" w:hAnsi="Times New Roman" w:cs="Times New Roman"/>
                <w:noProof/>
                <w:webHidden/>
              </w:rPr>
              <w:fldChar w:fldCharType="end"/>
            </w:r>
          </w:hyperlink>
        </w:p>
        <w:p w14:paraId="61DBB0FD" w14:textId="0C042DF9" w:rsidR="00E45790" w:rsidRPr="00E45790" w:rsidRDefault="00E45790">
          <w:pPr>
            <w:pStyle w:val="TOC1"/>
            <w:tabs>
              <w:tab w:val="left" w:pos="480"/>
              <w:tab w:val="right" w:leader="dot" w:pos="9016"/>
            </w:tabs>
            <w:rPr>
              <w:rFonts w:ascii="Times New Roman" w:hAnsi="Times New Roman" w:cs="Times New Roman"/>
              <w:noProof/>
            </w:rPr>
          </w:pPr>
          <w:hyperlink w:anchor="_Toc201353362" w:history="1">
            <w:r w:rsidRPr="00E45790">
              <w:rPr>
                <w:rStyle w:val="Hyperlink"/>
                <w:rFonts w:ascii="Times New Roman" w:hAnsi="Times New Roman" w:cs="Times New Roman"/>
                <w:noProof/>
                <w:color w:val="auto"/>
              </w:rPr>
              <w:t>3.</w:t>
            </w:r>
            <w:r w:rsidRPr="00E45790">
              <w:rPr>
                <w:rFonts w:ascii="Times New Roman" w:hAnsi="Times New Roman" w:cs="Times New Roman"/>
                <w:noProof/>
              </w:rPr>
              <w:tab/>
            </w:r>
            <w:r w:rsidRPr="00E45790">
              <w:rPr>
                <w:rStyle w:val="Hyperlink"/>
                <w:rFonts w:ascii="Times New Roman" w:hAnsi="Times New Roman" w:cs="Times New Roman"/>
                <w:noProof/>
                <w:color w:val="auto"/>
              </w:rPr>
              <w:t>Recommendations</w:t>
            </w:r>
            <w:r w:rsidRPr="00E45790">
              <w:rPr>
                <w:rFonts w:ascii="Times New Roman" w:hAnsi="Times New Roman" w:cs="Times New Roman"/>
                <w:noProof/>
                <w:webHidden/>
              </w:rPr>
              <w:tab/>
            </w:r>
            <w:r w:rsidRPr="00E45790">
              <w:rPr>
                <w:rFonts w:ascii="Times New Roman" w:hAnsi="Times New Roman" w:cs="Times New Roman"/>
                <w:noProof/>
                <w:webHidden/>
              </w:rPr>
              <w:fldChar w:fldCharType="begin"/>
            </w:r>
            <w:r w:rsidRPr="00E45790">
              <w:rPr>
                <w:rFonts w:ascii="Times New Roman" w:hAnsi="Times New Roman" w:cs="Times New Roman"/>
                <w:noProof/>
                <w:webHidden/>
              </w:rPr>
              <w:instrText xml:space="preserve"> PAGEREF _Toc201353362 \h </w:instrText>
            </w:r>
            <w:r w:rsidRPr="00E45790">
              <w:rPr>
                <w:rFonts w:ascii="Times New Roman" w:hAnsi="Times New Roman" w:cs="Times New Roman"/>
                <w:noProof/>
                <w:webHidden/>
              </w:rPr>
            </w:r>
            <w:r w:rsidRPr="00E45790">
              <w:rPr>
                <w:rFonts w:ascii="Times New Roman" w:hAnsi="Times New Roman" w:cs="Times New Roman"/>
                <w:noProof/>
                <w:webHidden/>
              </w:rPr>
              <w:fldChar w:fldCharType="separate"/>
            </w:r>
            <w:r>
              <w:rPr>
                <w:rFonts w:ascii="Times New Roman" w:hAnsi="Times New Roman" w:cs="Times New Roman"/>
                <w:noProof/>
                <w:webHidden/>
              </w:rPr>
              <w:t>14</w:t>
            </w:r>
            <w:r w:rsidRPr="00E45790">
              <w:rPr>
                <w:rFonts w:ascii="Times New Roman" w:hAnsi="Times New Roman" w:cs="Times New Roman"/>
                <w:noProof/>
                <w:webHidden/>
              </w:rPr>
              <w:fldChar w:fldCharType="end"/>
            </w:r>
          </w:hyperlink>
        </w:p>
        <w:p w14:paraId="4421CE6C" w14:textId="02B532D3" w:rsidR="00E45790" w:rsidRPr="00E45790" w:rsidRDefault="00E45790">
          <w:pPr>
            <w:pStyle w:val="TOC1"/>
            <w:tabs>
              <w:tab w:val="left" w:pos="480"/>
              <w:tab w:val="right" w:leader="dot" w:pos="9016"/>
            </w:tabs>
            <w:rPr>
              <w:rFonts w:ascii="Times New Roman" w:hAnsi="Times New Roman" w:cs="Times New Roman"/>
              <w:noProof/>
            </w:rPr>
          </w:pPr>
          <w:hyperlink w:anchor="_Toc201353363" w:history="1">
            <w:r w:rsidRPr="00E45790">
              <w:rPr>
                <w:rStyle w:val="Hyperlink"/>
                <w:rFonts w:ascii="Times New Roman" w:hAnsi="Times New Roman" w:cs="Times New Roman"/>
                <w:noProof/>
                <w:color w:val="auto"/>
              </w:rPr>
              <w:t>4.</w:t>
            </w:r>
            <w:r w:rsidRPr="00E45790">
              <w:rPr>
                <w:rFonts w:ascii="Times New Roman" w:hAnsi="Times New Roman" w:cs="Times New Roman"/>
                <w:noProof/>
              </w:rPr>
              <w:tab/>
            </w:r>
            <w:r w:rsidRPr="00E45790">
              <w:rPr>
                <w:rStyle w:val="Hyperlink"/>
                <w:rFonts w:ascii="Times New Roman" w:hAnsi="Times New Roman" w:cs="Times New Roman"/>
                <w:noProof/>
                <w:color w:val="auto"/>
              </w:rPr>
              <w:t>Conclusion</w:t>
            </w:r>
            <w:r w:rsidRPr="00E45790">
              <w:rPr>
                <w:rFonts w:ascii="Times New Roman" w:hAnsi="Times New Roman" w:cs="Times New Roman"/>
                <w:noProof/>
                <w:webHidden/>
              </w:rPr>
              <w:tab/>
            </w:r>
            <w:r w:rsidRPr="00E45790">
              <w:rPr>
                <w:rFonts w:ascii="Times New Roman" w:hAnsi="Times New Roman" w:cs="Times New Roman"/>
                <w:noProof/>
                <w:webHidden/>
              </w:rPr>
              <w:fldChar w:fldCharType="begin"/>
            </w:r>
            <w:r w:rsidRPr="00E45790">
              <w:rPr>
                <w:rFonts w:ascii="Times New Roman" w:hAnsi="Times New Roman" w:cs="Times New Roman"/>
                <w:noProof/>
                <w:webHidden/>
              </w:rPr>
              <w:instrText xml:space="preserve"> PAGEREF _Toc201353363 \h </w:instrText>
            </w:r>
            <w:r w:rsidRPr="00E45790">
              <w:rPr>
                <w:rFonts w:ascii="Times New Roman" w:hAnsi="Times New Roman" w:cs="Times New Roman"/>
                <w:noProof/>
                <w:webHidden/>
              </w:rPr>
            </w:r>
            <w:r w:rsidRPr="00E45790">
              <w:rPr>
                <w:rFonts w:ascii="Times New Roman" w:hAnsi="Times New Roman" w:cs="Times New Roman"/>
                <w:noProof/>
                <w:webHidden/>
              </w:rPr>
              <w:fldChar w:fldCharType="separate"/>
            </w:r>
            <w:r>
              <w:rPr>
                <w:rFonts w:ascii="Times New Roman" w:hAnsi="Times New Roman" w:cs="Times New Roman"/>
                <w:noProof/>
                <w:webHidden/>
              </w:rPr>
              <w:t>19</w:t>
            </w:r>
            <w:r w:rsidRPr="00E45790">
              <w:rPr>
                <w:rFonts w:ascii="Times New Roman" w:hAnsi="Times New Roman" w:cs="Times New Roman"/>
                <w:noProof/>
                <w:webHidden/>
              </w:rPr>
              <w:fldChar w:fldCharType="end"/>
            </w:r>
          </w:hyperlink>
        </w:p>
        <w:p w14:paraId="5FF8F061" w14:textId="4285CFAA" w:rsidR="00E45790" w:rsidRPr="00E45790" w:rsidRDefault="00E45790">
          <w:pPr>
            <w:pStyle w:val="TOC1"/>
            <w:tabs>
              <w:tab w:val="left" w:pos="480"/>
              <w:tab w:val="right" w:leader="dot" w:pos="9016"/>
            </w:tabs>
            <w:rPr>
              <w:rFonts w:ascii="Times New Roman" w:hAnsi="Times New Roman" w:cs="Times New Roman"/>
              <w:noProof/>
            </w:rPr>
          </w:pPr>
          <w:hyperlink w:anchor="_Toc201353364" w:history="1">
            <w:r w:rsidRPr="00E45790">
              <w:rPr>
                <w:rStyle w:val="Hyperlink"/>
                <w:rFonts w:ascii="Times New Roman" w:hAnsi="Times New Roman" w:cs="Times New Roman"/>
                <w:noProof/>
                <w:color w:val="auto"/>
              </w:rPr>
              <w:t>5.</w:t>
            </w:r>
            <w:r w:rsidRPr="00E45790">
              <w:rPr>
                <w:rFonts w:ascii="Times New Roman" w:hAnsi="Times New Roman" w:cs="Times New Roman"/>
                <w:noProof/>
              </w:rPr>
              <w:tab/>
            </w:r>
            <w:r w:rsidRPr="00E45790">
              <w:rPr>
                <w:rStyle w:val="Hyperlink"/>
                <w:rFonts w:ascii="Times New Roman" w:hAnsi="Times New Roman" w:cs="Times New Roman"/>
                <w:noProof/>
                <w:color w:val="auto"/>
              </w:rPr>
              <w:t>Action Plan</w:t>
            </w:r>
            <w:r w:rsidRPr="00E45790">
              <w:rPr>
                <w:rFonts w:ascii="Times New Roman" w:hAnsi="Times New Roman" w:cs="Times New Roman"/>
                <w:noProof/>
                <w:webHidden/>
              </w:rPr>
              <w:tab/>
            </w:r>
            <w:r w:rsidRPr="00E45790">
              <w:rPr>
                <w:rFonts w:ascii="Times New Roman" w:hAnsi="Times New Roman" w:cs="Times New Roman"/>
                <w:noProof/>
                <w:webHidden/>
              </w:rPr>
              <w:fldChar w:fldCharType="begin"/>
            </w:r>
            <w:r w:rsidRPr="00E45790">
              <w:rPr>
                <w:rFonts w:ascii="Times New Roman" w:hAnsi="Times New Roman" w:cs="Times New Roman"/>
                <w:noProof/>
                <w:webHidden/>
              </w:rPr>
              <w:instrText xml:space="preserve"> PAGEREF _Toc201353364 \h </w:instrText>
            </w:r>
            <w:r w:rsidRPr="00E45790">
              <w:rPr>
                <w:rFonts w:ascii="Times New Roman" w:hAnsi="Times New Roman" w:cs="Times New Roman"/>
                <w:noProof/>
                <w:webHidden/>
              </w:rPr>
            </w:r>
            <w:r w:rsidRPr="00E45790">
              <w:rPr>
                <w:rFonts w:ascii="Times New Roman" w:hAnsi="Times New Roman" w:cs="Times New Roman"/>
                <w:noProof/>
                <w:webHidden/>
              </w:rPr>
              <w:fldChar w:fldCharType="separate"/>
            </w:r>
            <w:r>
              <w:rPr>
                <w:rFonts w:ascii="Times New Roman" w:hAnsi="Times New Roman" w:cs="Times New Roman"/>
                <w:noProof/>
                <w:webHidden/>
              </w:rPr>
              <w:t>20</w:t>
            </w:r>
            <w:r w:rsidRPr="00E45790">
              <w:rPr>
                <w:rFonts w:ascii="Times New Roman" w:hAnsi="Times New Roman" w:cs="Times New Roman"/>
                <w:noProof/>
                <w:webHidden/>
              </w:rPr>
              <w:fldChar w:fldCharType="end"/>
            </w:r>
          </w:hyperlink>
        </w:p>
        <w:p w14:paraId="6C2AAFB3" w14:textId="1BE8C86A" w:rsidR="00E45790" w:rsidRPr="00E45790" w:rsidRDefault="00E45790">
          <w:pPr>
            <w:pStyle w:val="TOC1"/>
            <w:tabs>
              <w:tab w:val="right" w:leader="dot" w:pos="9016"/>
            </w:tabs>
            <w:rPr>
              <w:rFonts w:ascii="Times New Roman" w:hAnsi="Times New Roman" w:cs="Times New Roman"/>
              <w:noProof/>
            </w:rPr>
          </w:pPr>
          <w:hyperlink w:anchor="_Toc201353365" w:history="1">
            <w:r w:rsidRPr="00E45790">
              <w:rPr>
                <w:rStyle w:val="Hyperlink"/>
                <w:rFonts w:ascii="Times New Roman" w:hAnsi="Times New Roman" w:cs="Times New Roman"/>
                <w:noProof/>
                <w:color w:val="auto"/>
              </w:rPr>
              <w:t>References</w:t>
            </w:r>
            <w:r w:rsidRPr="00E45790">
              <w:rPr>
                <w:rFonts w:ascii="Times New Roman" w:hAnsi="Times New Roman" w:cs="Times New Roman"/>
                <w:noProof/>
                <w:webHidden/>
              </w:rPr>
              <w:tab/>
            </w:r>
            <w:r w:rsidRPr="00E45790">
              <w:rPr>
                <w:rFonts w:ascii="Times New Roman" w:hAnsi="Times New Roman" w:cs="Times New Roman"/>
                <w:noProof/>
                <w:webHidden/>
              </w:rPr>
              <w:fldChar w:fldCharType="begin"/>
            </w:r>
            <w:r w:rsidRPr="00E45790">
              <w:rPr>
                <w:rFonts w:ascii="Times New Roman" w:hAnsi="Times New Roman" w:cs="Times New Roman"/>
                <w:noProof/>
                <w:webHidden/>
              </w:rPr>
              <w:instrText xml:space="preserve"> PAGEREF _Toc201353365 \h </w:instrText>
            </w:r>
            <w:r w:rsidRPr="00E45790">
              <w:rPr>
                <w:rFonts w:ascii="Times New Roman" w:hAnsi="Times New Roman" w:cs="Times New Roman"/>
                <w:noProof/>
                <w:webHidden/>
              </w:rPr>
            </w:r>
            <w:r w:rsidRPr="00E45790">
              <w:rPr>
                <w:rFonts w:ascii="Times New Roman" w:hAnsi="Times New Roman" w:cs="Times New Roman"/>
                <w:noProof/>
                <w:webHidden/>
              </w:rPr>
              <w:fldChar w:fldCharType="separate"/>
            </w:r>
            <w:r>
              <w:rPr>
                <w:rFonts w:ascii="Times New Roman" w:hAnsi="Times New Roman" w:cs="Times New Roman"/>
                <w:noProof/>
                <w:webHidden/>
              </w:rPr>
              <w:t>26</w:t>
            </w:r>
            <w:r w:rsidRPr="00E45790">
              <w:rPr>
                <w:rFonts w:ascii="Times New Roman" w:hAnsi="Times New Roman" w:cs="Times New Roman"/>
                <w:noProof/>
                <w:webHidden/>
              </w:rPr>
              <w:fldChar w:fldCharType="end"/>
            </w:r>
          </w:hyperlink>
        </w:p>
        <w:p w14:paraId="0928222D" w14:textId="454046D0" w:rsidR="00E45790" w:rsidRDefault="00E45790">
          <w:r w:rsidRPr="00E45790">
            <w:rPr>
              <w:rFonts w:ascii="Times New Roman" w:hAnsi="Times New Roman" w:cs="Times New Roman"/>
              <w:b/>
              <w:bCs/>
              <w:noProof/>
            </w:rPr>
            <w:fldChar w:fldCharType="end"/>
          </w:r>
        </w:p>
      </w:sdtContent>
    </w:sdt>
    <w:p w14:paraId="76FF4FD3" w14:textId="77777777" w:rsidR="00CB27BB" w:rsidRDefault="00CB27BB" w:rsidP="00CB27BB">
      <w:pPr>
        <w:rPr>
          <w:lang w:eastAsia="en-GB"/>
        </w:rPr>
      </w:pPr>
    </w:p>
    <w:p w14:paraId="748E2819" w14:textId="77777777" w:rsidR="00CB27BB" w:rsidRDefault="00CB27BB" w:rsidP="00CB27BB">
      <w:pPr>
        <w:rPr>
          <w:lang w:eastAsia="en-GB"/>
        </w:rPr>
      </w:pPr>
    </w:p>
    <w:p w14:paraId="3B4DB19C" w14:textId="77777777" w:rsidR="00CB27BB" w:rsidRDefault="00CB27BB" w:rsidP="00CB27BB">
      <w:pPr>
        <w:rPr>
          <w:lang w:eastAsia="en-GB"/>
        </w:rPr>
      </w:pPr>
    </w:p>
    <w:p w14:paraId="51FA251D" w14:textId="77777777" w:rsidR="00CB27BB" w:rsidRDefault="00CB27BB" w:rsidP="00CB27BB">
      <w:pPr>
        <w:rPr>
          <w:lang w:eastAsia="en-GB"/>
        </w:rPr>
      </w:pPr>
    </w:p>
    <w:p w14:paraId="27699E6A" w14:textId="77777777" w:rsidR="00CB27BB" w:rsidRDefault="00CB27BB" w:rsidP="00CB27BB">
      <w:pPr>
        <w:rPr>
          <w:lang w:eastAsia="en-GB"/>
        </w:rPr>
      </w:pPr>
    </w:p>
    <w:p w14:paraId="0322C33F" w14:textId="77777777" w:rsidR="00CB27BB" w:rsidRDefault="00CB27BB" w:rsidP="00CB27BB">
      <w:pPr>
        <w:rPr>
          <w:lang w:eastAsia="en-GB"/>
        </w:rPr>
      </w:pPr>
    </w:p>
    <w:p w14:paraId="566CEB3B" w14:textId="77777777" w:rsidR="00CB27BB" w:rsidRDefault="00CB27BB" w:rsidP="00CB27BB">
      <w:pPr>
        <w:rPr>
          <w:lang w:eastAsia="en-GB"/>
        </w:rPr>
      </w:pPr>
    </w:p>
    <w:p w14:paraId="433F6ABE" w14:textId="77777777" w:rsidR="00CB27BB" w:rsidRDefault="00CB27BB" w:rsidP="00CB27BB">
      <w:pPr>
        <w:rPr>
          <w:lang w:eastAsia="en-GB"/>
        </w:rPr>
      </w:pPr>
    </w:p>
    <w:p w14:paraId="4D6F0AB8" w14:textId="77777777" w:rsidR="00CB27BB" w:rsidRDefault="00CB27BB" w:rsidP="00CB27BB">
      <w:pPr>
        <w:rPr>
          <w:lang w:eastAsia="en-GB"/>
        </w:rPr>
      </w:pPr>
    </w:p>
    <w:p w14:paraId="34D9A7F9" w14:textId="77777777" w:rsidR="00CB27BB" w:rsidRDefault="00CB27BB" w:rsidP="00CB27BB">
      <w:pPr>
        <w:rPr>
          <w:lang w:eastAsia="en-GB"/>
        </w:rPr>
      </w:pPr>
    </w:p>
    <w:p w14:paraId="3449F27A" w14:textId="77777777" w:rsidR="00CB27BB" w:rsidRDefault="00CB27BB" w:rsidP="00CB27BB">
      <w:pPr>
        <w:rPr>
          <w:lang w:eastAsia="en-GB"/>
        </w:rPr>
      </w:pPr>
    </w:p>
    <w:p w14:paraId="44BD79E2" w14:textId="77777777" w:rsidR="00CB27BB" w:rsidRDefault="00CB27BB" w:rsidP="00CB27BB">
      <w:pPr>
        <w:rPr>
          <w:lang w:eastAsia="en-GB"/>
        </w:rPr>
      </w:pPr>
    </w:p>
    <w:p w14:paraId="0A6142C3" w14:textId="77777777" w:rsidR="00CB27BB" w:rsidRDefault="00CB27BB" w:rsidP="00CB27BB">
      <w:pPr>
        <w:rPr>
          <w:lang w:eastAsia="en-GB"/>
        </w:rPr>
      </w:pPr>
    </w:p>
    <w:p w14:paraId="678BDF67" w14:textId="77777777" w:rsidR="00CB27BB" w:rsidRDefault="00CB27BB" w:rsidP="00CB27BB">
      <w:pPr>
        <w:rPr>
          <w:lang w:eastAsia="en-GB"/>
        </w:rPr>
      </w:pPr>
    </w:p>
    <w:p w14:paraId="1A9C7B26" w14:textId="77777777" w:rsidR="00CB27BB" w:rsidRDefault="00CB27BB" w:rsidP="00CB27BB">
      <w:pPr>
        <w:rPr>
          <w:lang w:eastAsia="en-GB"/>
        </w:rPr>
      </w:pPr>
    </w:p>
    <w:p w14:paraId="5E24CC2B" w14:textId="77777777" w:rsidR="00CB27BB" w:rsidRDefault="00CB27BB" w:rsidP="00CB27BB">
      <w:pPr>
        <w:rPr>
          <w:lang w:eastAsia="en-GB"/>
        </w:rPr>
      </w:pPr>
    </w:p>
    <w:p w14:paraId="1B8E8E37" w14:textId="77777777" w:rsidR="00CB27BB" w:rsidRDefault="00CB27BB" w:rsidP="00CB27BB">
      <w:pPr>
        <w:rPr>
          <w:lang w:eastAsia="en-GB"/>
        </w:rPr>
      </w:pPr>
    </w:p>
    <w:p w14:paraId="0176A05E" w14:textId="77777777" w:rsidR="00CB27BB" w:rsidRPr="00153B38" w:rsidRDefault="00CB27BB" w:rsidP="00153B38">
      <w:pPr>
        <w:spacing w:line="360" w:lineRule="auto"/>
        <w:jc w:val="both"/>
        <w:rPr>
          <w:rFonts w:ascii="Times New Roman" w:hAnsi="Times New Roman" w:cs="Times New Roman"/>
          <w:sz w:val="24"/>
          <w:szCs w:val="24"/>
          <w:lang w:eastAsia="en-GB"/>
        </w:rPr>
      </w:pPr>
    </w:p>
    <w:p w14:paraId="05924C7A" w14:textId="1937F1CD" w:rsidR="00CB27BB" w:rsidRPr="00E45790" w:rsidRDefault="00CB27BB" w:rsidP="00E45790">
      <w:pPr>
        <w:pStyle w:val="EU"/>
        <w:numPr>
          <w:ilvl w:val="0"/>
          <w:numId w:val="1"/>
        </w:numPr>
        <w:spacing w:line="360" w:lineRule="auto"/>
        <w:rPr>
          <w:rFonts w:ascii="Times New Roman" w:hAnsi="Times New Roman" w:cs="Times New Roman"/>
          <w:color w:val="auto"/>
        </w:rPr>
      </w:pPr>
      <w:bookmarkStart w:id="1" w:name="_Toc201353357"/>
      <w:r w:rsidRPr="00E45790">
        <w:rPr>
          <w:rFonts w:ascii="Times New Roman" w:hAnsi="Times New Roman" w:cs="Times New Roman"/>
          <w:color w:val="auto"/>
        </w:rPr>
        <w:lastRenderedPageBreak/>
        <w:t>Introduction</w:t>
      </w:r>
      <w:bookmarkEnd w:id="1"/>
      <w:r w:rsidRPr="00E45790">
        <w:rPr>
          <w:rFonts w:ascii="Times New Roman" w:hAnsi="Times New Roman" w:cs="Times New Roman"/>
          <w:color w:val="auto"/>
        </w:rPr>
        <w:t xml:space="preserve"> </w:t>
      </w:r>
    </w:p>
    <w:p w14:paraId="62A90EB1" w14:textId="216B4209" w:rsidR="00CB27BB" w:rsidRPr="00E45790" w:rsidRDefault="00CB27BB"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For more than 165 years, the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has been one of Amsterdam’s luxury hotels located near the famous Dam Square. It is owned by Minor Hotels’ luxury Anantara hotel chain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n.d.). Amsterdam’s largest coffee shop developed into a luxurious accommodation provider with over 402 rooms, which includes the premium suites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n.d.). It serves business and leisure </w:t>
      </w:r>
      <w:proofErr w:type="spellStart"/>
      <w:r w:rsidRPr="00E45790">
        <w:rPr>
          <w:rFonts w:ascii="Times New Roman" w:hAnsi="Times New Roman" w:cs="Times New Roman"/>
          <w:sz w:val="24"/>
          <w:szCs w:val="24"/>
          <w:lang w:eastAsia="en-GB"/>
        </w:rPr>
        <w:t>travelers</w:t>
      </w:r>
      <w:proofErr w:type="spellEnd"/>
      <w:r w:rsidRPr="00E45790">
        <w:rPr>
          <w:rFonts w:ascii="Times New Roman" w:hAnsi="Times New Roman" w:cs="Times New Roman"/>
          <w:sz w:val="24"/>
          <w:szCs w:val="24"/>
          <w:lang w:eastAsia="en-GB"/>
        </w:rPr>
        <w:t xml:space="preserve"> with luxury and class and has some of the best-rated restaurants in the city. It is one of the top destinations for a high-end vacation, drawing in a mix of domestic and international guests (Tripadvisor, 2024). Despite being one of the oldest hotels in Amsterdam, the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is faced with significant staff turnover. High employee turnover rates often affect hotels and restaurants. Losing employees who fill crucial positions will make it difficult to maintain high standards of service delivery. In addition, when most of the workforce consists of part-time employees, turnover can have significant effects on both the workforce and the business itself. High staff turnover affects Anantara’s productivity and workers’ ability to offer high-quality service delivery. It can lead to damaged customer experiences and a reputation as a personalized guest services provider (James, 2020). In addition, it has long-term effects on the existing workforce, which can cause employee burnout and low productivity. Employee turnover can be quite expensive and eventually lead to more turnover, creating a costly cycle. Thus, Krasnapolsky can easily go through high employee turnover and need a systematized strategy to uncover the source of the problem and develop a solution that will be permanent. Organizational development and human resource optimization firm </w:t>
      </w: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 is suggested to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as a solution to its employee retention issues. </w:t>
      </w: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 is a company that provides advice to hospitality businesses that wish to optimize their business operations and increase the efficiency of their human resources. </w:t>
      </w: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 specializes in the subject of staff retention and change management and is a perfect fit to assist the client in finding a solution to the issue of staff turnover. </w:t>
      </w: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 uses research, data collection, and innovative methods to create sustainable results and solutions that deliver on its clients’ expectations. </w:t>
      </w: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 is the only organization in the industry that relies on organizational </w:t>
      </w:r>
      <w:proofErr w:type="spellStart"/>
      <w:r w:rsidRPr="00E45790">
        <w:rPr>
          <w:rFonts w:ascii="Times New Roman" w:hAnsi="Times New Roman" w:cs="Times New Roman"/>
          <w:sz w:val="24"/>
          <w:szCs w:val="24"/>
          <w:lang w:eastAsia="en-GB"/>
        </w:rPr>
        <w:t>behavior</w:t>
      </w:r>
      <w:proofErr w:type="spellEnd"/>
      <w:r w:rsidRPr="00E45790">
        <w:rPr>
          <w:rFonts w:ascii="Times New Roman" w:hAnsi="Times New Roman" w:cs="Times New Roman"/>
          <w:sz w:val="24"/>
          <w:szCs w:val="24"/>
          <w:lang w:eastAsia="en-GB"/>
        </w:rPr>
        <w:t xml:space="preserve"> to increase employee stability and long-term productivity in a hotel. The next sections will examine the factors behind the hotel’s high staff turnover rates </w:t>
      </w:r>
      <w:r w:rsidRPr="00E45790">
        <w:rPr>
          <w:rFonts w:ascii="Times New Roman" w:hAnsi="Times New Roman" w:cs="Times New Roman"/>
          <w:sz w:val="24"/>
          <w:szCs w:val="24"/>
          <w:lang w:eastAsia="en-GB"/>
        </w:rPr>
        <w:lastRenderedPageBreak/>
        <w:t xml:space="preserve">using different analytical tools. The research will determine the hotel’s strengths, such as branding and location, and weaknesses, such as low employee engagement and lack of promotion and development (Gurl, 2017). Additionally, it will show how worker satisfaction and productivity can be improved and potential risks due to competition and market changes. Once the SWOT analysis is complete, a TOWS analysis will strategically connect the internal and external aspects and provide advice. TOWS will identify how the hotel’s strengths can be utilized for potential opportunities or how its weaknesses can be minimized in light of external risks. Using the TOWS analysis, </w:t>
      </w: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 will provide a strategic solution to decrease staff turnover. The analysis will help to discover ways to utilize the hotel’s strengths to minimize weaknesses and turn them into strengths. </w:t>
      </w: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Strategy’s TOWS methodology is unique in the industry and will help the hotel decrease staff turnover and increase productivity and long-term performance. The research focuses on decreasing staff turnover, improving employee productivity, and increasing staff satisfaction and sustainable operations.</w:t>
      </w:r>
      <w:r w:rsidR="00153B38" w:rsidRPr="00E45790">
        <w:rPr>
          <w:rFonts w:ascii="Times New Roman" w:hAnsi="Times New Roman" w:cs="Times New Roman"/>
          <w:sz w:val="24"/>
          <w:szCs w:val="24"/>
          <w:lang w:eastAsia="en-GB"/>
        </w:rPr>
        <w:t xml:space="preserve"> Similarly, A STEEPLE analysis will be used.  </w:t>
      </w:r>
    </w:p>
    <w:p w14:paraId="31D6E9B9" w14:textId="4D116543" w:rsidR="00153B38" w:rsidRPr="00E45790" w:rsidRDefault="00153B38" w:rsidP="00E45790">
      <w:pPr>
        <w:pStyle w:val="EU"/>
        <w:numPr>
          <w:ilvl w:val="0"/>
          <w:numId w:val="1"/>
        </w:numPr>
        <w:spacing w:line="360" w:lineRule="auto"/>
        <w:rPr>
          <w:rFonts w:ascii="Times New Roman" w:hAnsi="Times New Roman" w:cs="Times New Roman"/>
          <w:color w:val="auto"/>
        </w:rPr>
      </w:pPr>
      <w:bookmarkStart w:id="2" w:name="_Toc201353358"/>
      <w:r w:rsidRPr="00E45790">
        <w:rPr>
          <w:rFonts w:ascii="Times New Roman" w:hAnsi="Times New Roman" w:cs="Times New Roman"/>
          <w:color w:val="auto"/>
        </w:rPr>
        <w:t>Analysis of the hotel</w:t>
      </w:r>
      <w:bookmarkEnd w:id="2"/>
    </w:p>
    <w:p w14:paraId="5B064823" w14:textId="30BE1571" w:rsidR="006B208F" w:rsidRPr="00E45790" w:rsidRDefault="006B208F" w:rsidP="00E45790">
      <w:pPr>
        <w:spacing w:line="360" w:lineRule="auto"/>
        <w:jc w:val="both"/>
        <w:rPr>
          <w:rFonts w:ascii="Times New Roman" w:hAnsi="Times New Roman" w:cs="Times New Roman"/>
          <w:sz w:val="24"/>
          <w:szCs w:val="24"/>
          <w:lang w:eastAsia="en-GB"/>
        </w:rPr>
      </w:pPr>
      <w:r w:rsidRPr="006B208F">
        <w:rPr>
          <w:rFonts w:ascii="Times New Roman" w:hAnsi="Times New Roman" w:cs="Times New Roman"/>
          <w:sz w:val="24"/>
          <w:szCs w:val="24"/>
          <w:lang w:eastAsia="en-GB"/>
        </w:rPr>
        <w:t xml:space="preserve">The historic five-star Anantara Grand Hotel </w:t>
      </w:r>
      <w:proofErr w:type="spellStart"/>
      <w:r w:rsidRPr="006B208F">
        <w:rPr>
          <w:rFonts w:ascii="Times New Roman" w:hAnsi="Times New Roman" w:cs="Times New Roman"/>
          <w:sz w:val="24"/>
          <w:szCs w:val="24"/>
          <w:lang w:eastAsia="en-GB"/>
        </w:rPr>
        <w:t>Krasnapolsky</w:t>
      </w:r>
      <w:proofErr w:type="spellEnd"/>
      <w:r w:rsidRPr="006B208F">
        <w:rPr>
          <w:rFonts w:ascii="Times New Roman" w:hAnsi="Times New Roman" w:cs="Times New Roman"/>
          <w:sz w:val="24"/>
          <w:szCs w:val="24"/>
          <w:lang w:eastAsia="en-GB"/>
        </w:rPr>
        <w:t xml:space="preserve">. Amsterdam is dealing with personnel issues that are hurting operations and service quality. High turnover raises recruiting and training expenses while reducing service continuity and visitor pleasure. The issue of significant personnel turnover is typical in the hotel sector. According to Michael and Fotiadis (2022), the hotel business has a 30%-73% turnover rate globally, indicating that this issue is widespread. Several reasons contribute to the troubles with </w:t>
      </w:r>
      <w:proofErr w:type="spellStart"/>
      <w:r w:rsidRPr="006B208F">
        <w:rPr>
          <w:rFonts w:ascii="Times New Roman" w:hAnsi="Times New Roman" w:cs="Times New Roman"/>
          <w:sz w:val="24"/>
          <w:szCs w:val="24"/>
          <w:lang w:eastAsia="en-GB"/>
        </w:rPr>
        <w:t>Krasnapolsky's</w:t>
      </w:r>
      <w:proofErr w:type="spellEnd"/>
      <w:r w:rsidRPr="006B208F">
        <w:rPr>
          <w:rFonts w:ascii="Times New Roman" w:hAnsi="Times New Roman" w:cs="Times New Roman"/>
          <w:sz w:val="24"/>
          <w:szCs w:val="24"/>
          <w:lang w:eastAsia="en-GB"/>
        </w:rPr>
        <w:t xml:space="preserve"> staff. First, long hours and high stress levels in hospitality contribute to burnout and discontent. Abdou et al. (2022) found that job stress and poor work-life balance strongly affect hotel employee turnover intentions. Second, Amsterdam's competitive labour market provides employees with several opportunities for higher compensation and improved working circumstances. A labour crisis in the Dutch hotel business heightens competitiveness for skilled workers (</w:t>
      </w:r>
      <w:proofErr w:type="spellStart"/>
      <w:r w:rsidRPr="006B208F">
        <w:rPr>
          <w:rFonts w:ascii="Times New Roman" w:hAnsi="Times New Roman" w:cs="Times New Roman"/>
          <w:sz w:val="24"/>
          <w:szCs w:val="24"/>
          <w:lang w:eastAsia="en-GB"/>
        </w:rPr>
        <w:t>Dwesini</w:t>
      </w:r>
      <w:proofErr w:type="spellEnd"/>
      <w:r w:rsidRPr="006B208F">
        <w:rPr>
          <w:rFonts w:ascii="Times New Roman" w:hAnsi="Times New Roman" w:cs="Times New Roman"/>
          <w:sz w:val="24"/>
          <w:szCs w:val="24"/>
          <w:lang w:eastAsia="en-GB"/>
        </w:rPr>
        <w:t xml:space="preserve">, 2019). Third, restricted prospects for advancement in hotels may lead to employee unhappiness and attrition. Bartik et al. (2020) discovered that workers who do not perceive prospects for advancement are more inclined to depart for a better opportunity. Krasnapolsky suffers from staff turnover in a variety of ways. The hotel incurs significant expenditures in employing and training new </w:t>
      </w:r>
      <w:r w:rsidRPr="006B208F">
        <w:rPr>
          <w:rFonts w:ascii="Times New Roman" w:hAnsi="Times New Roman" w:cs="Times New Roman"/>
          <w:sz w:val="24"/>
          <w:szCs w:val="24"/>
          <w:lang w:eastAsia="en-GB"/>
        </w:rPr>
        <w:lastRenderedPageBreak/>
        <w:t xml:space="preserve">employees. Staff turnover may have a negative impact on service quality because it disrupts team cohesiveness and consistency. It may also harm the hotel's image and tourist experience. According to Han (2020), high turnover rates may result in poor visitor satisfaction and satisfaction. Furthermore, current workers may work longer hours and become more agitated, increasing the risk of burnout and attrition. To solve the issue of employee turnover, better working conditions, competitive remuneration, and career development are required. Employee participation and a supportive work environment may increase job satisfaction while decreasing turnover. Anantara Grand Hotel </w:t>
      </w:r>
      <w:proofErr w:type="spellStart"/>
      <w:r w:rsidRPr="006B208F">
        <w:rPr>
          <w:rFonts w:ascii="Times New Roman" w:hAnsi="Times New Roman" w:cs="Times New Roman"/>
          <w:sz w:val="24"/>
          <w:szCs w:val="24"/>
          <w:lang w:eastAsia="en-GB"/>
        </w:rPr>
        <w:t>Krasnapolsky</w:t>
      </w:r>
      <w:proofErr w:type="spellEnd"/>
      <w:r w:rsidRPr="006B208F">
        <w:rPr>
          <w:rFonts w:ascii="Times New Roman" w:hAnsi="Times New Roman" w:cs="Times New Roman"/>
          <w:sz w:val="24"/>
          <w:szCs w:val="24"/>
          <w:lang w:eastAsia="en-GB"/>
        </w:rPr>
        <w:t xml:space="preserve"> Amsterdam can increase operational efficiency, service quality, and guest experience by managing staff turnover.</w:t>
      </w:r>
    </w:p>
    <w:p w14:paraId="6477B9F6" w14:textId="606604CD" w:rsidR="008A127C" w:rsidRPr="00E45790" w:rsidRDefault="008A127C" w:rsidP="00E45790">
      <w:pPr>
        <w:pStyle w:val="EU"/>
        <w:spacing w:line="360" w:lineRule="auto"/>
        <w:rPr>
          <w:rFonts w:ascii="Times New Roman" w:hAnsi="Times New Roman" w:cs="Times New Roman"/>
          <w:color w:val="auto"/>
        </w:rPr>
      </w:pPr>
      <w:bookmarkStart w:id="3" w:name="_Toc201353359"/>
      <w:r w:rsidRPr="00E45790">
        <w:rPr>
          <w:rFonts w:ascii="Times New Roman" w:hAnsi="Times New Roman" w:cs="Times New Roman"/>
          <w:color w:val="auto"/>
        </w:rPr>
        <w:t>SWOT</w:t>
      </w:r>
      <w:bookmarkEnd w:id="3"/>
    </w:p>
    <w:p w14:paraId="5DB3ACF3" w14:textId="03E537FE" w:rsidR="00F40485" w:rsidRPr="00E45790" w:rsidRDefault="00F40485" w:rsidP="00E45790">
      <w:pPr>
        <w:spacing w:line="360" w:lineRule="auto"/>
        <w:jc w:val="both"/>
        <w:rPr>
          <w:rFonts w:ascii="Times New Roman" w:hAnsi="Times New Roman" w:cs="Times New Roman"/>
          <w:b/>
          <w:bCs/>
          <w:sz w:val="24"/>
          <w:szCs w:val="24"/>
          <w:lang w:eastAsia="en-GB"/>
        </w:rPr>
      </w:pPr>
      <w:r w:rsidRPr="00E45790">
        <w:rPr>
          <w:rFonts w:ascii="Times New Roman" w:hAnsi="Times New Roman" w:cs="Times New Roman"/>
          <w:b/>
          <w:bCs/>
          <w:sz w:val="24"/>
          <w:szCs w:val="24"/>
          <w:lang w:eastAsia="en-GB"/>
        </w:rPr>
        <w:t>Strengths</w:t>
      </w:r>
    </w:p>
    <w:p w14:paraId="4B45DD1C" w14:textId="77777777" w:rsidR="00F40485" w:rsidRPr="00E45790" w:rsidRDefault="00F4048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The famous five-star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is located in Amsterdam's Dam Square. It has many benefits that help it keep its place in the high-end hotel business. Its great location makes it easy for tourists to get to important places, which makes it appealing to both business and pleasure travellers. Since it opened in 1856, the hotel has a unique past that makes it stand out from others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n.d.). The hotel also offers a range of high-end services, such as the White Room restaurant, which has a Michelin star and adds to its image of prestige. </w:t>
      </w:r>
    </w:p>
    <w:p w14:paraId="52404DAB" w14:textId="6F551AFF" w:rsidR="00F40485" w:rsidRPr="00E45790" w:rsidRDefault="00F40485" w:rsidP="00E45790">
      <w:pPr>
        <w:spacing w:line="360" w:lineRule="auto"/>
        <w:jc w:val="both"/>
        <w:rPr>
          <w:rFonts w:ascii="Times New Roman" w:hAnsi="Times New Roman" w:cs="Times New Roman"/>
          <w:b/>
          <w:bCs/>
          <w:sz w:val="24"/>
          <w:szCs w:val="24"/>
          <w:lang w:eastAsia="en-GB"/>
        </w:rPr>
      </w:pPr>
      <w:r w:rsidRPr="00E45790">
        <w:rPr>
          <w:rFonts w:ascii="Times New Roman" w:hAnsi="Times New Roman" w:cs="Times New Roman"/>
          <w:b/>
          <w:bCs/>
          <w:sz w:val="24"/>
          <w:szCs w:val="24"/>
          <w:lang w:eastAsia="en-GB"/>
        </w:rPr>
        <w:t>Weaknesses</w:t>
      </w:r>
    </w:p>
    <w:p w14:paraId="261B88CA" w14:textId="51D83AD0" w:rsidR="00F40485" w:rsidRPr="00E45790" w:rsidRDefault="00F4048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But the hotel has some problems that could make it less useful and less enjoyable for guests. Notably, high rates of worker loss have been seen, which can lead to higher costs for hiring and teaching new employees and possible delays in service delivery. This problem isn't just happening with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it happens all over the hotel business. Michael and Fotiadis (2022) say that the average hotel change rate around the world is between 30% and 73%. This shows how widespread the problem is. Also, the hotel's old equipment might need regular repairs and upgrades to meet the needs of today's guests, which would increase the costs of running the business.</w:t>
      </w:r>
    </w:p>
    <w:p w14:paraId="095B78FD" w14:textId="22D9FB81" w:rsidR="00F40485" w:rsidRPr="00E45790" w:rsidRDefault="00F40485" w:rsidP="00E45790">
      <w:pPr>
        <w:spacing w:line="360" w:lineRule="auto"/>
        <w:jc w:val="both"/>
        <w:rPr>
          <w:rFonts w:ascii="Times New Roman" w:hAnsi="Times New Roman" w:cs="Times New Roman"/>
          <w:b/>
          <w:bCs/>
          <w:sz w:val="24"/>
          <w:szCs w:val="24"/>
          <w:lang w:eastAsia="en-GB"/>
        </w:rPr>
      </w:pPr>
      <w:r w:rsidRPr="00E45790">
        <w:rPr>
          <w:rFonts w:ascii="Times New Roman" w:hAnsi="Times New Roman" w:cs="Times New Roman"/>
          <w:b/>
          <w:bCs/>
          <w:sz w:val="24"/>
          <w:szCs w:val="24"/>
          <w:lang w:eastAsia="en-GB"/>
        </w:rPr>
        <w:t>Opportunities</w:t>
      </w:r>
    </w:p>
    <w:p w14:paraId="153D3FF4" w14:textId="77777777" w:rsidR="00F40485" w:rsidRPr="00E45790" w:rsidRDefault="00F4048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lastRenderedPageBreak/>
        <w:t xml:space="preserve">The hotel has a lot of options to improve its place in the market and deal with the problems it is facing right now. Experience-based travel is becoming more popular, which means that hotels can use their historical significance and great location to create one-of-a-kind events for their guests. Putting money into programs that help employees grow could make them happier and more likely to stay with the company, which would lower unemployment rates and the costs that come with them (Morrison, 2022). Adopting sustainable practices also fits with the growing demand from customers for environmentally friendly housing, which could bring in more customers. </w:t>
      </w:r>
    </w:p>
    <w:p w14:paraId="69CB3666" w14:textId="125B2CAC" w:rsidR="00F40485" w:rsidRPr="00E45790" w:rsidRDefault="00F40485" w:rsidP="00E45790">
      <w:pPr>
        <w:spacing w:line="360" w:lineRule="auto"/>
        <w:jc w:val="both"/>
        <w:rPr>
          <w:rFonts w:ascii="Times New Roman" w:hAnsi="Times New Roman" w:cs="Times New Roman"/>
          <w:b/>
          <w:bCs/>
          <w:sz w:val="24"/>
          <w:szCs w:val="24"/>
          <w:lang w:eastAsia="en-GB"/>
        </w:rPr>
      </w:pPr>
      <w:r w:rsidRPr="00E45790">
        <w:rPr>
          <w:rFonts w:ascii="Times New Roman" w:hAnsi="Times New Roman" w:cs="Times New Roman"/>
          <w:b/>
          <w:bCs/>
          <w:sz w:val="24"/>
          <w:szCs w:val="24"/>
          <w:lang w:eastAsia="en-GB"/>
        </w:rPr>
        <w:t xml:space="preserve">Threats </w:t>
      </w:r>
    </w:p>
    <w:p w14:paraId="30BA7494" w14:textId="33F2E130" w:rsidR="00F40485" w:rsidRPr="00E45790" w:rsidRDefault="00F4048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New living options, like Airbnb, give visitors a wider range of places to stay, which could cause customers to stay in these places instead of traditional hotels. Papagianni et al. (2024) say that changes in the economy and global risks can affect how people travel abroad, as well as their income and usage rates. Additionally, ongoing worker shortages in the hotel industry make it tough to find and keep qualified employees, which could affect the standard of service and the speed of operations (Kwok, 2022).</w:t>
      </w:r>
    </w:p>
    <w:p w14:paraId="000A70BC" w14:textId="520C9D8C" w:rsidR="00F40485" w:rsidRPr="00E45790" w:rsidRDefault="00F40485" w:rsidP="00E45790">
      <w:pPr>
        <w:pStyle w:val="EU"/>
        <w:spacing w:line="360" w:lineRule="auto"/>
        <w:rPr>
          <w:rFonts w:ascii="Times New Roman" w:hAnsi="Times New Roman" w:cs="Times New Roman"/>
          <w:color w:val="auto"/>
        </w:rPr>
      </w:pPr>
      <w:bookmarkStart w:id="4" w:name="_Toc201353360"/>
      <w:r w:rsidRPr="00E45790">
        <w:rPr>
          <w:rFonts w:ascii="Times New Roman" w:hAnsi="Times New Roman" w:cs="Times New Roman"/>
          <w:color w:val="auto"/>
        </w:rPr>
        <w:t>STEEPLE</w:t>
      </w:r>
      <w:bookmarkEnd w:id="4"/>
    </w:p>
    <w:p w14:paraId="3E5D5837" w14:textId="77777777" w:rsidR="00F40485" w:rsidRPr="00E45790" w:rsidRDefault="00F40485" w:rsidP="00E45790">
      <w:pPr>
        <w:spacing w:line="360" w:lineRule="auto"/>
        <w:jc w:val="both"/>
        <w:rPr>
          <w:rFonts w:ascii="Times New Roman" w:hAnsi="Times New Roman" w:cs="Times New Roman"/>
          <w:b/>
          <w:bCs/>
          <w:sz w:val="24"/>
          <w:szCs w:val="24"/>
          <w:lang w:eastAsia="en-GB"/>
        </w:rPr>
      </w:pPr>
      <w:r w:rsidRPr="00E45790">
        <w:rPr>
          <w:rFonts w:ascii="Times New Roman" w:hAnsi="Times New Roman" w:cs="Times New Roman"/>
          <w:b/>
          <w:bCs/>
          <w:sz w:val="24"/>
          <w:szCs w:val="24"/>
          <w:lang w:eastAsia="en-GB"/>
        </w:rPr>
        <w:t>Social</w:t>
      </w:r>
    </w:p>
    <w:p w14:paraId="6F294040" w14:textId="62324A68" w:rsidR="00F40485" w:rsidRPr="00E45790" w:rsidRDefault="00F4048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The hotel business in Amsterdam is greatly affected by things like changing demographics and tourist tastes. Millennials and Generation Z are especially interested in this type of travel because they want to have deep, culturally rich experiences (</w:t>
      </w:r>
      <w:proofErr w:type="spellStart"/>
      <w:r w:rsidRPr="00E45790">
        <w:rPr>
          <w:rFonts w:ascii="Times New Roman" w:hAnsi="Times New Roman" w:cs="Times New Roman"/>
          <w:sz w:val="24"/>
          <w:szCs w:val="24"/>
          <w:lang w:eastAsia="en-GB"/>
        </w:rPr>
        <w:t>Tufft</w:t>
      </w:r>
      <w:proofErr w:type="spellEnd"/>
      <w:r w:rsidRPr="00E45790">
        <w:rPr>
          <w:rFonts w:ascii="Times New Roman" w:hAnsi="Times New Roman" w:cs="Times New Roman"/>
          <w:sz w:val="24"/>
          <w:szCs w:val="24"/>
          <w:lang w:eastAsia="en-GB"/>
        </w:rPr>
        <w:t xml:space="preserve"> et al., 2024) it keeps growing. Hotels in Amsterdam are answering more and more by offering local experiences, like tours of the city's historical sites or food trips that focus on Dutch food. In answer to growing customer desire for responsible travel, hotels have also started to use more eco-friendly methods because of the increased focus on sustainability. Because tourists who care about the environment choose places that are committed to sustainability, many hotels have started programs to use energy-efficient lights and cut down on waste (</w:t>
      </w:r>
      <w:proofErr w:type="spellStart"/>
      <w:r w:rsidRPr="00E45790">
        <w:rPr>
          <w:rFonts w:ascii="Times New Roman" w:hAnsi="Times New Roman" w:cs="Times New Roman"/>
          <w:sz w:val="24"/>
          <w:szCs w:val="24"/>
          <w:lang w:eastAsia="en-GB"/>
        </w:rPr>
        <w:t>Papallou</w:t>
      </w:r>
      <w:proofErr w:type="spellEnd"/>
      <w:r w:rsidRPr="00E45790">
        <w:rPr>
          <w:rFonts w:ascii="Times New Roman" w:hAnsi="Times New Roman" w:cs="Times New Roman"/>
          <w:sz w:val="24"/>
          <w:szCs w:val="24"/>
          <w:lang w:eastAsia="en-GB"/>
        </w:rPr>
        <w:t xml:space="preserve">, </w:t>
      </w:r>
      <w:proofErr w:type="spellStart"/>
      <w:r w:rsidRPr="00E45790">
        <w:rPr>
          <w:rFonts w:ascii="Times New Roman" w:hAnsi="Times New Roman" w:cs="Times New Roman"/>
          <w:sz w:val="24"/>
          <w:szCs w:val="24"/>
          <w:lang w:eastAsia="en-GB"/>
        </w:rPr>
        <w:t>Katafygiotou</w:t>
      </w:r>
      <w:proofErr w:type="spellEnd"/>
      <w:r w:rsidRPr="00E45790">
        <w:rPr>
          <w:rFonts w:ascii="Times New Roman" w:hAnsi="Times New Roman" w:cs="Times New Roman"/>
          <w:sz w:val="24"/>
          <w:szCs w:val="24"/>
          <w:lang w:eastAsia="en-GB"/>
        </w:rPr>
        <w:t>, and Dimopoulos, 202`).</w:t>
      </w:r>
    </w:p>
    <w:p w14:paraId="48D90975" w14:textId="13080232" w:rsidR="00F40485" w:rsidRPr="00E45790" w:rsidRDefault="00F40485" w:rsidP="00E45790">
      <w:pPr>
        <w:spacing w:line="360" w:lineRule="auto"/>
        <w:jc w:val="both"/>
        <w:rPr>
          <w:rFonts w:ascii="Times New Roman" w:hAnsi="Times New Roman" w:cs="Times New Roman"/>
          <w:b/>
          <w:bCs/>
          <w:sz w:val="24"/>
          <w:szCs w:val="24"/>
          <w:lang w:eastAsia="en-GB"/>
        </w:rPr>
      </w:pPr>
      <w:r w:rsidRPr="00E45790">
        <w:rPr>
          <w:rFonts w:ascii="Times New Roman" w:hAnsi="Times New Roman" w:cs="Times New Roman"/>
          <w:b/>
          <w:bCs/>
          <w:sz w:val="24"/>
          <w:szCs w:val="24"/>
          <w:lang w:eastAsia="en-GB"/>
        </w:rPr>
        <w:t>Technological</w:t>
      </w:r>
    </w:p>
    <w:p w14:paraId="1AC5A346" w14:textId="321C1A86" w:rsidR="00F40485" w:rsidRPr="00E45790" w:rsidRDefault="00F4048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lastRenderedPageBreak/>
        <w:t xml:space="preserve">The hospitality business has been changed by new technologies, so going digital is important for Amsterdam hotels to stay competitive. </w:t>
      </w:r>
      <w:proofErr w:type="spellStart"/>
      <w:r w:rsidRPr="00E45790">
        <w:rPr>
          <w:rFonts w:ascii="Times New Roman" w:hAnsi="Times New Roman" w:cs="Times New Roman"/>
          <w:sz w:val="24"/>
          <w:szCs w:val="24"/>
          <w:lang w:eastAsia="en-GB"/>
        </w:rPr>
        <w:t>Adekuajo</w:t>
      </w:r>
      <w:proofErr w:type="spellEnd"/>
      <w:r w:rsidRPr="00E45790">
        <w:rPr>
          <w:rFonts w:ascii="Times New Roman" w:hAnsi="Times New Roman" w:cs="Times New Roman"/>
          <w:sz w:val="24"/>
          <w:szCs w:val="24"/>
          <w:lang w:eastAsia="en-GB"/>
        </w:rPr>
        <w:t xml:space="preserve"> et al. (2023) say that online booking platforms are taking over the ticket market, and hotels are relying more and more on data analytics to customise guests' stays and make them happier. Also, wireless technology like digital room keys and smartphone check-ins has become more common, especially since the COVID-19 spread. Hotels such as the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have adopted these technologies to improve guest comfort and optimise operations (Ozdemir et al., 2023). 33% of visitors choose hotels with cashless services, according to a recent industry study (Duncan, Manager, and Rocket, 2023) making it an important thing to think about when making a reservation. Also, AI and automation tools like robots make it easier for hotels to handle guest questions, so they don't have to rely on front desk staff as much.</w:t>
      </w:r>
    </w:p>
    <w:p w14:paraId="34F8260C" w14:textId="77777777" w:rsidR="00F40485" w:rsidRPr="00E45790" w:rsidRDefault="00F40485" w:rsidP="00E45790">
      <w:pPr>
        <w:spacing w:line="360" w:lineRule="auto"/>
        <w:jc w:val="both"/>
        <w:rPr>
          <w:rFonts w:ascii="Times New Roman" w:hAnsi="Times New Roman" w:cs="Times New Roman"/>
          <w:b/>
          <w:bCs/>
          <w:sz w:val="24"/>
          <w:szCs w:val="24"/>
          <w:lang w:eastAsia="en-GB"/>
        </w:rPr>
      </w:pPr>
      <w:r w:rsidRPr="00E45790">
        <w:rPr>
          <w:rFonts w:ascii="Times New Roman" w:hAnsi="Times New Roman" w:cs="Times New Roman"/>
          <w:b/>
          <w:bCs/>
          <w:sz w:val="24"/>
          <w:szCs w:val="24"/>
          <w:lang w:eastAsia="en-GB"/>
        </w:rPr>
        <w:t>Economic</w:t>
      </w:r>
    </w:p>
    <w:p w14:paraId="73C66CD5" w14:textId="01264A2C" w:rsidR="00F40485" w:rsidRPr="00E45790" w:rsidRDefault="00F4048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The economy is a major issue that affects Amsterdam's hotel and restaurant business. Since tourism brings in a lot of money, the security of the economies of countries like Germany, the UK, and the US affects demand. Prices for things like pay, utilities, and supplies have gone up in hotels because of recent economic downturns and high inflation rates in Europe (</w:t>
      </w:r>
      <w:proofErr w:type="spellStart"/>
      <w:r w:rsidRPr="00E45790">
        <w:rPr>
          <w:rFonts w:ascii="Times New Roman" w:hAnsi="Times New Roman" w:cs="Times New Roman"/>
          <w:sz w:val="24"/>
          <w:szCs w:val="24"/>
          <w:lang w:eastAsia="en-GB"/>
        </w:rPr>
        <w:t>Pacce</w:t>
      </w:r>
      <w:proofErr w:type="spellEnd"/>
      <w:r w:rsidRPr="00E45790">
        <w:rPr>
          <w:rFonts w:ascii="Times New Roman" w:hAnsi="Times New Roman" w:cs="Times New Roman"/>
          <w:sz w:val="24"/>
          <w:szCs w:val="24"/>
          <w:lang w:eastAsia="en-GB"/>
        </w:rPr>
        <w:t xml:space="preserve">, Río, and Sánchez, 2022). The rate of inflation in Amsterdam hit about 8% in 2023, which caused prices to rise in all areas. Furthermore, changes in the currency rate might affect foreign tourists’ buying power (IRENA, 2023). For example, when the value of the euro goes down, it makes Amsterdam more cheap for Americans to visit, which means that hotels like the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are fuller. As a result of inflation, hotels must use smart cost management to keep their profits up as their running costs rise.</w:t>
      </w:r>
    </w:p>
    <w:p w14:paraId="1E4A1BF8" w14:textId="56B96572" w:rsidR="00F40485" w:rsidRPr="00E45790" w:rsidRDefault="00F40485" w:rsidP="00E45790">
      <w:pPr>
        <w:spacing w:line="360" w:lineRule="auto"/>
        <w:jc w:val="both"/>
        <w:rPr>
          <w:rFonts w:ascii="Times New Roman" w:hAnsi="Times New Roman" w:cs="Times New Roman"/>
          <w:b/>
          <w:bCs/>
          <w:sz w:val="24"/>
          <w:szCs w:val="24"/>
          <w:lang w:eastAsia="en-GB"/>
        </w:rPr>
      </w:pPr>
      <w:r w:rsidRPr="00E45790">
        <w:rPr>
          <w:rFonts w:ascii="Times New Roman" w:hAnsi="Times New Roman" w:cs="Times New Roman"/>
          <w:b/>
          <w:bCs/>
          <w:sz w:val="24"/>
          <w:szCs w:val="24"/>
          <w:lang w:eastAsia="en-GB"/>
        </w:rPr>
        <w:t>Environmental</w:t>
      </w:r>
    </w:p>
    <w:p w14:paraId="1C1FC4D9" w14:textId="197BBC29" w:rsidR="00F40485" w:rsidRPr="00E45790" w:rsidRDefault="00F4048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Environmental sustainability is becoming more important to Amsterdam's hotels as tourists become more aware of the environment and as laws get stricter. The Netherlands is known for having strict laws about the environment, and Amsterdam has become a leader in green city planning. To meet customer desire for eco-friendly stays, many hotels are getting green certifications like LEED (de Oliveira Menezes and Cavagnaro, 2021). For instance, high-end hotels are starting to use more water-saving programs and energy-saving tools, which is good </w:t>
      </w:r>
      <w:r w:rsidRPr="00E45790">
        <w:rPr>
          <w:rFonts w:ascii="Times New Roman" w:hAnsi="Times New Roman" w:cs="Times New Roman"/>
          <w:sz w:val="24"/>
          <w:szCs w:val="24"/>
          <w:lang w:eastAsia="en-GB"/>
        </w:rPr>
        <w:lastRenderedPageBreak/>
        <w:t>for the environment and saves money on running the business. Research from the World Travel &amp; Tourism Council shows that 62% of tourists choose sustainable choices. This means that hotels must use methods that are good for the earth. Also, because Amsterdam is having trouble with too many tourists, rules that are meant to limit the number of visitors urge hotels to promote travel during off-peak times, which helps with efforts to make tourism more sustainable.</w:t>
      </w:r>
    </w:p>
    <w:p w14:paraId="7926DA14" w14:textId="64F879BC" w:rsidR="00F40485" w:rsidRPr="00E45790" w:rsidRDefault="00F40485" w:rsidP="00E45790">
      <w:pPr>
        <w:spacing w:line="360" w:lineRule="auto"/>
        <w:jc w:val="both"/>
        <w:rPr>
          <w:rFonts w:ascii="Times New Roman" w:hAnsi="Times New Roman" w:cs="Times New Roman"/>
          <w:b/>
          <w:bCs/>
          <w:sz w:val="24"/>
          <w:szCs w:val="24"/>
          <w:lang w:eastAsia="en-GB"/>
        </w:rPr>
      </w:pPr>
      <w:r w:rsidRPr="00E45790">
        <w:rPr>
          <w:rFonts w:ascii="Times New Roman" w:hAnsi="Times New Roman" w:cs="Times New Roman"/>
          <w:b/>
          <w:bCs/>
          <w:sz w:val="24"/>
          <w:szCs w:val="24"/>
          <w:lang w:eastAsia="en-GB"/>
        </w:rPr>
        <w:t>Political</w:t>
      </w:r>
    </w:p>
    <w:p w14:paraId="436F8373" w14:textId="31E700EB" w:rsidR="00F40485" w:rsidRPr="00E45790" w:rsidRDefault="00F4048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The political situation in Amsterdam has a big effect on the hotel and restaurant business. People from other countries like to visit the Netherlands because it is politically stable and has a strong rule of law (GOV.UK, n.d.). Also, the policies of the Dutch government, especially those that aim to promote eco-friendly travel, have an immediate effect on how hotels work (</w:t>
      </w:r>
      <w:proofErr w:type="spellStart"/>
      <w:r w:rsidRPr="00E45790">
        <w:rPr>
          <w:rFonts w:ascii="Times New Roman" w:hAnsi="Times New Roman" w:cs="Times New Roman"/>
          <w:sz w:val="24"/>
          <w:szCs w:val="24"/>
          <w:lang w:eastAsia="en-GB"/>
        </w:rPr>
        <w:t>Dinica</w:t>
      </w:r>
      <w:proofErr w:type="spellEnd"/>
      <w:r w:rsidRPr="00E45790">
        <w:rPr>
          <w:rFonts w:ascii="Times New Roman" w:hAnsi="Times New Roman" w:cs="Times New Roman"/>
          <w:sz w:val="24"/>
          <w:szCs w:val="24"/>
          <w:lang w:eastAsia="en-GB"/>
        </w:rPr>
        <w:t>, 2006). But some rules, like the Tourism Tax, which was put in place to cut down on traffic, have an effect on how much hotels cost. Hotels in Amsterdam have to plan for this tax in their budgets, which could affect demand, especially from visitors on a budget. As an example, TripAdvisor (2023) says that the tax rate in Amsterdam is 7% of the room rate plus a flat €3 per person per night.</w:t>
      </w:r>
    </w:p>
    <w:p w14:paraId="28129DDB" w14:textId="052FEE8C" w:rsidR="00F40485" w:rsidRPr="00E45790" w:rsidRDefault="00F40485" w:rsidP="00E45790">
      <w:pPr>
        <w:spacing w:line="360" w:lineRule="auto"/>
        <w:jc w:val="both"/>
        <w:rPr>
          <w:rFonts w:ascii="Times New Roman" w:hAnsi="Times New Roman" w:cs="Times New Roman"/>
          <w:b/>
          <w:bCs/>
          <w:sz w:val="24"/>
          <w:szCs w:val="24"/>
          <w:lang w:eastAsia="en-GB"/>
        </w:rPr>
      </w:pPr>
      <w:r w:rsidRPr="00E45790">
        <w:rPr>
          <w:rFonts w:ascii="Times New Roman" w:hAnsi="Times New Roman" w:cs="Times New Roman"/>
          <w:b/>
          <w:bCs/>
          <w:sz w:val="24"/>
          <w:szCs w:val="24"/>
          <w:lang w:eastAsia="en-GB"/>
        </w:rPr>
        <w:t>Legal</w:t>
      </w:r>
    </w:p>
    <w:p w14:paraId="19A13E78" w14:textId="710113C3" w:rsidR="00F40485" w:rsidRPr="00E45790" w:rsidRDefault="00F4048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The hotel industry in Amsterdam is governed by strict laws that cover things like worker rights, safety, and data privacy. The Netherlands has strict labour laws that protect workers' rights. These laws include limits on working hours, a minimum wage, and health benefits. These laws affect the costs of running a hotel (Zaken, 2017). Hotels also have to follow strict rules to keep both guests and staff safe because of health and safety laws. With more and more transactions and data being collected digitally, GDPR compliance is an important law issue for Amsterdam hotels that have a lot of foreign guests. If you don't follow these data-privacy rules, you could face big fines and damage to your image. Protecting guest data is very important in the hospitality industry; not following data-security rules could hurt a hotel's image and lose customers' trust.</w:t>
      </w:r>
    </w:p>
    <w:p w14:paraId="59E652BD" w14:textId="4D63FAE2" w:rsidR="00F40485" w:rsidRPr="00E45790" w:rsidRDefault="00F40485" w:rsidP="00E45790">
      <w:pPr>
        <w:spacing w:line="360" w:lineRule="auto"/>
        <w:jc w:val="both"/>
        <w:rPr>
          <w:rFonts w:ascii="Times New Roman" w:hAnsi="Times New Roman" w:cs="Times New Roman"/>
          <w:b/>
          <w:bCs/>
          <w:sz w:val="24"/>
          <w:szCs w:val="24"/>
          <w:lang w:eastAsia="en-GB"/>
        </w:rPr>
      </w:pPr>
      <w:r w:rsidRPr="00E45790">
        <w:rPr>
          <w:rFonts w:ascii="Times New Roman" w:hAnsi="Times New Roman" w:cs="Times New Roman"/>
          <w:b/>
          <w:bCs/>
          <w:sz w:val="24"/>
          <w:szCs w:val="24"/>
          <w:lang w:eastAsia="en-GB"/>
        </w:rPr>
        <w:t>Ethical</w:t>
      </w:r>
    </w:p>
    <w:p w14:paraId="55788231" w14:textId="740111FF" w:rsidR="00F40485" w:rsidRPr="00E45790" w:rsidRDefault="00F4048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lastRenderedPageBreak/>
        <w:t>In Amsterdam's hotel business, ethical issues include working conditions, the openness of the supply chain, and the privacy of guests. To stop abuse and boost happiness, it's important to pay workers a fair wage and set decent hours. Hotels are closely watched when it comes to where they get their supplies and food. Guests expect hotels to be socially responsible, so they buy things like fish that is grown in a responsible way or coffee that has been approved as fair trade. Ethical marketing also requires that advertising materials be truthful and don't make false promises about services or green credentials. Data ethics is more than just following the law. Hotels must be honest with their guests' information, getting their permission before using it, and keeping it safe from being misused. Following these moral guidelines builds trust, boosts the image of a brand, and makes hotel operations more in line with the values of visitors who care about the world.</w:t>
      </w:r>
    </w:p>
    <w:p w14:paraId="5C46B641" w14:textId="65B5FA73" w:rsidR="00F40485" w:rsidRPr="00E45790" w:rsidRDefault="00F40485" w:rsidP="00E45790">
      <w:pPr>
        <w:pStyle w:val="EU"/>
        <w:spacing w:line="360" w:lineRule="auto"/>
        <w:rPr>
          <w:rFonts w:ascii="Times New Roman" w:hAnsi="Times New Roman" w:cs="Times New Roman"/>
          <w:color w:val="auto"/>
        </w:rPr>
      </w:pPr>
      <w:bookmarkStart w:id="5" w:name="_Toc201353361"/>
      <w:r w:rsidRPr="00E45790">
        <w:rPr>
          <w:rFonts w:ascii="Times New Roman" w:hAnsi="Times New Roman" w:cs="Times New Roman"/>
          <w:color w:val="auto"/>
        </w:rPr>
        <w:t>TOWS Analysis</w:t>
      </w:r>
      <w:bookmarkEnd w:id="5"/>
    </w:p>
    <w:p w14:paraId="5DCAF38C" w14:textId="4F3597AB" w:rsidR="00F40485" w:rsidRPr="00E45790" w:rsidRDefault="00F40485" w:rsidP="00E45790">
      <w:pPr>
        <w:spacing w:line="360" w:lineRule="auto"/>
        <w:jc w:val="both"/>
        <w:rPr>
          <w:rFonts w:ascii="Times New Roman" w:hAnsi="Times New Roman" w:cs="Times New Roman"/>
          <w:sz w:val="24"/>
          <w:szCs w:val="24"/>
          <w:lang w:eastAsia="en-GB"/>
        </w:rPr>
      </w:pP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 suggests that the hotel use its great location and long history to create immersive cultural packages that meet the growing demand for experiential travel (Sampaio, João Renato Sebastião and Farinha, 2024) and also hold special events to promote its Michelin-starred dining to attract foodies and increase market appeal. Bardukova (2023) says that to protect against other housing options like Airbnb, </w:t>
      </w: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 suggests highlighting the property's custom services and unique features and starting a strong reward program to encourage return business and strengthen guest loyalty. The company knows that high employee turnover makes it harder to provide consistent service. To improve employee satisfaction and retention, they suggest implementing comprehensive training and career-path development programs that are in line with best practices in the sector (Baron and Armstrong, 2007). They also suggest implementing sustainable operations, such as upgrades that use less energy, to meet the needs of environmentally conscious guests and lower operating costs. As a last resort, </w:t>
      </w: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 suggests expanding the business's income sources by hosting events and forming partnerships with local businesses making employees more motivated by offering rewards and competitive pay; and regularly fixing up the historic buildings to maintain high standards of guest experience (Johnson et al., 2020).</w:t>
      </w:r>
    </w:p>
    <w:p w14:paraId="0C4A975A" w14:textId="79379838" w:rsidR="00F40485" w:rsidRPr="00E45790" w:rsidRDefault="00CE4535" w:rsidP="00E45790">
      <w:pPr>
        <w:pStyle w:val="EU"/>
        <w:numPr>
          <w:ilvl w:val="0"/>
          <w:numId w:val="1"/>
        </w:numPr>
        <w:spacing w:line="360" w:lineRule="auto"/>
        <w:rPr>
          <w:rFonts w:ascii="Times New Roman" w:hAnsi="Times New Roman" w:cs="Times New Roman"/>
          <w:color w:val="auto"/>
        </w:rPr>
      </w:pPr>
      <w:bookmarkStart w:id="6" w:name="_Toc201353362"/>
      <w:r w:rsidRPr="00E45790">
        <w:rPr>
          <w:rFonts w:ascii="Times New Roman" w:hAnsi="Times New Roman" w:cs="Times New Roman"/>
          <w:color w:val="auto"/>
        </w:rPr>
        <w:lastRenderedPageBreak/>
        <w:t>Recommendations</w:t>
      </w:r>
      <w:bookmarkEnd w:id="6"/>
    </w:p>
    <w:p w14:paraId="249D0AE0" w14:textId="211B199C" w:rsidR="00F40485" w:rsidRPr="00E45790" w:rsidRDefault="00CE4535" w:rsidP="00E45790">
      <w:pPr>
        <w:pStyle w:val="ListParagraph"/>
        <w:numPr>
          <w:ilvl w:val="0"/>
          <w:numId w:val="3"/>
        </w:num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According to Becker and </w:t>
      </w:r>
      <w:proofErr w:type="spellStart"/>
      <w:r w:rsidRPr="00E45790">
        <w:rPr>
          <w:rFonts w:ascii="Times New Roman" w:hAnsi="Times New Roman" w:cs="Times New Roman"/>
          <w:sz w:val="24"/>
          <w:szCs w:val="24"/>
          <w:lang w:eastAsia="en-GB"/>
        </w:rPr>
        <w:t>Huselid</w:t>
      </w:r>
      <w:proofErr w:type="spellEnd"/>
      <w:r w:rsidRPr="00E45790">
        <w:rPr>
          <w:rFonts w:ascii="Times New Roman" w:hAnsi="Times New Roman" w:cs="Times New Roman"/>
          <w:sz w:val="24"/>
          <w:szCs w:val="24"/>
          <w:lang w:eastAsia="en-GB"/>
        </w:rPr>
        <w:t xml:space="preserve"> (2010), the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should institute an extensive Employee Retention Program to reduce staff turnover. The program would provide competitive compensation, clear career development pathways, and more employee engagement activities. A methodical and gradual approach should be used to execute the program. The hotel should start by doing a wage study to determine market rates for employee compensation (Holand Jr., 2024). In order to reduce turnover, it is essential to adjust compensation packages to match market values. The next step is to provide employees with measurable opportunities for advancement by instituting training and development programs that run quarterly (Mohd et al., 2020). The hotel's dedication to staff growth is shown in these initiatives, which increase abilities. To create a positive work environment and increase employee engagement, plan team-building events and recognition programs on a monthly basis (Baron and Armstrong, 2007). Staff growth and integration may be facilitated by the implementation of mentorship programs, which pair more seasoned workers with less experienced ones. Good change management is essential for the Employee Retention Program's smooth rollout (Kotter, 2012). Involvement and clear communication of the program's benefits by management should pique employees' interest. Goleman, Boyatzis, and McKee (2013) found that transitions go more smoothly when help is provided at each phase, such coaching and quickly resolving difficulties. Employees are more likely to participate in and take pride in the changes made when feedback mechanisms, including anonymous suggestion channels and regular staff meetings, are in place. Program acceptance and commitment are both enhanced by this participatory strategy. Clearly defined Key Performance Indicators (KPIs) are necessary for assessing the Employee Retention Program's effectiveness. A reduction in employee departures may be measured by keeping an eye on staff turnover rates (Hausknecht, Rodda, and Howard, 2009). Regular employee satisfaction surveys may be used to measure the impact of engagement and morale increases. You may find out how much money you saved due to fewer hiring needs by keeping tabs on your recruitment and onboarding costs. Oh and Kim (2017) also noted that by looking at customer satisfaction levels, one can see if there is a correlation between higher staff </w:t>
      </w:r>
      <w:r w:rsidRPr="00E45790">
        <w:rPr>
          <w:rFonts w:ascii="Times New Roman" w:hAnsi="Times New Roman" w:cs="Times New Roman"/>
          <w:sz w:val="24"/>
          <w:szCs w:val="24"/>
          <w:lang w:eastAsia="en-GB"/>
        </w:rPr>
        <w:lastRenderedPageBreak/>
        <w:t xml:space="preserve">stability and better service quality and tourist experiences. These metrics provide measurable information for assessing the effectiveness of the program. Early financial inputs are necessary to implement the Employee Retention Program. Depending on how well the market aligns, salary adjustments might increase payroll expenses by 5-10%. On an annual basis, it may cost roughly €1,000 to fund training sessions for each employee. According to Robbins, Judge, and </w:t>
      </w:r>
      <w:proofErr w:type="spellStart"/>
      <w:r w:rsidRPr="00E45790">
        <w:rPr>
          <w:rFonts w:ascii="Times New Roman" w:hAnsi="Times New Roman" w:cs="Times New Roman"/>
          <w:sz w:val="24"/>
          <w:szCs w:val="24"/>
          <w:lang w:eastAsia="en-GB"/>
        </w:rPr>
        <w:t>Breward</w:t>
      </w:r>
      <w:proofErr w:type="spellEnd"/>
      <w:r w:rsidRPr="00E45790">
        <w:rPr>
          <w:rFonts w:ascii="Times New Roman" w:hAnsi="Times New Roman" w:cs="Times New Roman"/>
          <w:sz w:val="24"/>
          <w:szCs w:val="24"/>
          <w:lang w:eastAsia="en-GB"/>
        </w:rPr>
        <w:t xml:space="preserve"> (2016), engagement activities like recognition programs and team-building events may cost up to €500 each. These costs are considerable, but they should be more than covered by the money you save on turnover-related costs like advertising for and training new workers. The projects' ROI may be better estimated with a thorough cost-benefit analysis (Mathis and Jackson, 2011).</w:t>
      </w:r>
    </w:p>
    <w:p w14:paraId="5715BB80" w14:textId="5E0E866E" w:rsidR="00CE4535" w:rsidRPr="00E45790" w:rsidRDefault="00CE4535" w:rsidP="00E45790">
      <w:pPr>
        <w:pStyle w:val="ListParagraph"/>
        <w:numPr>
          <w:ilvl w:val="0"/>
          <w:numId w:val="3"/>
        </w:num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Seminars, mentoring, and well-defined career pathways are all components of an effective development program that the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might use to better serve its employees' needs for professional growth and development. This initiative aims to improve work satisfaction and engagement in order to raise employee capacities, encourage professional growth, and decrease staff turnover (</w:t>
      </w:r>
      <w:proofErr w:type="spellStart"/>
      <w:r w:rsidRPr="00E45790">
        <w:rPr>
          <w:rFonts w:ascii="Times New Roman" w:hAnsi="Times New Roman" w:cs="Times New Roman"/>
          <w:sz w:val="24"/>
          <w:szCs w:val="24"/>
          <w:lang w:eastAsia="en-GB"/>
        </w:rPr>
        <w:t>Jehanzeb</w:t>
      </w:r>
      <w:proofErr w:type="spellEnd"/>
      <w:r w:rsidRPr="00E45790">
        <w:rPr>
          <w:rFonts w:ascii="Times New Roman" w:hAnsi="Times New Roman" w:cs="Times New Roman"/>
          <w:sz w:val="24"/>
          <w:szCs w:val="24"/>
          <w:lang w:eastAsia="en-GB"/>
        </w:rPr>
        <w:t xml:space="preserve"> and Bashir, 2013). A multi-tiered training program that accounts for different levels of personnel should be implemented by the hotel. Supervisors may enhance their management abilities and cultivate effective team leadership via leadership training (Day et al., 2014). According to Brown, Thomas, and Bosselman (2015), front-line employees should regularly participate in skill-building programs that emphasise communication, hospitality best practices, and providing excellent customer service. Knowledge transfer and career advancement may both benefit from mentorship pairings between more seasoned employees and fresh recruits. Garavan, Carbery, and Rock (2012) noted that working with third-party training providers may offer access to up-to-date market knowledge and specific abilities. It is important to give workers with well-defined career pathways that outline the skills and achievements needed for advancement in the company. Management may boost employee buy-in to the development program by incorporating their feedback into the creation of training materials (</w:t>
      </w:r>
      <w:proofErr w:type="spellStart"/>
      <w:r w:rsidRPr="00E45790">
        <w:rPr>
          <w:rFonts w:ascii="Times New Roman" w:hAnsi="Times New Roman" w:cs="Times New Roman"/>
          <w:sz w:val="24"/>
          <w:szCs w:val="24"/>
          <w:lang w:eastAsia="en-GB"/>
        </w:rPr>
        <w:t>Kuvaas</w:t>
      </w:r>
      <w:proofErr w:type="spellEnd"/>
      <w:r w:rsidRPr="00E45790">
        <w:rPr>
          <w:rFonts w:ascii="Times New Roman" w:hAnsi="Times New Roman" w:cs="Times New Roman"/>
          <w:sz w:val="24"/>
          <w:szCs w:val="24"/>
          <w:lang w:eastAsia="en-GB"/>
        </w:rPr>
        <w:t xml:space="preserve">, 2006). Improving participation and demonstrating real benefits may be achieved by sharing success stories of people who have finished the program. An </w:t>
      </w:r>
      <w:r w:rsidRPr="00E45790">
        <w:rPr>
          <w:rFonts w:ascii="Times New Roman" w:hAnsi="Times New Roman" w:cs="Times New Roman"/>
          <w:sz w:val="24"/>
          <w:szCs w:val="24"/>
          <w:lang w:eastAsia="en-GB"/>
        </w:rPr>
        <w:lastRenderedPageBreak/>
        <w:t>effective way to boost engagement and commitment is to consistently praise and acknowledge achievements. According to Albrecht et al. (2015), it is recommended to establish regular feedback channels so that staff members may express their ideas and the program can be adjusted appropriately. Training attendance rates, skill assessment improvements, and internal promotion rates are some key performance indicators that may be used to measure the effectiveness of a training and development program. Views of advancement opportunities and their impact on job happiness may be measured using employee satisfaction questionnaires. Customer satisfaction ratings may be used to track the impact of staff skill improvements on client experiences. Another indicator of the program's success in retaining workers is a decrease in staff turnover rates (Van Dam, 2013). Investments in seminar attendance, external trainer compensation, and program materials constitute the development program's operational expenditures. Depending on the provider and the length of the workshop, the price might range from €1,000 to €3,000 (Salas et al., 2012). It takes more time than money to run a mentoring program. Better staff performance, better retention rates, and more satisfied customers mean more money in the bank, therefore it's important to weigh all of the costs against the expected productivity benefits. To make sure the program is profitable, a detailed cost-benefit analysis has to be conducted.</w:t>
      </w:r>
    </w:p>
    <w:p w14:paraId="5B7BE481" w14:textId="470EC6B8" w:rsidR="00CE4535" w:rsidRPr="00E45790" w:rsidRDefault="00CE4535" w:rsidP="00E45790">
      <w:pPr>
        <w:pStyle w:val="ListParagraph"/>
        <w:numPr>
          <w:ilvl w:val="0"/>
          <w:numId w:val="3"/>
        </w:num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Sustainable operating techniques, including as energy-efficient renovations, trash reduction efforts, and the utilisation of locally made amenities, are recommended for the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In addition to satisfying the growing demand from customers for ecologically conscious businesses, these sustainable practices have the potential to enhance the hotel's environmental performance, save operational costs, and improve the hotel's brand image (Font and McCabe, 2017). Sustainable practices should be gradually implemented by the hotel. Saving a tonne of money on energy bills is possible just by switching to energy-efficient lighting, like LEDs. Recycling and cutting down on single-use plastics are two further waste reduction initiatives that the hotel may launch (Singh, Cranage, &amp; Lee, 2014). Building relationships with nearby vendors for food and utilities helps the local economy and reduces transportation's negative impact on the environment. Employees may be more effective if they are trained on sustainability standards and involved in </w:t>
      </w:r>
      <w:r w:rsidRPr="00E45790">
        <w:rPr>
          <w:rFonts w:ascii="Times New Roman" w:hAnsi="Times New Roman" w:cs="Times New Roman"/>
          <w:sz w:val="24"/>
          <w:szCs w:val="24"/>
          <w:lang w:eastAsia="en-GB"/>
        </w:rPr>
        <w:lastRenderedPageBreak/>
        <w:t>these initiatives. According to Chan and Hsu (2016), hotels may show their dedication to sustainability by getting green certifications like Green Key or ISO 14001. For sustainability projects to be successfully implemented, employee engagement is crucial. Training sessions should be conducted by the hotel to inform employees of the significance of sustainability and how they may help achieve environmental objectives. Sustainability efforts might benefit from employee participation and fresh ideas fostered via recognition programs (Wang et al., 2012). It is important to keep lines of communication open in order to encourage feedback and ongoing improvement. By encouraging a culture of environmental responsibility, businesses may increase the likelihood that their employees will be enthusiastic about and engaged in adopting sustainable practices. Key performance indicators (KPIs) include utility cost reductions, waste production metrics, and guest opinions on sustainability initiatives may help the hotel assess the success of sustainable operating processes. One way to measure the impact of energy efficiency is to compare energy use before and after the installation of new equipment. The effectiveness of waste reduction methods may be evaluated via trash audits. Surveys of hotel guests might reveal their thoughts and feelings about the establishment's eco-friendly initiatives (Han, Yu, and Kim, 2019). The environmental and economic benefits of the chosen techniques may be better ascertained with the use of these indicators. The purchase of energy-efficient equipment and participation in training programs are examples of upfront costs associated with implementing sustainable practices. Minimising waste has the dual benefit of lowering disposal costs and increasing the likelihood of financial gain from recycling programs. The hotel may increase its revenue and occupancy rates by appealing to eco-conscious clients by enhancing its sustainable image (González-Rodríguez et al., 2020). In order to assess the financial viability and return on investment of these endeavours, a thorough cost-benefit analysis has to be conducted.</w:t>
      </w:r>
    </w:p>
    <w:p w14:paraId="4550AB11" w14:textId="7EF9047E" w:rsidR="00CE4535" w:rsidRPr="00E45790" w:rsidRDefault="00CE4535" w:rsidP="00E45790">
      <w:pPr>
        <w:pStyle w:val="ListParagraph"/>
        <w:numPr>
          <w:ilvl w:val="0"/>
          <w:numId w:val="3"/>
        </w:num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According to Becker and </w:t>
      </w:r>
      <w:proofErr w:type="spellStart"/>
      <w:r w:rsidRPr="00E45790">
        <w:rPr>
          <w:rFonts w:ascii="Times New Roman" w:hAnsi="Times New Roman" w:cs="Times New Roman"/>
          <w:sz w:val="24"/>
          <w:szCs w:val="24"/>
          <w:lang w:eastAsia="en-GB"/>
        </w:rPr>
        <w:t>Huselid</w:t>
      </w:r>
      <w:proofErr w:type="spellEnd"/>
      <w:r w:rsidRPr="00E45790">
        <w:rPr>
          <w:rFonts w:ascii="Times New Roman" w:hAnsi="Times New Roman" w:cs="Times New Roman"/>
          <w:sz w:val="24"/>
          <w:szCs w:val="24"/>
          <w:lang w:eastAsia="en-GB"/>
        </w:rPr>
        <w:t xml:space="preserve"> (2010), the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should institute an extensive Employee Retention Program to reduce staff turnover. The program would provide competitive compensation, clear career development pathways, and more employee engagement activities. A methodical and gradual approach should be used to execute the program. The hotel should start by </w:t>
      </w:r>
      <w:r w:rsidRPr="00E45790">
        <w:rPr>
          <w:rFonts w:ascii="Times New Roman" w:hAnsi="Times New Roman" w:cs="Times New Roman"/>
          <w:sz w:val="24"/>
          <w:szCs w:val="24"/>
          <w:lang w:eastAsia="en-GB"/>
        </w:rPr>
        <w:lastRenderedPageBreak/>
        <w:t xml:space="preserve">doing a wage study to determine market rates for employee compensation (Holand Jr., 2024). In order to reduce turnover, it is essential to adjust compensation packages to match market values. The next step is to provide employees with measurable opportunities for advancement by instituting training and development programs that run quarterly (Mohd et al., 2020). The hotel's dedication to staff growth is shown in these initiatives, which increase abilities. To create a positive work environment and increase employee engagement, plan team-building events and recognition programs on a monthly basis (Baron and Armstrong, 2007). Staff growth and integration may be facilitated by the implementation of mentorship programs, which pair more seasoned workers with less experienced ones. Good change management is essential for the Employee Retention Program's smooth rollout (Kotter, 2012). Involvement and clear communication of the program's benefits by management should pique employees' interest. Goleman, Boyatzis, and McKee (2013) found that transitions go more smoothly when help is provided at each phase, such coaching and quickly resolving difficulties. Employees are more likely to participate in and take pride in the changes made when feedback mechanisms, including anonymous suggestion channels and regular staff meetings, are in place. Program acceptance and commitment are both enhanced by this participatory strategy. Clearly defined Key Performance Indicators (KPIs) are necessary for assessing the Employee Retention Program's effectiveness. A reduction in employee departures may be measured by keeping an eye on staff turnover rates (Hausknecht, Rodda, and Howard, 2009). Regular employee satisfaction surveys may be used to measure the impact of engagement and morale increases. You may find out how much money you saved due to fewer hiring needs by keeping tabs on your recruitment and onboarding costs. Oh and Kim (2017) also noted that by looking at customer satisfaction levels, one can see if there is a correlation between higher staff stability and better service quality and tourist experiences. These metrics provide measurable information for assessing the effectiveness of the program. Early financial inputs are necessary to implement the Employee Retention Program. Depending on how well the market aligns, salary adjustments might increase payroll expenses by 5-10%. On an annual basis, it may cost roughly €1,000 to fund training sessions for each employee. According to Robbins, Judge, and </w:t>
      </w:r>
      <w:proofErr w:type="spellStart"/>
      <w:r w:rsidRPr="00E45790">
        <w:rPr>
          <w:rFonts w:ascii="Times New Roman" w:hAnsi="Times New Roman" w:cs="Times New Roman"/>
          <w:sz w:val="24"/>
          <w:szCs w:val="24"/>
          <w:lang w:eastAsia="en-GB"/>
        </w:rPr>
        <w:t>Breward</w:t>
      </w:r>
      <w:proofErr w:type="spellEnd"/>
      <w:r w:rsidRPr="00E45790">
        <w:rPr>
          <w:rFonts w:ascii="Times New Roman" w:hAnsi="Times New Roman" w:cs="Times New Roman"/>
          <w:sz w:val="24"/>
          <w:szCs w:val="24"/>
          <w:lang w:eastAsia="en-GB"/>
        </w:rPr>
        <w:t xml:space="preserve"> (2016), engagement activities </w:t>
      </w:r>
      <w:r w:rsidRPr="00E45790">
        <w:rPr>
          <w:rFonts w:ascii="Times New Roman" w:hAnsi="Times New Roman" w:cs="Times New Roman"/>
          <w:sz w:val="24"/>
          <w:szCs w:val="24"/>
          <w:lang w:eastAsia="en-GB"/>
        </w:rPr>
        <w:lastRenderedPageBreak/>
        <w:t>like recognition programs and team-building events may cost up to €500 each. These costs are considerable, but they should be more than covered by the money you save on turnover-related costs like advertising for and training new workers. The projects' ROI may be better estimated with a thorough cost-benefit analysis (Mathis and Jackson, 2011).</w:t>
      </w:r>
    </w:p>
    <w:p w14:paraId="7685143A" w14:textId="07D04E81" w:rsidR="00CE4535" w:rsidRPr="00E45790" w:rsidRDefault="00CE4535" w:rsidP="00E45790">
      <w:pPr>
        <w:pStyle w:val="EU"/>
        <w:numPr>
          <w:ilvl w:val="0"/>
          <w:numId w:val="1"/>
        </w:numPr>
        <w:spacing w:line="360" w:lineRule="auto"/>
        <w:rPr>
          <w:rFonts w:ascii="Times New Roman" w:hAnsi="Times New Roman" w:cs="Times New Roman"/>
          <w:color w:val="auto"/>
        </w:rPr>
      </w:pPr>
      <w:bookmarkStart w:id="7" w:name="_Toc201353363"/>
      <w:r w:rsidRPr="00E45790">
        <w:rPr>
          <w:rFonts w:ascii="Times New Roman" w:hAnsi="Times New Roman" w:cs="Times New Roman"/>
          <w:color w:val="auto"/>
        </w:rPr>
        <w:t>Conclusion</w:t>
      </w:r>
      <w:bookmarkEnd w:id="7"/>
    </w:p>
    <w:p w14:paraId="37F9D4FD" w14:textId="420B9314" w:rsidR="00CE4535" w:rsidRPr="00E45790" w:rsidRDefault="00CE4535"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To conclude, by improving operational resilience, guest experiences, and addressing the reasons of high staff turnover, the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can convert its historic heritage into a sustainable competitive advantage with the help of </w:t>
      </w: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Strategy's comprehensive strategy. The hotel plans to implement a systematic Employee Retention Program that will help them pay their employees a competitive wage, provide them with quarterly training modules to map out their career paths, and encourage a healthy work environment via frequent mentoring and recognition programs. By providing workers with the resources and inspiration they need to succeed, this program will boost service quality, increase team cohesiveness, and cut down on recruiting expenses. At the same time, the hotel is going to invest in energy-efficient lights, water conservation measures, and waste reduction technologies, and will start rolling out sustainable operations in stages. Reduced electricity costs, lessened environmental effect, and reaffirmed brand commitment to responsible tourism are all outcomes of these eco-friendly enhancements and local sourcing collaborations. Involvement of the staff in these initiatives, backed by focused training and group brainstorming sessions, will increase morale and give everyone a stake in the hotel's environmental objectives. An immersive historical experience and exclusive culinary events that take use of the hotel's outstanding position and Michelin-starred cuisine will be developed under the guidance of </w:t>
      </w:r>
      <w:proofErr w:type="spellStart"/>
      <w:r w:rsidRPr="00E45790">
        <w:rPr>
          <w:rFonts w:ascii="Times New Roman" w:hAnsi="Times New Roman" w:cs="Times New Roman"/>
          <w:sz w:val="24"/>
          <w:szCs w:val="24"/>
          <w:lang w:eastAsia="en-GB"/>
        </w:rPr>
        <w:t>VistaCore</w:t>
      </w:r>
      <w:proofErr w:type="spellEnd"/>
      <w:r w:rsidRPr="00E45790">
        <w:rPr>
          <w:rFonts w:ascii="Times New Roman" w:hAnsi="Times New Roman" w:cs="Times New Roman"/>
          <w:sz w:val="24"/>
          <w:szCs w:val="24"/>
          <w:lang w:eastAsia="en-GB"/>
        </w:rPr>
        <w:t xml:space="preserve"> Strategy in order to diversify income and take advantage of changing market trends. The hotel may attract experiential tourists looking for unique experiences and new gastronomic frontiers by creating custom cultural packages and partnering with regional cultural organisations and artisanal suppliers. Rewarding repeat customers with tailored offerings via a revamped loyalty program will increase occupancy during off-peak times and fortify customer loyalty. A strong system of measurements and oversight supports every facet of this strategy. The data-driven insights into success and opportunities for </w:t>
      </w:r>
      <w:r w:rsidRPr="00E45790">
        <w:rPr>
          <w:rFonts w:ascii="Times New Roman" w:hAnsi="Times New Roman" w:cs="Times New Roman"/>
          <w:sz w:val="24"/>
          <w:szCs w:val="24"/>
          <w:lang w:eastAsia="en-GB"/>
        </w:rPr>
        <w:lastRenderedPageBreak/>
        <w:t xml:space="preserve">improvement will be provided via key performance indicators, which include things like energy use standards, waste audit findings, visitor satisfaction ratings, and attrition rates and internal promotion frequencies. Senior management and staff representatives will form a dedicated steering group to monitor implementation, make sure course corrections are done quickly, and keep communication clear across divisions. The hotel can achieve a virtuous cycle by integrating revenue innovation, environmental stewardship, and human resource optimisation. This will lead to lower attrition, which in turn will fuel consistent service delivery, strong brand reputation, and increased revenues, which can be used to fund further investments in sustainable infrastructure and staff development. By incorporating contemporary methods of people management, eco-efficiency, and experience hospitality, the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will gradually reassume its status as the preeminent Amsterdam luxury destination. It will also serve as an example for other historic buildings looking to survive. This comprehensive plan ensures the hotel's prestigious image is protected, generates quantifiable returns on investment, and sets the stage for long-term success in the cutthroat and ever-changing hospitality industry.</w:t>
      </w:r>
    </w:p>
    <w:p w14:paraId="6811FA3E" w14:textId="5A5DF08A" w:rsidR="00CE4535" w:rsidRPr="00E45790" w:rsidRDefault="00CE4535" w:rsidP="00E45790">
      <w:pPr>
        <w:pStyle w:val="EU"/>
        <w:numPr>
          <w:ilvl w:val="0"/>
          <w:numId w:val="1"/>
        </w:numPr>
        <w:spacing w:line="360" w:lineRule="auto"/>
        <w:rPr>
          <w:rFonts w:ascii="Times New Roman" w:hAnsi="Times New Roman" w:cs="Times New Roman"/>
          <w:color w:val="auto"/>
        </w:rPr>
      </w:pPr>
      <w:bookmarkStart w:id="8" w:name="_Toc201353364"/>
      <w:r w:rsidRPr="00E45790">
        <w:rPr>
          <w:rFonts w:ascii="Times New Roman" w:hAnsi="Times New Roman" w:cs="Times New Roman"/>
          <w:color w:val="auto"/>
        </w:rPr>
        <w:t>Action Plan</w:t>
      </w:r>
      <w:bookmarkEnd w:id="8"/>
    </w:p>
    <w:tbl>
      <w:tblPr>
        <w:tblStyle w:val="TableGrid"/>
        <w:tblW w:w="0" w:type="auto"/>
        <w:tblLook w:val="04A0" w:firstRow="1" w:lastRow="0" w:firstColumn="1" w:lastColumn="0" w:noHBand="0" w:noVBand="1"/>
      </w:tblPr>
      <w:tblGrid>
        <w:gridCol w:w="664"/>
        <w:gridCol w:w="1567"/>
        <w:gridCol w:w="1669"/>
        <w:gridCol w:w="1565"/>
        <w:gridCol w:w="1069"/>
        <w:gridCol w:w="1350"/>
        <w:gridCol w:w="1132"/>
      </w:tblGrid>
      <w:tr w:rsidR="00E45790" w:rsidRPr="00E45790" w14:paraId="0C9A9DBD" w14:textId="77777777" w:rsidTr="00E45790">
        <w:tc>
          <w:tcPr>
            <w:tcW w:w="935" w:type="dxa"/>
          </w:tcPr>
          <w:p w14:paraId="5083BAF0" w14:textId="259EC1A7"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No.</w:t>
            </w:r>
          </w:p>
        </w:tc>
        <w:tc>
          <w:tcPr>
            <w:tcW w:w="1454" w:type="dxa"/>
          </w:tcPr>
          <w:p w14:paraId="68A761D4" w14:textId="5677F9AF"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Problem</w:t>
            </w:r>
          </w:p>
        </w:tc>
        <w:tc>
          <w:tcPr>
            <w:tcW w:w="1582" w:type="dxa"/>
          </w:tcPr>
          <w:p w14:paraId="7860EE49" w14:textId="53B29C7E"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Solution</w:t>
            </w:r>
          </w:p>
        </w:tc>
        <w:tc>
          <w:tcPr>
            <w:tcW w:w="1489" w:type="dxa"/>
          </w:tcPr>
          <w:p w14:paraId="39A2526B" w14:textId="062A7986"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Desired Outcome</w:t>
            </w:r>
          </w:p>
        </w:tc>
        <w:tc>
          <w:tcPr>
            <w:tcW w:w="1106" w:type="dxa"/>
          </w:tcPr>
          <w:p w14:paraId="23409BEE" w14:textId="2684C4CD"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Time Scale</w:t>
            </w:r>
          </w:p>
        </w:tc>
        <w:tc>
          <w:tcPr>
            <w:tcW w:w="1272" w:type="dxa"/>
          </w:tcPr>
          <w:p w14:paraId="00AAB0C3" w14:textId="4E7EAC03"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Completion Date</w:t>
            </w:r>
          </w:p>
        </w:tc>
        <w:tc>
          <w:tcPr>
            <w:tcW w:w="1178" w:type="dxa"/>
          </w:tcPr>
          <w:p w14:paraId="2F4BDE44" w14:textId="6C99CA20"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Planned Budget</w:t>
            </w:r>
          </w:p>
        </w:tc>
      </w:tr>
      <w:tr w:rsidR="00E45790" w:rsidRPr="00E45790" w14:paraId="77BD5FF7" w14:textId="77777777" w:rsidTr="00E45790">
        <w:tc>
          <w:tcPr>
            <w:tcW w:w="935" w:type="dxa"/>
          </w:tcPr>
          <w:p w14:paraId="22A22222" w14:textId="62EC2210"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1</w:t>
            </w:r>
          </w:p>
        </w:tc>
        <w:tc>
          <w:tcPr>
            <w:tcW w:w="1454" w:type="dxa"/>
          </w:tcPr>
          <w:p w14:paraId="4104329A" w14:textId="17E3A425"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High staff turnover leading to service inconsistency, rising recruiting and training costs, and low morale.</w:t>
            </w:r>
          </w:p>
        </w:tc>
        <w:tc>
          <w:tcPr>
            <w:tcW w:w="1582" w:type="dxa"/>
          </w:tcPr>
          <w:p w14:paraId="591621A3" w14:textId="131CDB3D"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Launch a structured Employee Retention Program including a comprehensive wage review to align salaries with market rates; quarterly, role-</w:t>
            </w:r>
            <w:r w:rsidRPr="00E45790">
              <w:rPr>
                <w:rFonts w:ascii="Times New Roman" w:hAnsi="Times New Roman" w:cs="Times New Roman"/>
                <w:sz w:val="24"/>
                <w:szCs w:val="24"/>
              </w:rPr>
              <w:lastRenderedPageBreak/>
              <w:t>specific training modules; formal mentorship pairings between veteran and junior staff; monthly recognition events and anonymous feedback channels to capture and address concerns in real time.</w:t>
            </w:r>
          </w:p>
        </w:tc>
        <w:tc>
          <w:tcPr>
            <w:tcW w:w="1489" w:type="dxa"/>
          </w:tcPr>
          <w:p w14:paraId="41154AB9" w14:textId="551364B0"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lastRenderedPageBreak/>
              <w:t xml:space="preserve">Reduce voluntary turnover by 20%, strengthen team cohesion, and elevate service quality through higher staff </w:t>
            </w:r>
            <w:r w:rsidRPr="00E45790">
              <w:rPr>
                <w:rFonts w:ascii="Times New Roman" w:hAnsi="Times New Roman" w:cs="Times New Roman"/>
                <w:sz w:val="24"/>
                <w:szCs w:val="24"/>
              </w:rPr>
              <w:lastRenderedPageBreak/>
              <w:t>engagement and satisfaction.</w:t>
            </w:r>
          </w:p>
        </w:tc>
        <w:tc>
          <w:tcPr>
            <w:tcW w:w="1106" w:type="dxa"/>
          </w:tcPr>
          <w:p w14:paraId="68E0733F" w14:textId="640A903F"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lastRenderedPageBreak/>
              <w:t>6 months</w:t>
            </w:r>
          </w:p>
        </w:tc>
        <w:tc>
          <w:tcPr>
            <w:tcW w:w="1272" w:type="dxa"/>
          </w:tcPr>
          <w:p w14:paraId="05B22224" w14:textId="044CB8B3"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2025-09-30</w:t>
            </w:r>
          </w:p>
        </w:tc>
        <w:tc>
          <w:tcPr>
            <w:tcW w:w="1178" w:type="dxa"/>
          </w:tcPr>
          <w:p w14:paraId="1DD461EC" w14:textId="2119F56B"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£150,000</w:t>
            </w:r>
          </w:p>
        </w:tc>
      </w:tr>
      <w:tr w:rsidR="00E45790" w:rsidRPr="00E45790" w14:paraId="39F202A0" w14:textId="77777777" w:rsidTr="00E45790">
        <w:tc>
          <w:tcPr>
            <w:tcW w:w="935" w:type="dxa"/>
          </w:tcPr>
          <w:p w14:paraId="371780A4" w14:textId="36BA17BD"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2</w:t>
            </w:r>
          </w:p>
        </w:tc>
        <w:tc>
          <w:tcPr>
            <w:tcW w:w="1454" w:type="dxa"/>
          </w:tcPr>
          <w:p w14:paraId="1BAEDB70" w14:textId="1C2D7C30"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Rising utility and operational costs coupled with growing guest demand for eco-friendly practices.</w:t>
            </w:r>
          </w:p>
        </w:tc>
        <w:tc>
          <w:tcPr>
            <w:tcW w:w="1582" w:type="dxa"/>
          </w:tcPr>
          <w:p w14:paraId="1E251295" w14:textId="1801FEB4"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 xml:space="preserve">Implement Sustainable Operations in phases: retrofit public areas and back-of-house with LED lighting, smart HVAC controls, and low-flow </w:t>
            </w:r>
            <w:r w:rsidRPr="00E45790">
              <w:rPr>
                <w:rFonts w:ascii="Times New Roman" w:hAnsi="Times New Roman" w:cs="Times New Roman"/>
                <w:sz w:val="24"/>
                <w:szCs w:val="24"/>
              </w:rPr>
              <w:lastRenderedPageBreak/>
              <w:t>water fixtures; establish on-site composting and recycling stations; eliminate single-use plastics; partner with local, certified sustainable suppliers; and conduct staff sustainability workshops.</w:t>
            </w:r>
          </w:p>
        </w:tc>
        <w:tc>
          <w:tcPr>
            <w:tcW w:w="1489" w:type="dxa"/>
          </w:tcPr>
          <w:p w14:paraId="0F46AF21" w14:textId="1F94FAE3"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lastRenderedPageBreak/>
              <w:t xml:space="preserve">Achieve at least 10% reduction in energy and water costs, lower waste disposal expenses, and secure one green certification </w:t>
            </w:r>
            <w:r w:rsidRPr="00E45790">
              <w:rPr>
                <w:rFonts w:ascii="Times New Roman" w:hAnsi="Times New Roman" w:cs="Times New Roman"/>
                <w:sz w:val="24"/>
                <w:szCs w:val="24"/>
              </w:rPr>
              <w:lastRenderedPageBreak/>
              <w:t>(LEED or Green Key) to bolster brand reputation.</w:t>
            </w:r>
          </w:p>
        </w:tc>
        <w:tc>
          <w:tcPr>
            <w:tcW w:w="1106" w:type="dxa"/>
          </w:tcPr>
          <w:p w14:paraId="25B94607" w14:textId="3169927C"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lastRenderedPageBreak/>
              <w:t>9 months</w:t>
            </w:r>
          </w:p>
        </w:tc>
        <w:tc>
          <w:tcPr>
            <w:tcW w:w="1272" w:type="dxa"/>
          </w:tcPr>
          <w:p w14:paraId="4FC0477E" w14:textId="3A25657B"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2025-12-31</w:t>
            </w:r>
          </w:p>
        </w:tc>
        <w:tc>
          <w:tcPr>
            <w:tcW w:w="1178" w:type="dxa"/>
          </w:tcPr>
          <w:p w14:paraId="1E839B85" w14:textId="0AE47E94"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£200,000</w:t>
            </w:r>
          </w:p>
        </w:tc>
      </w:tr>
      <w:tr w:rsidR="00E45790" w:rsidRPr="00E45790" w14:paraId="744F1FF9" w14:textId="77777777" w:rsidTr="00E45790">
        <w:tc>
          <w:tcPr>
            <w:tcW w:w="935" w:type="dxa"/>
          </w:tcPr>
          <w:p w14:paraId="145B8EA4" w14:textId="369FEC6C"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3</w:t>
            </w:r>
          </w:p>
        </w:tc>
        <w:tc>
          <w:tcPr>
            <w:tcW w:w="1454" w:type="dxa"/>
          </w:tcPr>
          <w:p w14:paraId="177BED3E" w14:textId="303DCB85"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Dependence on room revenue with limited guest engagement outside core services.</w:t>
            </w:r>
          </w:p>
        </w:tc>
        <w:tc>
          <w:tcPr>
            <w:tcW w:w="1582" w:type="dxa"/>
          </w:tcPr>
          <w:p w14:paraId="084917D4" w14:textId="4DB57074"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 xml:space="preserve">Develop Experience-Driven Packages, including immersive heritage tours of the hotel’s historic architecture, exclusive culinary events with Michelin-starred chefs, </w:t>
            </w:r>
            <w:r w:rsidRPr="00E45790">
              <w:rPr>
                <w:rFonts w:ascii="Times New Roman" w:hAnsi="Times New Roman" w:cs="Times New Roman"/>
                <w:sz w:val="24"/>
                <w:szCs w:val="24"/>
              </w:rPr>
              <w:lastRenderedPageBreak/>
              <w:t>and curated off-site cultural excursions; integrate personalised offers via the loyalty programme; and promote through targeted digital campaigns.</w:t>
            </w:r>
          </w:p>
        </w:tc>
        <w:tc>
          <w:tcPr>
            <w:tcW w:w="1489" w:type="dxa"/>
          </w:tcPr>
          <w:p w14:paraId="7723CB3F" w14:textId="44A7E264"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lastRenderedPageBreak/>
              <w:t>Increase non-room revenue by 15%, enhance guest loyalty, and boost occupancy during off-peak periods through differentiated, high-value experiences.</w:t>
            </w:r>
          </w:p>
        </w:tc>
        <w:tc>
          <w:tcPr>
            <w:tcW w:w="1106" w:type="dxa"/>
          </w:tcPr>
          <w:p w14:paraId="333928AC" w14:textId="77A4DE68"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4 months</w:t>
            </w:r>
          </w:p>
        </w:tc>
        <w:tc>
          <w:tcPr>
            <w:tcW w:w="1272" w:type="dxa"/>
          </w:tcPr>
          <w:p w14:paraId="32DA20D5" w14:textId="0AF531F2"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2025-07-31</w:t>
            </w:r>
          </w:p>
        </w:tc>
        <w:tc>
          <w:tcPr>
            <w:tcW w:w="1178" w:type="dxa"/>
          </w:tcPr>
          <w:p w14:paraId="752A56C1" w14:textId="63BD30E5"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£50,000</w:t>
            </w:r>
          </w:p>
        </w:tc>
      </w:tr>
      <w:tr w:rsidR="00E45790" w:rsidRPr="00E45790" w14:paraId="08C24659" w14:textId="77777777" w:rsidTr="00E45790">
        <w:tc>
          <w:tcPr>
            <w:tcW w:w="935" w:type="dxa"/>
          </w:tcPr>
          <w:p w14:paraId="1A8A8906" w14:textId="656A38D5"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4</w:t>
            </w:r>
          </w:p>
        </w:tc>
        <w:tc>
          <w:tcPr>
            <w:tcW w:w="1454" w:type="dxa"/>
          </w:tcPr>
          <w:p w14:paraId="4FB75E81" w14:textId="371342D5"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Inconsistent guest retention and limited data on repeat booking drivers.</w:t>
            </w:r>
          </w:p>
        </w:tc>
        <w:tc>
          <w:tcPr>
            <w:tcW w:w="1582" w:type="dxa"/>
          </w:tcPr>
          <w:p w14:paraId="48B164F6" w14:textId="78F7BE17"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 xml:space="preserve">Upgrade the Loyalty &amp; CRM System with data analytics capabilities to track guest preferences, automate personalised offers, and segment high-value customers; design tiered rewards; train staff on CRM </w:t>
            </w:r>
            <w:r w:rsidRPr="00E45790">
              <w:rPr>
                <w:rFonts w:ascii="Times New Roman" w:hAnsi="Times New Roman" w:cs="Times New Roman"/>
                <w:sz w:val="24"/>
                <w:szCs w:val="24"/>
              </w:rPr>
              <w:lastRenderedPageBreak/>
              <w:t>use; and launch a digital app for real-time engagement and feedback collection.</w:t>
            </w:r>
          </w:p>
        </w:tc>
        <w:tc>
          <w:tcPr>
            <w:tcW w:w="1489" w:type="dxa"/>
          </w:tcPr>
          <w:p w14:paraId="587B12FF" w14:textId="53447AF4"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lastRenderedPageBreak/>
              <w:t>Grow repeat bookings by 20%, deepen guest relationships, and improve campaign ROI through data-driven marketing and tailored rewards.</w:t>
            </w:r>
          </w:p>
        </w:tc>
        <w:tc>
          <w:tcPr>
            <w:tcW w:w="1106" w:type="dxa"/>
          </w:tcPr>
          <w:p w14:paraId="0494B47B" w14:textId="052DD390"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5 months</w:t>
            </w:r>
          </w:p>
        </w:tc>
        <w:tc>
          <w:tcPr>
            <w:tcW w:w="1272" w:type="dxa"/>
          </w:tcPr>
          <w:p w14:paraId="57DC7F1D" w14:textId="4A19E486"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2025-08-31</w:t>
            </w:r>
          </w:p>
        </w:tc>
        <w:tc>
          <w:tcPr>
            <w:tcW w:w="1178" w:type="dxa"/>
          </w:tcPr>
          <w:p w14:paraId="410570B9" w14:textId="05490F37"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£75,000</w:t>
            </w:r>
          </w:p>
        </w:tc>
      </w:tr>
      <w:tr w:rsidR="00E45790" w:rsidRPr="00E45790" w14:paraId="4BEC8E13" w14:textId="77777777" w:rsidTr="00E45790">
        <w:tc>
          <w:tcPr>
            <w:tcW w:w="935" w:type="dxa"/>
          </w:tcPr>
          <w:p w14:paraId="20116F58" w14:textId="40838074"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5</w:t>
            </w:r>
          </w:p>
        </w:tc>
        <w:tc>
          <w:tcPr>
            <w:tcW w:w="1454" w:type="dxa"/>
          </w:tcPr>
          <w:p w14:paraId="57E9407C" w14:textId="0FE3C9C5"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Lack of coordinated oversight and insufficient performance monitoring across initiatives.</w:t>
            </w:r>
          </w:p>
        </w:tc>
        <w:tc>
          <w:tcPr>
            <w:tcW w:w="1582" w:type="dxa"/>
          </w:tcPr>
          <w:p w14:paraId="2A5BB3C2" w14:textId="30C04610"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 xml:space="preserve">Establish a Governance &amp; Metrics Framework: form a cross-functional steering committee (leadership, department heads, employee reps); define and publish KPIs (turnover rate, training completion, energy usage, waste diversion, guest satisfaction, incremental </w:t>
            </w:r>
            <w:r w:rsidRPr="00E45790">
              <w:rPr>
                <w:rFonts w:ascii="Times New Roman" w:hAnsi="Times New Roman" w:cs="Times New Roman"/>
                <w:sz w:val="24"/>
                <w:szCs w:val="24"/>
              </w:rPr>
              <w:lastRenderedPageBreak/>
              <w:t>revenue); deploy a real-time dashboard; and hold quarterly review meetings.</w:t>
            </w:r>
          </w:p>
        </w:tc>
        <w:tc>
          <w:tcPr>
            <w:tcW w:w="1489" w:type="dxa"/>
          </w:tcPr>
          <w:p w14:paraId="1B0BE3BC" w14:textId="5B4C8FD4"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lastRenderedPageBreak/>
              <w:t>Ensure transparent, data-driven decision-making; enable timely corrective actions; maintain stakeholder alignment; and track return on investment across all strategic pillars.</w:t>
            </w:r>
          </w:p>
        </w:tc>
        <w:tc>
          <w:tcPr>
            <w:tcW w:w="1106" w:type="dxa"/>
          </w:tcPr>
          <w:p w14:paraId="322C5700" w14:textId="2336A4D0"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Ongoing (3-month pilot)</w:t>
            </w:r>
          </w:p>
        </w:tc>
        <w:tc>
          <w:tcPr>
            <w:tcW w:w="1272" w:type="dxa"/>
          </w:tcPr>
          <w:p w14:paraId="6A125B36" w14:textId="025D8F84"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2025-05-31</w:t>
            </w:r>
          </w:p>
        </w:tc>
        <w:tc>
          <w:tcPr>
            <w:tcW w:w="1178" w:type="dxa"/>
          </w:tcPr>
          <w:p w14:paraId="5D421A01" w14:textId="57C9CD53" w:rsidR="00E45790" w:rsidRPr="00E45790" w:rsidRDefault="00E45790" w:rsidP="00E45790">
            <w:pPr>
              <w:spacing w:line="360" w:lineRule="auto"/>
              <w:jc w:val="both"/>
              <w:rPr>
                <w:rFonts w:ascii="Times New Roman" w:hAnsi="Times New Roman" w:cs="Times New Roman"/>
                <w:sz w:val="24"/>
                <w:szCs w:val="24"/>
                <w:lang w:eastAsia="en-GB"/>
              </w:rPr>
            </w:pPr>
            <w:r w:rsidRPr="00E45790">
              <w:rPr>
                <w:rFonts w:ascii="Times New Roman" w:hAnsi="Times New Roman" w:cs="Times New Roman"/>
                <w:sz w:val="24"/>
                <w:szCs w:val="24"/>
              </w:rPr>
              <w:t>£25,000</w:t>
            </w:r>
          </w:p>
        </w:tc>
      </w:tr>
    </w:tbl>
    <w:p w14:paraId="1EC0AD96" w14:textId="066CBE50" w:rsidR="00F40485" w:rsidRPr="00E45790" w:rsidRDefault="00F40485" w:rsidP="00E45790">
      <w:pPr>
        <w:spacing w:line="360" w:lineRule="auto"/>
        <w:jc w:val="both"/>
        <w:rPr>
          <w:rFonts w:ascii="Times New Roman" w:hAnsi="Times New Roman" w:cs="Times New Roman"/>
          <w:sz w:val="24"/>
          <w:szCs w:val="24"/>
          <w:lang w:eastAsia="en-GB"/>
        </w:rPr>
      </w:pPr>
    </w:p>
    <w:p w14:paraId="0F591DEC"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1A4F05D3"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48F97050"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28C6C378"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43DE9F12"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054107B5"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3C219A3A"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10E03951"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7728CB69"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5905A657"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35547E2D"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187BD303"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781C10D7"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2316B9D5"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77654625"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6ECFDF72"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4628ECBA"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634DFF3D"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07DEC4E7"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639A9218"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21146CCA"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7B1C9091"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5E89459C" w14:textId="4EBA0B56" w:rsidR="00E45790" w:rsidRPr="00E45790" w:rsidRDefault="00E45790" w:rsidP="00E45790">
      <w:pPr>
        <w:pStyle w:val="EU"/>
        <w:spacing w:line="360" w:lineRule="auto"/>
        <w:rPr>
          <w:rFonts w:ascii="Times New Roman" w:hAnsi="Times New Roman" w:cs="Times New Roman"/>
          <w:color w:val="auto"/>
        </w:rPr>
      </w:pPr>
      <w:bookmarkStart w:id="9" w:name="_Toc201353365"/>
      <w:r w:rsidRPr="00E45790">
        <w:rPr>
          <w:rFonts w:ascii="Times New Roman" w:hAnsi="Times New Roman" w:cs="Times New Roman"/>
          <w:color w:val="auto"/>
        </w:rPr>
        <w:t>References</w:t>
      </w:r>
      <w:bookmarkEnd w:id="9"/>
    </w:p>
    <w:p w14:paraId="51ABE733" w14:textId="29AA4EF9"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Abdou, A.H., Khalil, A.A.F., Mahmoud, H.M.E., </w:t>
      </w:r>
      <w:proofErr w:type="spellStart"/>
      <w:r w:rsidRPr="00E45790">
        <w:rPr>
          <w:rFonts w:ascii="Times New Roman" w:hAnsi="Times New Roman" w:cs="Times New Roman"/>
          <w:sz w:val="24"/>
          <w:szCs w:val="24"/>
          <w:lang w:eastAsia="en-GB"/>
        </w:rPr>
        <w:t>Elsaied</w:t>
      </w:r>
      <w:proofErr w:type="spellEnd"/>
      <w:r w:rsidRPr="00E45790">
        <w:rPr>
          <w:rFonts w:ascii="Times New Roman" w:hAnsi="Times New Roman" w:cs="Times New Roman"/>
          <w:sz w:val="24"/>
          <w:szCs w:val="24"/>
          <w:lang w:eastAsia="en-GB"/>
        </w:rPr>
        <w:t xml:space="preserve">, M.A. &amp; </w:t>
      </w:r>
      <w:proofErr w:type="spellStart"/>
      <w:r w:rsidRPr="00E45790">
        <w:rPr>
          <w:rFonts w:ascii="Times New Roman" w:hAnsi="Times New Roman" w:cs="Times New Roman"/>
          <w:sz w:val="24"/>
          <w:szCs w:val="24"/>
          <w:lang w:eastAsia="en-GB"/>
        </w:rPr>
        <w:t>Elsaed</w:t>
      </w:r>
      <w:proofErr w:type="spellEnd"/>
      <w:r w:rsidRPr="00E45790">
        <w:rPr>
          <w:rFonts w:ascii="Times New Roman" w:hAnsi="Times New Roman" w:cs="Times New Roman"/>
          <w:sz w:val="24"/>
          <w:szCs w:val="24"/>
          <w:lang w:eastAsia="en-GB"/>
        </w:rPr>
        <w:t>, A.A. (2022) ‘The impact of hospitality work environment on employees’ turnover intentions during COVID-19 pandemic: The mediating role of work-family conflict’, Frontiers in Psychology, 13. doi:10.3389/fpsyg.2022.890418. [Online] Available at: https://doi.org/10.3389/fpsyg.2022.890418 (Accessed: 01 June 2025).</w:t>
      </w:r>
    </w:p>
    <w:p w14:paraId="5D6847EE" w14:textId="079E57D5" w:rsidR="00E45790" w:rsidRPr="00E45790" w:rsidRDefault="00E45790" w:rsidP="00E45790">
      <w:pPr>
        <w:spacing w:line="360" w:lineRule="auto"/>
        <w:ind w:hanging="680"/>
        <w:jc w:val="both"/>
        <w:rPr>
          <w:rFonts w:ascii="Times New Roman" w:hAnsi="Times New Roman" w:cs="Times New Roman"/>
          <w:sz w:val="24"/>
          <w:szCs w:val="24"/>
          <w:lang w:eastAsia="en-GB"/>
        </w:rPr>
      </w:pPr>
      <w:proofErr w:type="spellStart"/>
      <w:r w:rsidRPr="00E45790">
        <w:rPr>
          <w:rFonts w:ascii="Times New Roman" w:hAnsi="Times New Roman" w:cs="Times New Roman"/>
          <w:sz w:val="24"/>
          <w:szCs w:val="24"/>
          <w:lang w:eastAsia="en-GB"/>
        </w:rPr>
        <w:t>Adekuajo</w:t>
      </w:r>
      <w:proofErr w:type="spellEnd"/>
      <w:r w:rsidRPr="00E45790">
        <w:rPr>
          <w:rFonts w:ascii="Times New Roman" w:hAnsi="Times New Roman" w:cs="Times New Roman"/>
          <w:sz w:val="24"/>
          <w:szCs w:val="24"/>
          <w:lang w:eastAsia="en-GB"/>
        </w:rPr>
        <w:t xml:space="preserve">, I.O., </w:t>
      </w:r>
      <w:proofErr w:type="spellStart"/>
      <w:r w:rsidRPr="00E45790">
        <w:rPr>
          <w:rFonts w:ascii="Times New Roman" w:hAnsi="Times New Roman" w:cs="Times New Roman"/>
          <w:sz w:val="24"/>
          <w:szCs w:val="24"/>
          <w:lang w:eastAsia="en-GB"/>
        </w:rPr>
        <w:t>Fakeyede</w:t>
      </w:r>
      <w:proofErr w:type="spellEnd"/>
      <w:r w:rsidRPr="00E45790">
        <w:rPr>
          <w:rFonts w:ascii="Times New Roman" w:hAnsi="Times New Roman" w:cs="Times New Roman"/>
          <w:sz w:val="24"/>
          <w:szCs w:val="24"/>
          <w:lang w:eastAsia="en-GB"/>
        </w:rPr>
        <w:t xml:space="preserve">, O.G., Udeh, C.A. &amp; </w:t>
      </w:r>
      <w:proofErr w:type="spellStart"/>
      <w:r w:rsidRPr="00E45790">
        <w:rPr>
          <w:rFonts w:ascii="Times New Roman" w:hAnsi="Times New Roman" w:cs="Times New Roman"/>
          <w:sz w:val="24"/>
          <w:szCs w:val="24"/>
          <w:lang w:eastAsia="en-GB"/>
        </w:rPr>
        <w:t>Daraojimba</w:t>
      </w:r>
      <w:proofErr w:type="spellEnd"/>
      <w:r w:rsidRPr="00E45790">
        <w:rPr>
          <w:rFonts w:ascii="Times New Roman" w:hAnsi="Times New Roman" w:cs="Times New Roman"/>
          <w:sz w:val="24"/>
          <w:szCs w:val="24"/>
          <w:lang w:eastAsia="en-GB"/>
        </w:rPr>
        <w:t>, C. (2023) ‘The digital evolution in hospitality: A global review and its potential transformative impact on US tourism’, International Journal of Applied Research in Social Sciences, 5(10), pp. 440–462.</w:t>
      </w:r>
    </w:p>
    <w:p w14:paraId="00131B2D" w14:textId="744F6C44"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Albrecht, S.L., Bakker, A.B., Gruman, J.A., Macey, W.H. &amp; Saks, A.M. (2015) ‘Employee engagement, human resource management practices and competitive advantage: An integrated approach’, Journal of Organizational Effectiveness: People and Performance, 2(1), pp. 7–35.</w:t>
      </w:r>
    </w:p>
    <w:p w14:paraId="244AA0CF" w14:textId="216D7B2A"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Amin, S. &amp; Goyal, A. (2023) ‘Enhancing job satisfaction and employee retention through continuous professional development in the banking sector’, Advances in Sciences, Engineering, and Social Sciences, 5, pp. 1985–1990.</w:t>
      </w:r>
    </w:p>
    <w:p w14:paraId="70B0D841" w14:textId="0777B127"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(n.d.) Anantara Grand Hotel </w:t>
      </w:r>
      <w:proofErr w:type="spellStart"/>
      <w:r w:rsidRPr="00E45790">
        <w:rPr>
          <w:rFonts w:ascii="Times New Roman" w:hAnsi="Times New Roman" w:cs="Times New Roman"/>
          <w:sz w:val="24"/>
          <w:szCs w:val="24"/>
          <w:lang w:eastAsia="en-GB"/>
        </w:rPr>
        <w:t>Krasnapolsky</w:t>
      </w:r>
      <w:proofErr w:type="spellEnd"/>
      <w:r w:rsidRPr="00E45790">
        <w:rPr>
          <w:rFonts w:ascii="Times New Roman" w:hAnsi="Times New Roman" w:cs="Times New Roman"/>
          <w:sz w:val="24"/>
          <w:szCs w:val="24"/>
          <w:lang w:eastAsia="en-GB"/>
        </w:rPr>
        <w:t xml:space="preserve"> Amsterdam. [Online] Available at: https://www.anantara.com/en/grand-hotel-krasnapolsky-amsterdam (Accessed: 01 June 2025).</w:t>
      </w:r>
    </w:p>
    <w:p w14:paraId="03F3EE81" w14:textId="2E88E3A8" w:rsidR="00E45790" w:rsidRPr="00E45790" w:rsidRDefault="00E45790" w:rsidP="00E45790">
      <w:pPr>
        <w:spacing w:line="360" w:lineRule="auto"/>
        <w:ind w:hanging="680"/>
        <w:jc w:val="both"/>
        <w:rPr>
          <w:rFonts w:ascii="Times New Roman" w:hAnsi="Times New Roman" w:cs="Times New Roman"/>
          <w:sz w:val="24"/>
          <w:szCs w:val="24"/>
          <w:lang w:eastAsia="en-GB"/>
        </w:rPr>
      </w:pPr>
      <w:proofErr w:type="spellStart"/>
      <w:r w:rsidRPr="00E45790">
        <w:rPr>
          <w:rFonts w:ascii="Times New Roman" w:hAnsi="Times New Roman" w:cs="Times New Roman"/>
          <w:sz w:val="24"/>
          <w:szCs w:val="24"/>
          <w:lang w:eastAsia="en-GB"/>
        </w:rPr>
        <w:t>Balbickram</w:t>
      </w:r>
      <w:proofErr w:type="spellEnd"/>
      <w:r w:rsidRPr="00E45790">
        <w:rPr>
          <w:rFonts w:ascii="Times New Roman" w:hAnsi="Times New Roman" w:cs="Times New Roman"/>
          <w:sz w:val="24"/>
          <w:szCs w:val="24"/>
          <w:lang w:eastAsia="en-GB"/>
        </w:rPr>
        <w:t>, E. (2022) Strategies to Create and Sustain Work-Life Balance in the Hospitality Industry. Unpublished Doctoral dissertation. Walden University.</w:t>
      </w:r>
    </w:p>
    <w:p w14:paraId="7C142B29" w14:textId="2BF5CC18"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lastRenderedPageBreak/>
        <w:t>Bardukova, L. (2023) ‘Navigating the hospitality horizon: Current trends and strategies for customer attraction and retention in the hotel industry’, Economics and Computer Science, 2, pp. 88–103.</w:t>
      </w:r>
    </w:p>
    <w:p w14:paraId="2AE73DF9" w14:textId="46BF11B8"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Baron, A. &amp; Armstrong, M. (2007) Human Capital Management. London: Kogan Page.</w:t>
      </w:r>
    </w:p>
    <w:p w14:paraId="58C6808C" w14:textId="5607B71D"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Bartik, A.W., Bertrand, M., Lin, F., Rothstein, J. &amp; Unrath, M. (2020) Measuring the </w:t>
      </w:r>
      <w:proofErr w:type="spellStart"/>
      <w:r w:rsidRPr="00E45790">
        <w:rPr>
          <w:rFonts w:ascii="Times New Roman" w:hAnsi="Times New Roman" w:cs="Times New Roman"/>
          <w:sz w:val="24"/>
          <w:szCs w:val="24"/>
          <w:lang w:eastAsia="en-GB"/>
        </w:rPr>
        <w:t>labor</w:t>
      </w:r>
      <w:proofErr w:type="spellEnd"/>
      <w:r w:rsidRPr="00E45790">
        <w:rPr>
          <w:rFonts w:ascii="Times New Roman" w:hAnsi="Times New Roman" w:cs="Times New Roman"/>
          <w:sz w:val="24"/>
          <w:szCs w:val="24"/>
          <w:lang w:eastAsia="en-GB"/>
        </w:rPr>
        <w:t xml:space="preserve"> market at the onset of the COVID-19 crisis. NBER Working Paper No. w27613. Cambridge, MA: National Bureau of Economic Research.</w:t>
      </w:r>
    </w:p>
    <w:p w14:paraId="3F54E565" w14:textId="6D7F806C"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Becker, B.E. &amp; </w:t>
      </w:r>
      <w:proofErr w:type="spellStart"/>
      <w:r w:rsidRPr="00E45790">
        <w:rPr>
          <w:rFonts w:ascii="Times New Roman" w:hAnsi="Times New Roman" w:cs="Times New Roman"/>
          <w:sz w:val="24"/>
          <w:szCs w:val="24"/>
          <w:lang w:eastAsia="en-GB"/>
        </w:rPr>
        <w:t>Huselid</w:t>
      </w:r>
      <w:proofErr w:type="spellEnd"/>
      <w:r w:rsidRPr="00E45790">
        <w:rPr>
          <w:rFonts w:ascii="Times New Roman" w:hAnsi="Times New Roman" w:cs="Times New Roman"/>
          <w:sz w:val="24"/>
          <w:szCs w:val="24"/>
          <w:lang w:eastAsia="en-GB"/>
        </w:rPr>
        <w:t>, M.A. (2006) ‘Strategic human resources management: Where do we go from here?’, Journal of Management, 32(6), pp. 898–925.</w:t>
      </w:r>
    </w:p>
    <w:p w14:paraId="5B7B4273" w14:textId="50981FE3"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Becker, B.E. &amp; </w:t>
      </w:r>
      <w:proofErr w:type="spellStart"/>
      <w:r w:rsidRPr="00E45790">
        <w:rPr>
          <w:rFonts w:ascii="Times New Roman" w:hAnsi="Times New Roman" w:cs="Times New Roman"/>
          <w:sz w:val="24"/>
          <w:szCs w:val="24"/>
          <w:lang w:eastAsia="en-GB"/>
        </w:rPr>
        <w:t>Huselid</w:t>
      </w:r>
      <w:proofErr w:type="spellEnd"/>
      <w:r w:rsidRPr="00E45790">
        <w:rPr>
          <w:rFonts w:ascii="Times New Roman" w:hAnsi="Times New Roman" w:cs="Times New Roman"/>
          <w:sz w:val="24"/>
          <w:szCs w:val="24"/>
          <w:lang w:eastAsia="en-GB"/>
        </w:rPr>
        <w:t xml:space="preserve">, M.A. (2010) ‘SHRM and job design: Narrowing the divide’, Journal of Organizational </w:t>
      </w:r>
      <w:proofErr w:type="spellStart"/>
      <w:r w:rsidRPr="00E45790">
        <w:rPr>
          <w:rFonts w:ascii="Times New Roman" w:hAnsi="Times New Roman" w:cs="Times New Roman"/>
          <w:sz w:val="24"/>
          <w:szCs w:val="24"/>
          <w:lang w:eastAsia="en-GB"/>
        </w:rPr>
        <w:t>Behavior</w:t>
      </w:r>
      <w:proofErr w:type="spellEnd"/>
      <w:r w:rsidRPr="00E45790">
        <w:rPr>
          <w:rFonts w:ascii="Times New Roman" w:hAnsi="Times New Roman" w:cs="Times New Roman"/>
          <w:sz w:val="24"/>
          <w:szCs w:val="24"/>
          <w:lang w:eastAsia="en-GB"/>
        </w:rPr>
        <w:t>, 31(2/3), pp. 379–388.</w:t>
      </w:r>
    </w:p>
    <w:p w14:paraId="00FB2C2F" w14:textId="7E33A877"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Brown, E.A., Thomas, N.J. &amp; Bosselman, R.H. (2015) ‘Are they leaving or staying: A qualitative analysis of turnover issues for Generation Y hospitality employees with a hospitality education’, International Journal of Hospitality Management, 46, pp. 130–137.</w:t>
      </w:r>
    </w:p>
    <w:p w14:paraId="6567C519" w14:textId="05BE4B73"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Cameron, E. &amp; Green, M. (2019) Making Sense of Change Management: A Complete Guide to the Models, Tools and Techniques of Organizational Change. London: Kogan Page.</w:t>
      </w:r>
    </w:p>
    <w:p w14:paraId="1CE5D215" w14:textId="0B386440"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Chan, E.S. &amp; Hsu, C.H. (2016) ‘Environmental management research in hospitality’, International Journal of Contemporary Hospitality Management, 28(5), pp. 886–923.</w:t>
      </w:r>
    </w:p>
    <w:p w14:paraId="54D510DC" w14:textId="35BDA098" w:rsidR="00E45790" w:rsidRPr="00E45790" w:rsidRDefault="00E45790" w:rsidP="00E45790">
      <w:pPr>
        <w:spacing w:line="360" w:lineRule="auto"/>
        <w:ind w:hanging="680"/>
        <w:jc w:val="both"/>
        <w:rPr>
          <w:rFonts w:ascii="Times New Roman" w:hAnsi="Times New Roman" w:cs="Times New Roman"/>
          <w:sz w:val="24"/>
          <w:szCs w:val="24"/>
          <w:lang w:eastAsia="en-GB"/>
        </w:rPr>
      </w:pPr>
      <w:proofErr w:type="spellStart"/>
      <w:r w:rsidRPr="00E45790">
        <w:rPr>
          <w:rFonts w:ascii="Times New Roman" w:hAnsi="Times New Roman" w:cs="Times New Roman"/>
          <w:sz w:val="24"/>
          <w:szCs w:val="24"/>
          <w:lang w:eastAsia="en-GB"/>
        </w:rPr>
        <w:t>Cholteeva</w:t>
      </w:r>
      <w:proofErr w:type="spellEnd"/>
      <w:r w:rsidRPr="00E45790">
        <w:rPr>
          <w:rFonts w:ascii="Times New Roman" w:hAnsi="Times New Roman" w:cs="Times New Roman"/>
          <w:sz w:val="24"/>
          <w:szCs w:val="24"/>
          <w:lang w:eastAsia="en-GB"/>
        </w:rPr>
        <w:t>, Y. (2022) ‘High employee turnover damaging company culture, research suggests’, People Management. [Online] Available at: https://www.peoplemanagement.co.uk/article/1795419/high-employee-turnover-damaging-company-culture-research-suggests (Accessed: 01 June 2025).</w:t>
      </w:r>
    </w:p>
    <w:p w14:paraId="1FD1C8CF" w14:textId="71832FF7"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Day, D.V., Fleenor, J.W., Atwater, L.E., Sturm, R.E. &amp; McKee, R.A. (2014) ‘Advances in leader and leadership development: A review of 25 years of research and theory’, Leadership Quarterly, 25(1), pp. 63–82.</w:t>
      </w:r>
    </w:p>
    <w:p w14:paraId="0C129A62" w14:textId="2EAC050A"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lastRenderedPageBreak/>
        <w:t>de Oliveira Menezes, V. &amp; Cavagnaro, E. (2021) ‘Communicating sustainable initiatives in the hotel industry: The case of the Hotel Jakarta Amsterdam’, in Handbook of Research on the Role of Tourism in Achieving Sustainable Development Goals, pp. 224–234. Hershey, PA: IGI Global.</w:t>
      </w:r>
    </w:p>
    <w:p w14:paraId="1DBE16B6" w14:textId="40B96A35" w:rsidR="00E45790" w:rsidRPr="00E45790" w:rsidRDefault="00E45790" w:rsidP="00E45790">
      <w:pPr>
        <w:spacing w:line="360" w:lineRule="auto"/>
        <w:ind w:hanging="680"/>
        <w:jc w:val="both"/>
        <w:rPr>
          <w:rFonts w:ascii="Times New Roman" w:hAnsi="Times New Roman" w:cs="Times New Roman"/>
          <w:sz w:val="24"/>
          <w:szCs w:val="24"/>
          <w:lang w:eastAsia="en-GB"/>
        </w:rPr>
      </w:pPr>
      <w:proofErr w:type="spellStart"/>
      <w:r w:rsidRPr="00E45790">
        <w:rPr>
          <w:rFonts w:ascii="Times New Roman" w:hAnsi="Times New Roman" w:cs="Times New Roman"/>
          <w:sz w:val="24"/>
          <w:szCs w:val="24"/>
          <w:lang w:eastAsia="en-GB"/>
        </w:rPr>
        <w:t>Dinica</w:t>
      </w:r>
      <w:proofErr w:type="spellEnd"/>
      <w:r w:rsidRPr="00E45790">
        <w:rPr>
          <w:rFonts w:ascii="Times New Roman" w:hAnsi="Times New Roman" w:cs="Times New Roman"/>
          <w:sz w:val="24"/>
          <w:szCs w:val="24"/>
          <w:lang w:eastAsia="en-GB"/>
        </w:rPr>
        <w:t>, V. (2006) ‘Policy measures and governance for sustainable tourism and recreation in the Netherlands – An evaluation’, Tourism: An International Interdisciplinary Journal, 54(3), pp. 245–258.</w:t>
      </w:r>
    </w:p>
    <w:p w14:paraId="1F9922E5" w14:textId="79CACB2F"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Duncan, T., Manager, P.P. &amp; Rocket, B. (2023) ‘The Contactless Customer: Which Digital Transformations Are Winning Over Hotel Guests’, Hospitality Technology [online]. Available at: https://hospitalitytech.com/contactless-customer-which-digital-transformations-are-winning-over-hotel-guests (Accessed: 01 June 2025).</w:t>
      </w:r>
    </w:p>
    <w:p w14:paraId="351C6A45" w14:textId="58618FF8" w:rsidR="00E45790" w:rsidRPr="00E45790" w:rsidRDefault="00E45790" w:rsidP="00E45790">
      <w:pPr>
        <w:spacing w:line="360" w:lineRule="auto"/>
        <w:ind w:hanging="680"/>
        <w:jc w:val="both"/>
        <w:rPr>
          <w:rFonts w:ascii="Times New Roman" w:hAnsi="Times New Roman" w:cs="Times New Roman"/>
          <w:sz w:val="24"/>
          <w:szCs w:val="24"/>
          <w:lang w:eastAsia="en-GB"/>
        </w:rPr>
      </w:pPr>
      <w:proofErr w:type="spellStart"/>
      <w:r w:rsidRPr="00E45790">
        <w:rPr>
          <w:rFonts w:ascii="Times New Roman" w:hAnsi="Times New Roman" w:cs="Times New Roman"/>
          <w:sz w:val="24"/>
          <w:szCs w:val="24"/>
          <w:lang w:eastAsia="en-GB"/>
        </w:rPr>
        <w:t>Dwesini</w:t>
      </w:r>
      <w:proofErr w:type="spellEnd"/>
      <w:r w:rsidRPr="00E45790">
        <w:rPr>
          <w:rFonts w:ascii="Times New Roman" w:hAnsi="Times New Roman" w:cs="Times New Roman"/>
          <w:sz w:val="24"/>
          <w:szCs w:val="24"/>
          <w:lang w:eastAsia="en-GB"/>
        </w:rPr>
        <w:t>, N.F. (2019) ‘Causes and prevention of high employee turnover within the hospitality industry: A literature review’, African Journal of Hospitality, Tourism and Leisure, 8(3), pp. 1–15.</w:t>
      </w:r>
    </w:p>
    <w:p w14:paraId="284FF451" w14:textId="4A55C45D"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Font, X. &amp; McCabe, S. (2017) ‘Sustainability and marketing in tourism: Its contexts, paradoxes, approaches, challenges and potential’, Journal of Sustainable Tourism, 25(7), pp. 869–883.</w:t>
      </w:r>
    </w:p>
    <w:p w14:paraId="5EBB2C61" w14:textId="6B8E909A"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Garavan, T.N., Carbery, R. &amp; Rock, A. (2012) ‘Mapping talent development: Definition, scope and architecture’, European Journal of Training and Development, 36(1), pp. 5–24.</w:t>
      </w:r>
    </w:p>
    <w:p w14:paraId="6B487B5D" w14:textId="23E44CDC"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Goleman, D., Boyatzis, R. &amp; McKee, A. (2013) Primal Leadership: Unleashing the Power of Emotional Intelligence. Boston, MA: Harvard Business Review Press.</w:t>
      </w:r>
    </w:p>
    <w:p w14:paraId="74C03D97" w14:textId="03F69AD7"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Göktaş, L. &amp; Çetin, G. (2023) ‘Tourist tax for sustainability: Determining willingness to pay’, European Journal of Tourism Research, 35, pp. 3503–3503.</w:t>
      </w:r>
    </w:p>
    <w:p w14:paraId="5844BCC9" w14:textId="2DAFDF2F"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González-Rodríguez, M.R., Díaz-Fernández, M.C. &amp; Font, X. (2020) ‘Factors influencing willingness of customers of environmentally friendly hotels to pay a price premium’, International Journal of Contemporary Hospitality Management, 32(1), pp. 60–80.</w:t>
      </w:r>
    </w:p>
    <w:p w14:paraId="2A692897" w14:textId="13898D31"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GOV.UK (n.d.) Overseas business risk: The Netherlands [online]. Available at: https://www.gov.uk/government/publications/overseas-business-risk-for-the-netherlands/overseas-business-risk-the-netherlands (Accessed: 01 June 2025).</w:t>
      </w:r>
    </w:p>
    <w:p w14:paraId="7D2ED2A9" w14:textId="363A3672"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lastRenderedPageBreak/>
        <w:t>Gurl, E. (2017) SWOT Analysis: A Theoretical Review.</w:t>
      </w:r>
    </w:p>
    <w:p w14:paraId="2DF00DC8" w14:textId="6C442AFF"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Hamouche, S. (2023) ‘Human resource management and the COVID-19 crisis: Implications, challenges, opportunities, and future organizational directions’, Journal of Management &amp; Organization, 29(5), pp. 799–814.</w:t>
      </w:r>
    </w:p>
    <w:p w14:paraId="4F7520C5" w14:textId="476DE048"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Han, H., Yu, J. &amp; Kim, W. (2019) ‘Environmental corporate social responsibility and the strategy to boost the airline’s image and customer loyalty intentions’, Journal of Travel &amp; Tourism Marketing, 36(3), pp. 371–383.</w:t>
      </w:r>
    </w:p>
    <w:p w14:paraId="003F3E4D" w14:textId="0A6CF561"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Han, J.W. (2020) ‘A review of antecedents of employee turnover in the hospitality industry on individual, team and organizational levels’, International Hospitality Review, 36(1) [online]. doi:10.1108/IHR-09-2020-0050 (Accessed: 01 June 2025).</w:t>
      </w:r>
    </w:p>
    <w:p w14:paraId="2FC6EBB2" w14:textId="757142EB"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Hausknecht, J.P., Rodda, J. &amp; Howard, M.J. (2009) ‘Targeted employee retention: Performance‐based and job‐related differences in reported reasons for staying’, Human Resource Management, 48(2), pp. 269–288.</w:t>
      </w:r>
    </w:p>
    <w:p w14:paraId="067A88B7" w14:textId="7761BAE9" w:rsidR="00E45790" w:rsidRPr="00E45790" w:rsidRDefault="00E45790" w:rsidP="00E45790">
      <w:pPr>
        <w:spacing w:line="360" w:lineRule="auto"/>
        <w:ind w:hanging="680"/>
        <w:jc w:val="both"/>
        <w:rPr>
          <w:rFonts w:ascii="Times New Roman" w:hAnsi="Times New Roman" w:cs="Times New Roman"/>
          <w:sz w:val="24"/>
          <w:szCs w:val="24"/>
          <w:lang w:eastAsia="en-GB"/>
        </w:rPr>
      </w:pPr>
      <w:proofErr w:type="spellStart"/>
      <w:r w:rsidRPr="00E45790">
        <w:rPr>
          <w:rFonts w:ascii="Times New Roman" w:hAnsi="Times New Roman" w:cs="Times New Roman"/>
          <w:sz w:val="24"/>
          <w:szCs w:val="24"/>
          <w:lang w:eastAsia="en-GB"/>
        </w:rPr>
        <w:t>Jehanzeb</w:t>
      </w:r>
      <w:proofErr w:type="spellEnd"/>
      <w:r w:rsidRPr="00E45790">
        <w:rPr>
          <w:rFonts w:ascii="Times New Roman" w:hAnsi="Times New Roman" w:cs="Times New Roman"/>
          <w:sz w:val="24"/>
          <w:szCs w:val="24"/>
          <w:lang w:eastAsia="en-GB"/>
        </w:rPr>
        <w:t>, K. &amp; Bashir, N.A. (2013) ‘Training and development program and its benefits to employee and organization: A conceptual study’, European Journal of Business and Management, 5(2).</w:t>
      </w:r>
    </w:p>
    <w:p w14:paraId="734344EE" w14:textId="6C3910EA"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Jeffrey Hill, E., Grzywacz, J.G., Allen, S., Blanchard, V.L., Matz-Costa, C., Shulkin, S. &amp; Pitt-</w:t>
      </w:r>
      <w:proofErr w:type="spellStart"/>
      <w:r w:rsidRPr="00E45790">
        <w:rPr>
          <w:rFonts w:ascii="Times New Roman" w:hAnsi="Times New Roman" w:cs="Times New Roman"/>
          <w:sz w:val="24"/>
          <w:szCs w:val="24"/>
          <w:lang w:eastAsia="en-GB"/>
        </w:rPr>
        <w:t>Catsouphes</w:t>
      </w:r>
      <w:proofErr w:type="spellEnd"/>
      <w:r w:rsidRPr="00E45790">
        <w:rPr>
          <w:rFonts w:ascii="Times New Roman" w:hAnsi="Times New Roman" w:cs="Times New Roman"/>
          <w:sz w:val="24"/>
          <w:szCs w:val="24"/>
          <w:lang w:eastAsia="en-GB"/>
        </w:rPr>
        <w:t>, M. (2008) ‘Defining and conceptualizing workplace flexibility’, Community, Work and Family, 11(2), pp. 149–163.</w:t>
      </w:r>
    </w:p>
    <w:p w14:paraId="18990294" w14:textId="2941E4AA"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Holland Jr, N.D. (2024) Strategies for Reducing Employee Turnover of Hotel Frontline Employees. Unpublished Doctoral dissertation. Walden University.</w:t>
      </w:r>
    </w:p>
    <w:p w14:paraId="6AC9D3EA" w14:textId="5CE82919"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IRENA (2023) World Energy Transitions Outlook 2023 [online]. Available at: https://www.irena.org/Digital-Report/World-Energy-Transitions-Outlook-2023 (Accessed: 01 June 2025).</w:t>
      </w:r>
    </w:p>
    <w:p w14:paraId="624F1862" w14:textId="0A165232"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James, G. (2020) Relationship between intrinsic job satisfaction, extrinsic job satisfaction, and turnover intentions in luxury hotels. Unpublished Doctoral dissertation. Walden University.</w:t>
      </w:r>
    </w:p>
    <w:p w14:paraId="08F2AA75" w14:textId="3824A6AC"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Johnson, E. (2023) Cultivating Belonging in Remote Work to Improve Retention. Unpublished Master’s thesis. The College of St. Scholastica.</w:t>
      </w:r>
    </w:p>
    <w:p w14:paraId="75DF7904" w14:textId="74F91039"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lastRenderedPageBreak/>
        <w:t xml:space="preserve">Johnson, J., Whittington, R., </w:t>
      </w:r>
      <w:proofErr w:type="spellStart"/>
      <w:r w:rsidRPr="00E45790">
        <w:rPr>
          <w:rFonts w:ascii="Times New Roman" w:hAnsi="Times New Roman" w:cs="Times New Roman"/>
          <w:sz w:val="24"/>
          <w:szCs w:val="24"/>
          <w:lang w:eastAsia="en-GB"/>
        </w:rPr>
        <w:t>Regnér</w:t>
      </w:r>
      <w:proofErr w:type="spellEnd"/>
      <w:r w:rsidRPr="00E45790">
        <w:rPr>
          <w:rFonts w:ascii="Times New Roman" w:hAnsi="Times New Roman" w:cs="Times New Roman"/>
          <w:sz w:val="24"/>
          <w:szCs w:val="24"/>
          <w:lang w:eastAsia="en-GB"/>
        </w:rPr>
        <w:t>, P., Angwin, D., Johnson, G. &amp; Scholes, K. (2020) Exploring Strategy. Harlow: Pearson UK.</w:t>
      </w:r>
    </w:p>
    <w:p w14:paraId="435577AD" w14:textId="0B0EDF22"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Kelliher, C. &amp; Anderson, D. (2010) ‘Doing more with less? Flexible working practices and the intensification of work’, Human Relations, 63(1), pp. 83–106.</w:t>
      </w:r>
    </w:p>
    <w:p w14:paraId="40DD134C" w14:textId="77777777"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Kossek, E.E. &amp; Thompson, R.J. (2016) ‘Workplace flexibility: Integrating employer and employee perspectives to close the research–practice implementation gap’, in Allen, T.D. &amp; Eby, L.T. (eds.) The Oxford Handbook of Work and Family. New York: Oxford University Press, pp. 215–239.</w:t>
      </w:r>
    </w:p>
    <w:p w14:paraId="7F8B5C9F" w14:textId="7C6A15EA"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Kotter, J. (2012) Leading Change. Harvard Business Review Press.</w:t>
      </w:r>
    </w:p>
    <w:p w14:paraId="1C4400FF" w14:textId="007FE4F2" w:rsidR="00E45790" w:rsidRPr="00E45790" w:rsidRDefault="00E45790" w:rsidP="00E45790">
      <w:pPr>
        <w:spacing w:line="360" w:lineRule="auto"/>
        <w:ind w:hanging="680"/>
        <w:jc w:val="both"/>
        <w:rPr>
          <w:rFonts w:ascii="Times New Roman" w:hAnsi="Times New Roman" w:cs="Times New Roman"/>
          <w:sz w:val="24"/>
          <w:szCs w:val="24"/>
          <w:lang w:eastAsia="en-GB"/>
        </w:rPr>
      </w:pPr>
      <w:proofErr w:type="spellStart"/>
      <w:r w:rsidRPr="00E45790">
        <w:rPr>
          <w:rFonts w:ascii="Times New Roman" w:hAnsi="Times New Roman" w:cs="Times New Roman"/>
          <w:sz w:val="24"/>
          <w:szCs w:val="24"/>
          <w:lang w:eastAsia="en-GB"/>
        </w:rPr>
        <w:t>Kuvaas</w:t>
      </w:r>
      <w:proofErr w:type="spellEnd"/>
      <w:r w:rsidRPr="00E45790">
        <w:rPr>
          <w:rFonts w:ascii="Times New Roman" w:hAnsi="Times New Roman" w:cs="Times New Roman"/>
          <w:sz w:val="24"/>
          <w:szCs w:val="24"/>
          <w:lang w:eastAsia="en-GB"/>
        </w:rPr>
        <w:t>, B. (2006) ‘Performance appraisal satisfaction and employee outcomes: mediating and moderating roles of work motivation’, The International Journal of Human Resource Management, 17(3), pp. 504–522.</w:t>
      </w:r>
    </w:p>
    <w:p w14:paraId="73D2281F" w14:textId="1E99BE73"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Kwok, L. (2022) ‘Labor shortage: a critical reflection and a call for industry-academia collaboration’, International Journal of Contemporary Hospitality Management, 34(11), pp. 3929–3943.</w:t>
      </w:r>
    </w:p>
    <w:p w14:paraId="7EABBEAE" w14:textId="0AE8A58A"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Michael, N. and Fotiadis, A. (2022) ‘Employee turnover: The hotel industry perspective’, Journal of Tourism, Heritage &amp; Services Marketing, 8(1), pp. 38–47. doi:10.5281/zenodo.6583698.</w:t>
      </w:r>
    </w:p>
    <w:p w14:paraId="47CBA2D8" w14:textId="00523271"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Mohd, I.H., Julan, J. and Tuan Besar, T.B.H. (2020) ‘Strategic training and development: the impact on employees’ performance’, Journal of International Business, Economics and Entrepreneurship, 5(2), pp. 80–84.</w:t>
      </w:r>
    </w:p>
    <w:p w14:paraId="42BCE49B" w14:textId="7CBBD099"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Morrison, A.M. (2022) Hospitality and Travel Marketing. Routledge.</w:t>
      </w:r>
    </w:p>
    <w:p w14:paraId="498F228E" w14:textId="09C7A41D"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Oh, H. and Kim, K. (2017) ‘Customer satisfaction, service quality, and customer value: years 2000–2015’, International Journal of Contemporary Hospitality Management, 29(1), pp. 2–29.</w:t>
      </w:r>
    </w:p>
    <w:p w14:paraId="50751255" w14:textId="6036A81C"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Ozdemir, O., </w:t>
      </w:r>
      <w:proofErr w:type="spellStart"/>
      <w:r w:rsidRPr="00E45790">
        <w:rPr>
          <w:rFonts w:ascii="Times New Roman" w:hAnsi="Times New Roman" w:cs="Times New Roman"/>
          <w:sz w:val="24"/>
          <w:szCs w:val="24"/>
          <w:lang w:eastAsia="en-GB"/>
        </w:rPr>
        <w:t>Dogru</w:t>
      </w:r>
      <w:proofErr w:type="spellEnd"/>
      <w:r w:rsidRPr="00E45790">
        <w:rPr>
          <w:rFonts w:ascii="Times New Roman" w:hAnsi="Times New Roman" w:cs="Times New Roman"/>
          <w:sz w:val="24"/>
          <w:szCs w:val="24"/>
          <w:lang w:eastAsia="en-GB"/>
        </w:rPr>
        <w:t xml:space="preserve">, T., </w:t>
      </w:r>
      <w:proofErr w:type="spellStart"/>
      <w:r w:rsidRPr="00E45790">
        <w:rPr>
          <w:rFonts w:ascii="Times New Roman" w:hAnsi="Times New Roman" w:cs="Times New Roman"/>
          <w:sz w:val="24"/>
          <w:szCs w:val="24"/>
          <w:lang w:eastAsia="en-GB"/>
        </w:rPr>
        <w:t>Kizildag</w:t>
      </w:r>
      <w:proofErr w:type="spellEnd"/>
      <w:r w:rsidRPr="00E45790">
        <w:rPr>
          <w:rFonts w:ascii="Times New Roman" w:hAnsi="Times New Roman" w:cs="Times New Roman"/>
          <w:sz w:val="24"/>
          <w:szCs w:val="24"/>
          <w:lang w:eastAsia="en-GB"/>
        </w:rPr>
        <w:t xml:space="preserve">, M. and </w:t>
      </w:r>
      <w:proofErr w:type="spellStart"/>
      <w:r w:rsidRPr="00E45790">
        <w:rPr>
          <w:rFonts w:ascii="Times New Roman" w:hAnsi="Times New Roman" w:cs="Times New Roman"/>
          <w:sz w:val="24"/>
          <w:szCs w:val="24"/>
          <w:lang w:eastAsia="en-GB"/>
        </w:rPr>
        <w:t>Erkmen</w:t>
      </w:r>
      <w:proofErr w:type="spellEnd"/>
      <w:r w:rsidRPr="00E45790">
        <w:rPr>
          <w:rFonts w:ascii="Times New Roman" w:hAnsi="Times New Roman" w:cs="Times New Roman"/>
          <w:sz w:val="24"/>
          <w:szCs w:val="24"/>
          <w:lang w:eastAsia="en-GB"/>
        </w:rPr>
        <w:t>, E. (2023) ‘A critical reflection on digitalization for the hospitality and tourism industry: value implications for stakeholders’, International Journal of Contemporary Hospitality Management, 35(9), pp. 3305–3321.</w:t>
      </w:r>
    </w:p>
    <w:p w14:paraId="49A4D0BA" w14:textId="106878F4" w:rsidR="00E45790" w:rsidRPr="00E45790" w:rsidRDefault="00E45790" w:rsidP="00E45790">
      <w:pPr>
        <w:spacing w:line="360" w:lineRule="auto"/>
        <w:ind w:hanging="680"/>
        <w:jc w:val="both"/>
        <w:rPr>
          <w:rFonts w:ascii="Times New Roman" w:hAnsi="Times New Roman" w:cs="Times New Roman"/>
          <w:sz w:val="24"/>
          <w:szCs w:val="24"/>
          <w:lang w:eastAsia="en-GB"/>
        </w:rPr>
      </w:pPr>
      <w:proofErr w:type="spellStart"/>
      <w:r w:rsidRPr="00E45790">
        <w:rPr>
          <w:rFonts w:ascii="Times New Roman" w:hAnsi="Times New Roman" w:cs="Times New Roman"/>
          <w:sz w:val="24"/>
          <w:szCs w:val="24"/>
          <w:lang w:eastAsia="en-GB"/>
        </w:rPr>
        <w:t>Pacce</w:t>
      </w:r>
      <w:proofErr w:type="spellEnd"/>
      <w:r w:rsidRPr="00E45790">
        <w:rPr>
          <w:rFonts w:ascii="Times New Roman" w:hAnsi="Times New Roman" w:cs="Times New Roman"/>
          <w:sz w:val="24"/>
          <w:szCs w:val="24"/>
          <w:lang w:eastAsia="en-GB"/>
        </w:rPr>
        <w:t>, M., Río, A.D. and Sánchez, I. (2022) ‘The recent performance of underlying inflation in the euro area and in Spain’, Economic Bulletin/Banco de España, 3/2022.</w:t>
      </w:r>
    </w:p>
    <w:p w14:paraId="52E85E9D" w14:textId="77777777"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lastRenderedPageBreak/>
        <w:t xml:space="preserve">Papagianni, E., </w:t>
      </w:r>
      <w:proofErr w:type="spellStart"/>
      <w:r w:rsidRPr="00E45790">
        <w:rPr>
          <w:rFonts w:ascii="Times New Roman" w:hAnsi="Times New Roman" w:cs="Times New Roman"/>
          <w:sz w:val="24"/>
          <w:szCs w:val="24"/>
          <w:lang w:eastAsia="en-GB"/>
        </w:rPr>
        <w:t>Evgenidis</w:t>
      </w:r>
      <w:proofErr w:type="spellEnd"/>
      <w:r w:rsidRPr="00E45790">
        <w:rPr>
          <w:rFonts w:ascii="Times New Roman" w:hAnsi="Times New Roman" w:cs="Times New Roman"/>
          <w:sz w:val="24"/>
          <w:szCs w:val="24"/>
          <w:lang w:eastAsia="en-GB"/>
        </w:rPr>
        <w:t xml:space="preserve">, A., </w:t>
      </w:r>
      <w:proofErr w:type="spellStart"/>
      <w:r w:rsidRPr="00E45790">
        <w:rPr>
          <w:rFonts w:ascii="Times New Roman" w:hAnsi="Times New Roman" w:cs="Times New Roman"/>
          <w:sz w:val="24"/>
          <w:szCs w:val="24"/>
          <w:lang w:eastAsia="en-GB"/>
        </w:rPr>
        <w:t>Tsagkanos</w:t>
      </w:r>
      <w:proofErr w:type="spellEnd"/>
      <w:r w:rsidRPr="00E45790">
        <w:rPr>
          <w:rFonts w:ascii="Times New Roman" w:hAnsi="Times New Roman" w:cs="Times New Roman"/>
          <w:sz w:val="24"/>
          <w:szCs w:val="24"/>
          <w:lang w:eastAsia="en-GB"/>
        </w:rPr>
        <w:t xml:space="preserve">, A. and </w:t>
      </w:r>
      <w:proofErr w:type="spellStart"/>
      <w:r w:rsidRPr="00E45790">
        <w:rPr>
          <w:rFonts w:ascii="Times New Roman" w:hAnsi="Times New Roman" w:cs="Times New Roman"/>
          <w:sz w:val="24"/>
          <w:szCs w:val="24"/>
          <w:lang w:eastAsia="en-GB"/>
        </w:rPr>
        <w:t>Megalooikonomou</w:t>
      </w:r>
      <w:proofErr w:type="spellEnd"/>
      <w:r w:rsidRPr="00E45790">
        <w:rPr>
          <w:rFonts w:ascii="Times New Roman" w:hAnsi="Times New Roman" w:cs="Times New Roman"/>
          <w:sz w:val="24"/>
          <w:szCs w:val="24"/>
          <w:lang w:eastAsia="en-GB"/>
        </w:rPr>
        <w:t>, V. (2024) ‘Tourism demand in the face of geopolitical risk: insights from a cross-country analysis’, Journal of Travel Research, 63(8), pp. 2094–2119.</w:t>
      </w:r>
    </w:p>
    <w:p w14:paraId="37828E38" w14:textId="77777777" w:rsidR="00E45790" w:rsidRPr="00E45790" w:rsidRDefault="00E45790" w:rsidP="00E45790">
      <w:pPr>
        <w:spacing w:line="360" w:lineRule="auto"/>
        <w:ind w:hanging="680"/>
        <w:jc w:val="both"/>
        <w:rPr>
          <w:rFonts w:ascii="Times New Roman" w:hAnsi="Times New Roman" w:cs="Times New Roman"/>
          <w:sz w:val="24"/>
          <w:szCs w:val="24"/>
          <w:lang w:eastAsia="en-GB"/>
        </w:rPr>
      </w:pPr>
    </w:p>
    <w:p w14:paraId="00F85C0A" w14:textId="3E0594A9" w:rsidR="00E45790" w:rsidRPr="00E45790" w:rsidRDefault="00E45790" w:rsidP="00E45790">
      <w:pPr>
        <w:spacing w:line="360" w:lineRule="auto"/>
        <w:ind w:hanging="680"/>
        <w:jc w:val="both"/>
        <w:rPr>
          <w:rFonts w:ascii="Times New Roman" w:hAnsi="Times New Roman" w:cs="Times New Roman"/>
          <w:sz w:val="24"/>
          <w:szCs w:val="24"/>
          <w:lang w:eastAsia="en-GB"/>
        </w:rPr>
      </w:pPr>
      <w:proofErr w:type="spellStart"/>
      <w:r w:rsidRPr="00E45790">
        <w:rPr>
          <w:rFonts w:ascii="Times New Roman" w:hAnsi="Times New Roman" w:cs="Times New Roman"/>
          <w:sz w:val="24"/>
          <w:szCs w:val="24"/>
          <w:lang w:eastAsia="en-GB"/>
        </w:rPr>
        <w:t>Papallou</w:t>
      </w:r>
      <w:proofErr w:type="spellEnd"/>
      <w:r w:rsidRPr="00E45790">
        <w:rPr>
          <w:rFonts w:ascii="Times New Roman" w:hAnsi="Times New Roman" w:cs="Times New Roman"/>
          <w:sz w:val="24"/>
          <w:szCs w:val="24"/>
          <w:lang w:eastAsia="en-GB"/>
        </w:rPr>
        <w:t xml:space="preserve">, E., </w:t>
      </w:r>
      <w:proofErr w:type="spellStart"/>
      <w:r w:rsidRPr="00E45790">
        <w:rPr>
          <w:rFonts w:ascii="Times New Roman" w:hAnsi="Times New Roman" w:cs="Times New Roman"/>
          <w:sz w:val="24"/>
          <w:szCs w:val="24"/>
          <w:lang w:eastAsia="en-GB"/>
        </w:rPr>
        <w:t>Katafygiotou</w:t>
      </w:r>
      <w:proofErr w:type="spellEnd"/>
      <w:r w:rsidRPr="00E45790">
        <w:rPr>
          <w:rFonts w:ascii="Times New Roman" w:hAnsi="Times New Roman" w:cs="Times New Roman"/>
          <w:sz w:val="24"/>
          <w:szCs w:val="24"/>
          <w:lang w:eastAsia="en-GB"/>
        </w:rPr>
        <w:t>, M. and Dimopoulos, T. (2024) ‘Emerging sustainability trends in tourist facilities: a comparative assessment of multiple hotels and resorts’, Sustainability, 16(9), p. 3536. doi:10.3390/su16093536.</w:t>
      </w:r>
    </w:p>
    <w:p w14:paraId="4BBAFDBC" w14:textId="701F74D6"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Park, T.Y. and Shaw, J.D. (2013) ‘Turnover rates and organizational performance: a meta-analysis’, Journal of Applied Psychology, 98(2), p. 268.</w:t>
      </w:r>
    </w:p>
    <w:p w14:paraId="57318F78" w14:textId="724B0804"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Robbins, S.P., Judge, T.A. and </w:t>
      </w:r>
      <w:proofErr w:type="spellStart"/>
      <w:r w:rsidRPr="00E45790">
        <w:rPr>
          <w:rFonts w:ascii="Times New Roman" w:hAnsi="Times New Roman" w:cs="Times New Roman"/>
          <w:sz w:val="24"/>
          <w:szCs w:val="24"/>
          <w:lang w:eastAsia="en-GB"/>
        </w:rPr>
        <w:t>Breward</w:t>
      </w:r>
      <w:proofErr w:type="spellEnd"/>
      <w:r w:rsidRPr="00E45790">
        <w:rPr>
          <w:rFonts w:ascii="Times New Roman" w:hAnsi="Times New Roman" w:cs="Times New Roman"/>
          <w:sz w:val="24"/>
          <w:szCs w:val="24"/>
          <w:lang w:eastAsia="en-GB"/>
        </w:rPr>
        <w:t>, K. (2016) Essentials of Organizational Behaviour. Pearson Canada.</w:t>
      </w:r>
    </w:p>
    <w:p w14:paraId="48FA7E82" w14:textId="4F576ADC"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 xml:space="preserve">Salas, E., Tannenbaum, S.I., </w:t>
      </w:r>
      <w:proofErr w:type="spellStart"/>
      <w:r w:rsidRPr="00E45790">
        <w:rPr>
          <w:rFonts w:ascii="Times New Roman" w:hAnsi="Times New Roman" w:cs="Times New Roman"/>
          <w:sz w:val="24"/>
          <w:szCs w:val="24"/>
          <w:lang w:eastAsia="en-GB"/>
        </w:rPr>
        <w:t>Kraiger</w:t>
      </w:r>
      <w:proofErr w:type="spellEnd"/>
      <w:r w:rsidRPr="00E45790">
        <w:rPr>
          <w:rFonts w:ascii="Times New Roman" w:hAnsi="Times New Roman" w:cs="Times New Roman"/>
          <w:sz w:val="24"/>
          <w:szCs w:val="24"/>
          <w:lang w:eastAsia="en-GB"/>
        </w:rPr>
        <w:t>, K. and Smith-Jentsch, K.A. (2012) ‘The science of training and development in organizations: what matters in practice’, Psychological Science in the Public Interest, 13(2), pp. 74–101.</w:t>
      </w:r>
    </w:p>
    <w:p w14:paraId="4CD42E19" w14:textId="77777777"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Sampaio, C., Sebastião, J.R. and Farinha, L. (2024) ‘Hospitality and tourism demand: exploring industry shifts, themes, and trends’, Societies, 14(10), p. 207. doi:10.3390/soc14100207.</w:t>
      </w:r>
    </w:p>
    <w:p w14:paraId="71F98612" w14:textId="56E70397"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Singh, N., Cranage, D. &amp; Lee, S. (2014) ‘Green strategies for hotels: Estimation of recycling benefits’, International Journal of Hospitality Management, 43, pp. 13–22.</w:t>
      </w:r>
    </w:p>
    <w:p w14:paraId="70F94399" w14:textId="7C65E4DC" w:rsidR="00E45790" w:rsidRPr="00E45790" w:rsidRDefault="00E45790" w:rsidP="00E45790">
      <w:pPr>
        <w:spacing w:line="360" w:lineRule="auto"/>
        <w:ind w:hanging="680"/>
        <w:jc w:val="both"/>
        <w:rPr>
          <w:rFonts w:ascii="Times New Roman" w:hAnsi="Times New Roman" w:cs="Times New Roman"/>
          <w:sz w:val="24"/>
          <w:szCs w:val="24"/>
          <w:lang w:eastAsia="en-GB"/>
        </w:rPr>
      </w:pPr>
      <w:proofErr w:type="spellStart"/>
      <w:r w:rsidRPr="00E45790">
        <w:rPr>
          <w:rFonts w:ascii="Times New Roman" w:hAnsi="Times New Roman" w:cs="Times New Roman"/>
          <w:sz w:val="24"/>
          <w:szCs w:val="24"/>
          <w:lang w:eastAsia="en-GB"/>
        </w:rPr>
        <w:t>Tufft</w:t>
      </w:r>
      <w:proofErr w:type="spellEnd"/>
      <w:r w:rsidRPr="00E45790">
        <w:rPr>
          <w:rFonts w:ascii="Times New Roman" w:hAnsi="Times New Roman" w:cs="Times New Roman"/>
          <w:sz w:val="24"/>
          <w:szCs w:val="24"/>
          <w:lang w:eastAsia="en-GB"/>
        </w:rPr>
        <w:t>, C., Constantin, M., Pacca, M., Mann, R. &amp; Gladstone, I. (2024) The state of tourism and hospitality 2024. Available at: https://www.mckinsey.com/~/media/mckinsey/industries/travel%20logistics%20and%20infrastructure/our%20insights/the%20state%20of%20tourism%20and%20hospitality%202024/the-state-of-tourism-and-hospitality-2024-final.pdf (Accessed: 01 June 2025).</w:t>
      </w:r>
    </w:p>
    <w:p w14:paraId="0264D26D" w14:textId="6DCCD917"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TripAdvisor (2023) City tax amount – how is this computed? Tripadvisor.co.uk. Available at: https://www.tripadvisor.co.uk/ShowTopic-g188590-i60-k14542556-City_tax_amount_how_is_this_computed-Amsterdam_North_Holland_Province.html (Accessed: 01 June 2025).</w:t>
      </w:r>
    </w:p>
    <w:p w14:paraId="40058A05" w14:textId="66AFD613"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lastRenderedPageBreak/>
        <w:t>Tripadvisor (2024) Tripadvisor. Available at: https://www.tripadvisor.co.uk/Hotel_Review-g188590-d229182-Reviews-Anantara_Grand_Hotel_Krasnapolsky_Amsterdam-Amsterdam_North_Holland_Province.html (Accessed: 01 June 2025).</w:t>
      </w:r>
    </w:p>
    <w:p w14:paraId="4466F4F2" w14:textId="301469EB"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Van Dam, K. (2013) ‘Employee adaptability to change at work: A multidimensional, resource-based framework’, in The psychology of change: Viewing change from the employee’s perspective, pp. 123–142.</w:t>
      </w:r>
    </w:p>
    <w:p w14:paraId="094E9A88" w14:textId="3B092903"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Wang, C.H., Chen, K.Y. &amp; Chen, S.C. (2012) ‘Total quality management, market orientation and hotel performance: The moderating effects of external environmental factors’, International Journal of Hospitality Management, 31(1), pp. 119–129.</w:t>
      </w:r>
    </w:p>
    <w:p w14:paraId="1A466CC7" w14:textId="78C9EF91"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WTTC (2023) World Travel &amp; Tourism Council (WTTC) | Travel &amp; Tourism. Available at: https://wttc.org/ (Accessed: 01 June 2025).</w:t>
      </w:r>
    </w:p>
    <w:p w14:paraId="02F94C01" w14:textId="1AC7D301" w:rsidR="00E45790" w:rsidRPr="00E45790" w:rsidRDefault="00E45790" w:rsidP="00E45790">
      <w:pPr>
        <w:spacing w:line="360" w:lineRule="auto"/>
        <w:ind w:hanging="680"/>
        <w:jc w:val="both"/>
        <w:rPr>
          <w:rFonts w:ascii="Times New Roman" w:hAnsi="Times New Roman" w:cs="Times New Roman"/>
          <w:sz w:val="24"/>
          <w:szCs w:val="24"/>
          <w:lang w:eastAsia="en-GB"/>
        </w:rPr>
      </w:pPr>
      <w:r w:rsidRPr="00E45790">
        <w:rPr>
          <w:rFonts w:ascii="Times New Roman" w:hAnsi="Times New Roman" w:cs="Times New Roman"/>
          <w:sz w:val="24"/>
          <w:szCs w:val="24"/>
          <w:lang w:eastAsia="en-GB"/>
        </w:rPr>
        <w:t>Zaken, M. van A. (2017) Work. Available at: https://www.government.nl/topics/themes/work (Accessed: 01 June 2025).</w:t>
      </w:r>
    </w:p>
    <w:p w14:paraId="30E56A73"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6C319E6F"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4698054E"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51105A46"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7B642091"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4B426584"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4D3D691F"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7C3A1037"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5A8D045E"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6EED63AF"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2416331A"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02B3301C"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2F495679"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2B87318F"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7C84FE02" w14:textId="77777777" w:rsidR="00E45790" w:rsidRPr="00E45790" w:rsidRDefault="00E45790" w:rsidP="00E45790">
      <w:pPr>
        <w:spacing w:line="360" w:lineRule="auto"/>
        <w:jc w:val="both"/>
        <w:rPr>
          <w:rFonts w:ascii="Times New Roman" w:hAnsi="Times New Roman" w:cs="Times New Roman"/>
          <w:sz w:val="24"/>
          <w:szCs w:val="24"/>
          <w:lang w:eastAsia="en-GB"/>
        </w:rPr>
      </w:pPr>
    </w:p>
    <w:p w14:paraId="52A4C2BE" w14:textId="77777777" w:rsidR="00E45790" w:rsidRPr="00E45790" w:rsidRDefault="00E45790" w:rsidP="00E45790">
      <w:pPr>
        <w:spacing w:line="360" w:lineRule="auto"/>
        <w:jc w:val="both"/>
        <w:rPr>
          <w:rFonts w:ascii="Times New Roman" w:hAnsi="Times New Roman" w:cs="Times New Roman"/>
          <w:sz w:val="24"/>
          <w:szCs w:val="24"/>
          <w:lang w:eastAsia="en-GB"/>
        </w:rPr>
      </w:pPr>
    </w:p>
    <w:sectPr w:rsidR="00E45790" w:rsidRPr="00E4579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EF8EF" w14:textId="77777777" w:rsidR="00DE2E95" w:rsidRDefault="00DE2E95" w:rsidP="00CB27BB">
      <w:pPr>
        <w:spacing w:after="0" w:line="240" w:lineRule="auto"/>
      </w:pPr>
      <w:r>
        <w:separator/>
      </w:r>
    </w:p>
  </w:endnote>
  <w:endnote w:type="continuationSeparator" w:id="0">
    <w:p w14:paraId="48498C9A" w14:textId="77777777" w:rsidR="00DE2E95" w:rsidRDefault="00DE2E95" w:rsidP="00CB2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0588381"/>
      <w:docPartObj>
        <w:docPartGallery w:val="Page Numbers (Bottom of Page)"/>
        <w:docPartUnique/>
      </w:docPartObj>
    </w:sdtPr>
    <w:sdtEndPr>
      <w:rPr>
        <w:noProof/>
      </w:rPr>
    </w:sdtEndPr>
    <w:sdtContent>
      <w:p w14:paraId="27D14024" w14:textId="2170DE82" w:rsidR="00CB27BB" w:rsidRDefault="00CB27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2C2CD5" w14:textId="77777777" w:rsidR="00CB27BB" w:rsidRDefault="00CB27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81E18" w14:textId="77777777" w:rsidR="00DE2E95" w:rsidRDefault="00DE2E95" w:rsidP="00CB27BB">
      <w:pPr>
        <w:spacing w:after="0" w:line="240" w:lineRule="auto"/>
      </w:pPr>
      <w:r>
        <w:separator/>
      </w:r>
    </w:p>
  </w:footnote>
  <w:footnote w:type="continuationSeparator" w:id="0">
    <w:p w14:paraId="0592B0E6" w14:textId="77777777" w:rsidR="00DE2E95" w:rsidRDefault="00DE2E95" w:rsidP="00CB27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9ECEA4" w14:textId="1C0A4966" w:rsidR="00CB27BB" w:rsidRDefault="00CB27BB">
    <w:pPr>
      <w:pStyle w:val="Header"/>
    </w:pPr>
    <w:r w:rsidRPr="00CB27BB">
      <w:rPr>
        <w:noProof/>
      </w:rPr>
      <w:drawing>
        <wp:inline distT="0" distB="0" distL="0" distR="0" wp14:anchorId="51AE8B33" wp14:editId="28A14385">
          <wp:extent cx="1193800" cy="1180476"/>
          <wp:effectExtent l="0" t="0" r="6350" b="635"/>
          <wp:docPr id="1654795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795560" name=""/>
                  <pic:cNvPicPr/>
                </pic:nvPicPr>
                <pic:blipFill>
                  <a:blip r:embed="rId1"/>
                  <a:stretch>
                    <a:fillRect/>
                  </a:stretch>
                </pic:blipFill>
                <pic:spPr>
                  <a:xfrm>
                    <a:off x="0" y="0"/>
                    <a:ext cx="1200173" cy="118677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7255F"/>
    <w:multiLevelType w:val="hybridMultilevel"/>
    <w:tmpl w:val="DACA30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95573"/>
    <w:multiLevelType w:val="hybridMultilevel"/>
    <w:tmpl w:val="E3944E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435718"/>
    <w:multiLevelType w:val="hybridMultilevel"/>
    <w:tmpl w:val="18A6E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7030849">
    <w:abstractNumId w:val="2"/>
  </w:num>
  <w:num w:numId="2" w16cid:durableId="1975064767">
    <w:abstractNumId w:val="1"/>
  </w:num>
  <w:num w:numId="3" w16cid:durableId="34668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7BB"/>
    <w:rsid w:val="00100F64"/>
    <w:rsid w:val="00153B38"/>
    <w:rsid w:val="002A0C5B"/>
    <w:rsid w:val="002E01E2"/>
    <w:rsid w:val="002E2862"/>
    <w:rsid w:val="006B208F"/>
    <w:rsid w:val="007B0CC3"/>
    <w:rsid w:val="008A127C"/>
    <w:rsid w:val="00B151A8"/>
    <w:rsid w:val="00B61951"/>
    <w:rsid w:val="00C82D1F"/>
    <w:rsid w:val="00CB27BB"/>
    <w:rsid w:val="00CD7C51"/>
    <w:rsid w:val="00CE4535"/>
    <w:rsid w:val="00D73CFE"/>
    <w:rsid w:val="00DE2E95"/>
    <w:rsid w:val="00E45790"/>
    <w:rsid w:val="00E816E4"/>
    <w:rsid w:val="00F40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5CEABF"/>
  <w15:chartTrackingRefBased/>
  <w15:docId w15:val="{B64ADF25-7DE0-48C8-A298-02A7FE817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B27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27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B27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B27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B27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27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27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27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B27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B27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B27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B27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B27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27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27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27BB"/>
    <w:rPr>
      <w:rFonts w:eastAsiaTheme="majorEastAsia" w:cstheme="majorBidi"/>
      <w:color w:val="272727" w:themeColor="text1" w:themeTint="D8"/>
    </w:rPr>
  </w:style>
  <w:style w:type="paragraph" w:styleId="Title">
    <w:name w:val="Title"/>
    <w:basedOn w:val="Normal"/>
    <w:next w:val="Normal"/>
    <w:link w:val="TitleChar"/>
    <w:uiPriority w:val="10"/>
    <w:qFormat/>
    <w:rsid w:val="00CB27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27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27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27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27BB"/>
    <w:pPr>
      <w:spacing w:before="160"/>
      <w:jc w:val="center"/>
    </w:pPr>
    <w:rPr>
      <w:i/>
      <w:iCs/>
      <w:color w:val="404040" w:themeColor="text1" w:themeTint="BF"/>
    </w:rPr>
  </w:style>
  <w:style w:type="character" w:customStyle="1" w:styleId="QuoteChar">
    <w:name w:val="Quote Char"/>
    <w:basedOn w:val="DefaultParagraphFont"/>
    <w:link w:val="Quote"/>
    <w:uiPriority w:val="29"/>
    <w:rsid w:val="00CB27BB"/>
    <w:rPr>
      <w:i/>
      <w:iCs/>
      <w:color w:val="404040" w:themeColor="text1" w:themeTint="BF"/>
    </w:rPr>
  </w:style>
  <w:style w:type="paragraph" w:styleId="ListParagraph">
    <w:name w:val="List Paragraph"/>
    <w:basedOn w:val="Normal"/>
    <w:uiPriority w:val="34"/>
    <w:qFormat/>
    <w:rsid w:val="00CB27BB"/>
    <w:pPr>
      <w:ind w:left="720"/>
      <w:contextualSpacing/>
    </w:pPr>
  </w:style>
  <w:style w:type="character" w:styleId="IntenseEmphasis">
    <w:name w:val="Intense Emphasis"/>
    <w:basedOn w:val="DefaultParagraphFont"/>
    <w:uiPriority w:val="21"/>
    <w:qFormat/>
    <w:rsid w:val="00CB27BB"/>
    <w:rPr>
      <w:i/>
      <w:iCs/>
      <w:color w:val="2F5496" w:themeColor="accent1" w:themeShade="BF"/>
    </w:rPr>
  </w:style>
  <w:style w:type="paragraph" w:styleId="IntenseQuote">
    <w:name w:val="Intense Quote"/>
    <w:basedOn w:val="Normal"/>
    <w:next w:val="Normal"/>
    <w:link w:val="IntenseQuoteChar"/>
    <w:uiPriority w:val="30"/>
    <w:qFormat/>
    <w:rsid w:val="00CB27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27BB"/>
    <w:rPr>
      <w:i/>
      <w:iCs/>
      <w:color w:val="2F5496" w:themeColor="accent1" w:themeShade="BF"/>
    </w:rPr>
  </w:style>
  <w:style w:type="character" w:styleId="IntenseReference">
    <w:name w:val="Intense Reference"/>
    <w:basedOn w:val="DefaultParagraphFont"/>
    <w:uiPriority w:val="32"/>
    <w:qFormat/>
    <w:rsid w:val="00CB27BB"/>
    <w:rPr>
      <w:b/>
      <w:bCs/>
      <w:smallCaps/>
      <w:color w:val="2F5496" w:themeColor="accent1" w:themeShade="BF"/>
      <w:spacing w:val="5"/>
    </w:rPr>
  </w:style>
  <w:style w:type="paragraph" w:styleId="Header">
    <w:name w:val="header"/>
    <w:basedOn w:val="Normal"/>
    <w:link w:val="HeaderChar"/>
    <w:uiPriority w:val="99"/>
    <w:unhideWhenUsed/>
    <w:rsid w:val="00CB2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7BB"/>
  </w:style>
  <w:style w:type="paragraph" w:styleId="Footer">
    <w:name w:val="footer"/>
    <w:basedOn w:val="Normal"/>
    <w:link w:val="FooterChar"/>
    <w:uiPriority w:val="99"/>
    <w:unhideWhenUsed/>
    <w:rsid w:val="00CB2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7BB"/>
  </w:style>
  <w:style w:type="table" w:styleId="TableGrid">
    <w:name w:val="Table Grid"/>
    <w:basedOn w:val="TableNormal"/>
    <w:uiPriority w:val="39"/>
    <w:rsid w:val="00E457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45790"/>
    <w:pPr>
      <w:outlineLvl w:val="9"/>
    </w:pPr>
    <w:rPr>
      <w:kern w:val="0"/>
      <w:lang w:val="en-US"/>
      <w14:ligatures w14:val="none"/>
    </w:rPr>
  </w:style>
  <w:style w:type="paragraph" w:styleId="TOC1">
    <w:name w:val="toc 1"/>
    <w:basedOn w:val="Normal"/>
    <w:next w:val="Normal"/>
    <w:autoRedefine/>
    <w:uiPriority w:val="39"/>
    <w:unhideWhenUsed/>
    <w:rsid w:val="00E45790"/>
    <w:pPr>
      <w:spacing w:after="100"/>
    </w:pPr>
  </w:style>
  <w:style w:type="character" w:styleId="Hyperlink">
    <w:name w:val="Hyperlink"/>
    <w:basedOn w:val="DefaultParagraphFont"/>
    <w:uiPriority w:val="99"/>
    <w:unhideWhenUsed/>
    <w:rsid w:val="00E457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855558">
      <w:bodyDiv w:val="1"/>
      <w:marLeft w:val="0"/>
      <w:marRight w:val="0"/>
      <w:marTop w:val="0"/>
      <w:marBottom w:val="0"/>
      <w:divBdr>
        <w:top w:val="none" w:sz="0" w:space="0" w:color="auto"/>
        <w:left w:val="none" w:sz="0" w:space="0" w:color="auto"/>
        <w:bottom w:val="none" w:sz="0" w:space="0" w:color="auto"/>
        <w:right w:val="none" w:sz="0" w:space="0" w:color="auto"/>
      </w:divBdr>
    </w:div>
    <w:div w:id="328366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7906</Words>
  <Characters>47994</Characters>
  <Application>Microsoft Office Word</Application>
  <DocSecurity>0</DocSecurity>
  <Lines>1066</Lines>
  <Paragraphs>192</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Executive summary </vt:lpstr>
      <vt:lpstr>Introduction </vt:lpstr>
      <vt:lpstr>Analysis of the hotel</vt:lpstr>
      <vt:lpstr>SWOT</vt:lpstr>
      <vt:lpstr>STEEPLE</vt:lpstr>
      <vt:lpstr>TOWS Analysis</vt:lpstr>
      <vt:lpstr>Recommendations</vt:lpstr>
      <vt:lpstr>Conclusion</vt:lpstr>
      <vt:lpstr>Action Plan</vt:lpstr>
    </vt:vector>
  </TitlesOfParts>
  <Company/>
  <LinksUpToDate>false</LinksUpToDate>
  <CharactersWithSpaces>55708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Irina Buture</cp:lastModifiedBy>
  <cp:revision>7</cp:revision>
  <dcterms:created xsi:type="dcterms:W3CDTF">2025-06-20T20:13:00Z</dcterms:created>
  <dcterms:modified xsi:type="dcterms:W3CDTF">2025-06-20T22:22:00Z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6cdf17f8-4849-462e-b043-d284c5614980</vt:lpwstr>
  </property>
</Properties>
</file>