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26838A3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102965">
              <w:rPr>
                <w:rFonts w:ascii="Times New Roman" w:hAnsi="Times New Roman" w:cs="Times New Roman"/>
                <w:b/>
                <w:color w:val="auto"/>
                <w:sz w:val="48"/>
              </w:rPr>
              <w:t>Marc Bentham</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BDE446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102965">
              <w:rPr>
                <w:rFonts w:ascii="Times New Roman" w:hAnsi="Times New Roman" w:cs="Times New Roman"/>
                <w:b/>
                <w:color w:val="auto"/>
                <w:sz w:val="48"/>
              </w:rPr>
              <w:t xml:space="preserve"> </w:t>
            </w:r>
            <w:hyperlink r:id="rId11" w:history="1">
              <w:r w:rsidR="00102965" w:rsidRPr="00B95AF4">
                <w:rPr>
                  <w:rStyle w:val="Hyperddolen"/>
                  <w:rFonts w:ascii="Times New Roman" w:hAnsi="Times New Roman" w:cs="Times New Roman"/>
                  <w:b/>
                  <w:sz w:val="32"/>
                  <w:szCs w:val="32"/>
                </w:rPr>
                <w:t>2330026@student.uwtsd.ac.uk</w:t>
              </w:r>
            </w:hyperlink>
            <w:r w:rsidR="00102965" w:rsidRPr="00B95AF4">
              <w:rPr>
                <w:rFonts w:ascii="Times New Roman" w:hAnsi="Times New Roman" w:cs="Times New Roman"/>
                <w:b/>
                <w:sz w:val="32"/>
                <w:szCs w:val="32"/>
              </w:rPr>
              <w:t>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21062420"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5B97FF05" w14:textId="3E3C3EEF" w:rsidR="00102965" w:rsidRPr="005D3F07" w:rsidRDefault="00102965"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2330026</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0318E819" w14:textId="77777777" w:rsidR="00FC0334" w:rsidRDefault="00FC0334" w:rsidP="00FF7EBB">
            <w:pPr>
              <w:jc w:val="both"/>
              <w:rPr>
                <w:sz w:val="24"/>
                <w:szCs w:val="24"/>
              </w:rPr>
            </w:pPr>
          </w:p>
          <w:p w14:paraId="6D8CB8AF" w14:textId="77777777" w:rsidR="00FC0334" w:rsidRDefault="00FC0334" w:rsidP="00FF7EBB">
            <w:pPr>
              <w:jc w:val="both"/>
              <w:rPr>
                <w:sz w:val="24"/>
                <w:szCs w:val="24"/>
              </w:rPr>
            </w:pPr>
          </w:p>
          <w:p w14:paraId="4A95F4DB" w14:textId="77777777" w:rsidR="00FC0334" w:rsidRDefault="00FC0334" w:rsidP="00FF7EBB">
            <w:pPr>
              <w:jc w:val="both"/>
              <w:rPr>
                <w:sz w:val="24"/>
                <w:szCs w:val="24"/>
              </w:rPr>
            </w:pPr>
          </w:p>
          <w:p w14:paraId="75DF59E2" w14:textId="77777777" w:rsidR="00FC0334" w:rsidRDefault="00FC0334" w:rsidP="00FF7EBB">
            <w:pPr>
              <w:jc w:val="both"/>
              <w:rPr>
                <w:sz w:val="24"/>
                <w:szCs w:val="24"/>
              </w:rPr>
            </w:pPr>
          </w:p>
          <w:p w14:paraId="14883BA0" w14:textId="77777777" w:rsidR="00FC0334" w:rsidRDefault="00FC0334" w:rsidP="00FF7EBB">
            <w:pPr>
              <w:jc w:val="both"/>
              <w:rPr>
                <w:sz w:val="24"/>
                <w:szCs w:val="24"/>
              </w:rPr>
            </w:pPr>
          </w:p>
          <w:p w14:paraId="49641ACD" w14:textId="77777777" w:rsidR="00FC0334" w:rsidRDefault="00FC0334" w:rsidP="00FF7EBB">
            <w:pPr>
              <w:jc w:val="both"/>
              <w:rPr>
                <w:sz w:val="24"/>
                <w:szCs w:val="24"/>
              </w:rPr>
            </w:pP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795C6051" w14:textId="77777777" w:rsidR="00FC0334" w:rsidRDefault="00FC0334" w:rsidP="00FC0334">
            <w:pPr>
              <w:jc w:val="both"/>
              <w:rPr>
                <w:sz w:val="24"/>
                <w:szCs w:val="24"/>
              </w:rPr>
            </w:pPr>
          </w:p>
          <w:p w14:paraId="67E7ED72" w14:textId="77777777" w:rsidR="00FC0334" w:rsidRDefault="00FC0334" w:rsidP="00FC0334">
            <w:pPr>
              <w:jc w:val="both"/>
              <w:rPr>
                <w:sz w:val="24"/>
                <w:szCs w:val="24"/>
              </w:rPr>
            </w:pPr>
          </w:p>
          <w:p w14:paraId="478D2F84" w14:textId="77777777" w:rsidR="00FC0334" w:rsidRDefault="00FC0334" w:rsidP="00FC0334">
            <w:pPr>
              <w:jc w:val="both"/>
              <w:rPr>
                <w:sz w:val="24"/>
                <w:szCs w:val="24"/>
              </w:rPr>
            </w:pPr>
          </w:p>
          <w:p w14:paraId="0E64B386" w14:textId="77777777" w:rsidR="00FC0334" w:rsidRDefault="00FC0334" w:rsidP="00FC0334">
            <w:pPr>
              <w:jc w:val="both"/>
              <w:rPr>
                <w:sz w:val="24"/>
                <w:szCs w:val="24"/>
              </w:rPr>
            </w:pPr>
          </w:p>
          <w:p w14:paraId="4847C39E" w14:textId="77777777" w:rsidR="00FC0334" w:rsidRDefault="00FC0334" w:rsidP="00FC0334">
            <w:pPr>
              <w:jc w:val="both"/>
              <w:rPr>
                <w:sz w:val="24"/>
                <w:szCs w:val="24"/>
              </w:rPr>
            </w:pP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p w14:paraId="3BF61CA8" w14:textId="77777777" w:rsidR="00102965" w:rsidRPr="00102965" w:rsidRDefault="00102965" w:rsidP="00102965">
      <w:pPr>
        <w:spacing w:line="360" w:lineRule="auto"/>
        <w:rPr>
          <w:rFonts w:asciiTheme="minorHAnsi" w:hAnsiTheme="minorHAnsi" w:cstheme="minorHAnsi"/>
          <w:b/>
          <w:bCs/>
          <w:sz w:val="24"/>
          <w:szCs w:val="24"/>
        </w:rPr>
      </w:pPr>
      <w:r w:rsidRPr="00102965">
        <w:rPr>
          <w:rFonts w:asciiTheme="minorHAnsi" w:hAnsiTheme="minorHAnsi" w:cstheme="minorHAnsi"/>
          <w:b/>
          <w:bCs/>
          <w:sz w:val="24"/>
          <w:szCs w:val="24"/>
        </w:rPr>
        <w:lastRenderedPageBreak/>
        <w:t xml:space="preserve">Task 4 </w:t>
      </w:r>
    </w:p>
    <w:p w14:paraId="6BB619FE" w14:textId="77777777" w:rsidR="00102965" w:rsidRPr="00102965" w:rsidRDefault="00102965" w:rsidP="00102965">
      <w:pPr>
        <w:spacing w:line="360" w:lineRule="auto"/>
        <w:rPr>
          <w:rFonts w:asciiTheme="minorHAnsi" w:hAnsiTheme="minorHAnsi" w:cstheme="minorHAnsi"/>
          <w:b/>
          <w:bCs/>
          <w:sz w:val="24"/>
          <w:szCs w:val="24"/>
        </w:rPr>
      </w:pPr>
      <w:r w:rsidRPr="00102965">
        <w:rPr>
          <w:rFonts w:asciiTheme="minorHAnsi" w:hAnsiTheme="minorHAnsi" w:cstheme="minorHAnsi"/>
          <w:b/>
          <w:bCs/>
          <w:sz w:val="24"/>
          <w:szCs w:val="24"/>
        </w:rPr>
        <w:t>Question A</w:t>
      </w:r>
    </w:p>
    <w:p w14:paraId="778E3409" w14:textId="77777777" w:rsidR="00102965" w:rsidRPr="00102965" w:rsidRDefault="00102965" w:rsidP="00102965">
      <w:pPr>
        <w:spacing w:line="360" w:lineRule="auto"/>
        <w:rPr>
          <w:rFonts w:asciiTheme="minorHAnsi" w:hAnsiTheme="minorHAnsi" w:cstheme="minorHAnsi"/>
          <w:sz w:val="24"/>
          <w:szCs w:val="24"/>
          <w:lang w:val="en-US"/>
        </w:rPr>
      </w:pPr>
    </w:p>
    <w:p w14:paraId="4410119F" w14:textId="368DC368" w:rsidR="00102965" w:rsidRPr="00102965" w:rsidRDefault="00102965" w:rsidP="00102965">
      <w:pPr>
        <w:spacing w:line="360" w:lineRule="auto"/>
        <w:rPr>
          <w:rFonts w:asciiTheme="minorHAnsi" w:hAnsiTheme="minorHAnsi" w:cstheme="minorHAnsi"/>
          <w:sz w:val="24"/>
          <w:szCs w:val="24"/>
          <w:lang w:val="en-US"/>
        </w:rPr>
      </w:pPr>
      <w:r w:rsidRPr="00102965">
        <w:rPr>
          <w:rFonts w:asciiTheme="minorHAnsi" w:hAnsiTheme="minorHAnsi" w:cstheme="minorHAnsi"/>
          <w:sz w:val="24"/>
          <w:szCs w:val="24"/>
          <w:lang w:val="en-US"/>
        </w:rPr>
        <w:t xml:space="preserve">Section 130 of The Social Services and Well-being (Wales) Act 2014 (SSWB[W]A 2014) states that the Local Authority (LA) or any of their partners suspects that a child is at risk, they have a duty to report this concern. Section 130 (4a) defines the child at risk as a child who is experiencing or is at risk of abuse, neglect or any kind of harm. Section 130 (4b) clarifies the duty to report if the child from the area of the LA has needs of care and support. Section 47 of The Children’s Act 1998 (CA 1998) places the duty on the local authority to investigate the report. An investigation may lead to; no further action, provision of support, further investigation or an emergency short term order for more urgent cases (Brammer, 2015d). Social workers should refer to Part 3 of the SSWB(W)A 2014 when assessing the needs of the child, and part 4 when meeting the needs of the child. The key safeguarding procedures in Wales </w:t>
      </w:r>
      <w:proofErr w:type="gramStart"/>
      <w:r w:rsidRPr="00102965">
        <w:rPr>
          <w:rFonts w:asciiTheme="minorHAnsi" w:hAnsiTheme="minorHAnsi" w:cstheme="minorHAnsi"/>
          <w:sz w:val="24"/>
          <w:szCs w:val="24"/>
          <w:lang w:val="en-US"/>
        </w:rPr>
        <w:t>are;</w:t>
      </w:r>
      <w:proofErr w:type="gramEnd"/>
      <w:r w:rsidRPr="00102965">
        <w:rPr>
          <w:rFonts w:asciiTheme="minorHAnsi" w:hAnsiTheme="minorHAnsi" w:cstheme="minorHAnsi"/>
          <w:sz w:val="24"/>
          <w:szCs w:val="24"/>
          <w:lang w:val="en-US"/>
        </w:rPr>
        <w:t xml:space="preserve"> to give the individual a voice and as much control as possible. To work in a preventative way, applying early intervention. Strive for effective multi-agency co-production and working together for a common cause. To ensure the best interest of the child is central (person-centered approach). The social worker should refer to the United Nation’s Convention on the Rights of the Child (UNCRC) to ensure they avoid anti-oppressive practice by violating their rights. </w:t>
      </w:r>
    </w:p>
    <w:p w14:paraId="3780CD6A" w14:textId="77777777" w:rsidR="00102965" w:rsidRPr="00102965" w:rsidRDefault="00102965" w:rsidP="00102965">
      <w:pPr>
        <w:spacing w:line="360" w:lineRule="auto"/>
        <w:rPr>
          <w:rFonts w:asciiTheme="minorHAnsi" w:hAnsiTheme="minorHAnsi" w:cstheme="minorHAnsi"/>
          <w:sz w:val="24"/>
          <w:szCs w:val="24"/>
          <w:lang w:val="en-US"/>
        </w:rPr>
      </w:pPr>
    </w:p>
    <w:p w14:paraId="63552E60" w14:textId="77777777" w:rsidR="00102965" w:rsidRPr="00102965" w:rsidRDefault="00102965" w:rsidP="00102965">
      <w:pPr>
        <w:spacing w:line="360" w:lineRule="auto"/>
        <w:rPr>
          <w:rFonts w:asciiTheme="minorHAnsi" w:hAnsiTheme="minorHAnsi" w:cstheme="minorHAnsi"/>
          <w:sz w:val="24"/>
          <w:szCs w:val="24"/>
          <w:lang w:val="en-US"/>
        </w:rPr>
      </w:pPr>
      <w:r w:rsidRPr="00102965">
        <w:rPr>
          <w:rFonts w:asciiTheme="minorHAnsi" w:hAnsiTheme="minorHAnsi" w:cstheme="minorHAnsi"/>
          <w:sz w:val="24"/>
          <w:szCs w:val="24"/>
          <w:lang w:val="en-US"/>
        </w:rPr>
        <w:t xml:space="preserve">Social workers often need to navigate between different articles of the UNCRC that may contradict one and other. Such as Article 19 ‘Protection from Violence’ and Article 9 ‘Keeping Families Together’ (UNICEF, 2025). For safeguarding procedures, the social worker needs an understanding of what is an absolute law. As Article 9 of the UNCRC is not absolute, it may deem necessary to remove a child from their parents care in cases of abuse or neglect (Brammer, 2015d). If social services have reasonable cause to suspect a child is at risk, a strategy meeting should be arranged to determine if a Section 47 (CA 1998) should be initiated within one working day. The Section 47 enquiry need to be conducted within 10 working days. If deemed the case needs to proceed to a child protection conference, it should be held within 15 working days (Social Care Wales, 2025b). When a child is placed on the Child Protection Register the LA must develop a plan to meet their care and support needs under Section 37 of </w:t>
      </w:r>
      <w:proofErr w:type="gramStart"/>
      <w:r w:rsidRPr="00102965">
        <w:rPr>
          <w:rFonts w:asciiTheme="minorHAnsi" w:hAnsiTheme="minorHAnsi" w:cstheme="minorHAnsi"/>
          <w:sz w:val="24"/>
          <w:szCs w:val="24"/>
          <w:lang w:val="en-US"/>
        </w:rPr>
        <w:t>The</w:t>
      </w:r>
      <w:proofErr w:type="gramEnd"/>
      <w:r w:rsidRPr="00102965">
        <w:rPr>
          <w:rFonts w:asciiTheme="minorHAnsi" w:hAnsiTheme="minorHAnsi" w:cstheme="minorHAnsi"/>
          <w:sz w:val="24"/>
          <w:szCs w:val="24"/>
          <w:lang w:val="en-US"/>
        </w:rPr>
        <w:t xml:space="preserve"> SSWB(W)A 2014. The 5</w:t>
      </w:r>
      <w:r w:rsidRPr="00102965">
        <w:rPr>
          <w:rFonts w:asciiTheme="minorHAnsi" w:hAnsiTheme="minorHAnsi" w:cstheme="minorHAnsi"/>
          <w:sz w:val="24"/>
          <w:szCs w:val="24"/>
          <w:vertAlign w:val="superscript"/>
          <w:lang w:val="en-US"/>
        </w:rPr>
        <w:t>TH</w:t>
      </w:r>
      <w:r w:rsidRPr="00102965">
        <w:rPr>
          <w:rFonts w:asciiTheme="minorHAnsi" w:hAnsiTheme="minorHAnsi" w:cstheme="minorHAnsi"/>
          <w:sz w:val="24"/>
          <w:szCs w:val="24"/>
          <w:lang w:val="en-US"/>
        </w:rPr>
        <w:t xml:space="preserve"> section of Social Care </w:t>
      </w:r>
      <w:proofErr w:type="spellStart"/>
      <w:r w:rsidRPr="00102965">
        <w:rPr>
          <w:rFonts w:asciiTheme="minorHAnsi" w:hAnsiTheme="minorHAnsi" w:cstheme="minorHAnsi"/>
          <w:sz w:val="24"/>
          <w:szCs w:val="24"/>
          <w:lang w:val="en-US"/>
        </w:rPr>
        <w:t>Wales’</w:t>
      </w:r>
      <w:proofErr w:type="spellEnd"/>
      <w:r w:rsidRPr="00102965">
        <w:rPr>
          <w:rFonts w:asciiTheme="minorHAnsi" w:hAnsiTheme="minorHAnsi" w:cstheme="minorHAnsi"/>
          <w:sz w:val="24"/>
          <w:szCs w:val="24"/>
          <w:lang w:val="en-US"/>
        </w:rPr>
        <w:t xml:space="preserve"> (2025b) safeguarding procedures </w:t>
      </w:r>
      <w:r w:rsidRPr="00102965">
        <w:rPr>
          <w:rFonts w:asciiTheme="minorHAnsi" w:hAnsiTheme="minorHAnsi" w:cstheme="minorHAnsi"/>
          <w:sz w:val="24"/>
          <w:szCs w:val="24"/>
          <w:lang w:val="en-US"/>
        </w:rPr>
        <w:lastRenderedPageBreak/>
        <w:t xml:space="preserve">underlines the duty to act on allegations of abuse from those in positions of trust. A social worker may refer to its LA’s whistleblowing procedure. The LA will also have its own safeguarding procedures clarifying contact details and relevant professionals to discuss any concerns. Professionals can refer to National Independent Safeguarding Board Wales (2025) who offer advice and receive concerns regarding arrangements whilst reporting to the Welsh Government. The board is split into 6 regions within Wales. </w:t>
      </w:r>
    </w:p>
    <w:p w14:paraId="55E11508" w14:textId="77777777" w:rsidR="00102965" w:rsidRPr="00102965" w:rsidRDefault="00102965" w:rsidP="00102965">
      <w:pPr>
        <w:spacing w:line="360" w:lineRule="auto"/>
        <w:rPr>
          <w:rFonts w:asciiTheme="minorHAnsi" w:hAnsiTheme="minorHAnsi" w:cstheme="minorHAnsi"/>
          <w:sz w:val="24"/>
          <w:szCs w:val="24"/>
          <w:lang w:val="en-US"/>
        </w:rPr>
      </w:pPr>
    </w:p>
    <w:p w14:paraId="36F0ACEC" w14:textId="77777777" w:rsidR="00102965" w:rsidRPr="00102965" w:rsidRDefault="00102965" w:rsidP="00102965">
      <w:pPr>
        <w:spacing w:line="360" w:lineRule="auto"/>
        <w:rPr>
          <w:rFonts w:asciiTheme="minorHAnsi" w:hAnsiTheme="minorHAnsi" w:cstheme="minorHAnsi"/>
          <w:b/>
          <w:bCs/>
          <w:sz w:val="24"/>
          <w:szCs w:val="24"/>
          <w:lang w:val="en-US"/>
        </w:rPr>
      </w:pPr>
      <w:r w:rsidRPr="00102965">
        <w:rPr>
          <w:rFonts w:asciiTheme="minorHAnsi" w:hAnsiTheme="minorHAnsi" w:cstheme="minorHAnsi"/>
          <w:b/>
          <w:bCs/>
          <w:sz w:val="24"/>
          <w:szCs w:val="24"/>
          <w:lang w:val="en-US"/>
        </w:rPr>
        <w:t>Word Count: 504</w:t>
      </w:r>
    </w:p>
    <w:p w14:paraId="3617CDFB" w14:textId="77777777" w:rsidR="00102965" w:rsidRPr="00102965" w:rsidRDefault="00102965" w:rsidP="00102965">
      <w:pPr>
        <w:spacing w:line="360" w:lineRule="auto"/>
        <w:rPr>
          <w:rFonts w:asciiTheme="minorHAnsi" w:hAnsiTheme="minorHAnsi" w:cstheme="minorHAnsi"/>
          <w:b/>
          <w:bCs/>
          <w:sz w:val="24"/>
          <w:szCs w:val="24"/>
          <w:lang w:val="en-US"/>
        </w:rPr>
      </w:pPr>
    </w:p>
    <w:p w14:paraId="76021FC6" w14:textId="77777777" w:rsidR="00102965" w:rsidRPr="00102965" w:rsidRDefault="00102965" w:rsidP="00102965">
      <w:pPr>
        <w:spacing w:line="360" w:lineRule="auto"/>
        <w:rPr>
          <w:rFonts w:asciiTheme="minorHAnsi" w:hAnsiTheme="minorHAnsi" w:cstheme="minorHAnsi"/>
          <w:b/>
          <w:bCs/>
          <w:sz w:val="24"/>
          <w:szCs w:val="24"/>
          <w:lang w:val="en-US"/>
        </w:rPr>
      </w:pPr>
    </w:p>
    <w:p w14:paraId="0A5FDF79" w14:textId="77777777" w:rsidR="00102965" w:rsidRPr="00102965" w:rsidRDefault="00102965" w:rsidP="00102965">
      <w:pPr>
        <w:spacing w:line="360" w:lineRule="auto"/>
        <w:rPr>
          <w:rFonts w:asciiTheme="minorHAnsi" w:hAnsiTheme="minorHAnsi" w:cstheme="minorHAnsi"/>
          <w:b/>
          <w:bCs/>
          <w:sz w:val="24"/>
          <w:szCs w:val="24"/>
        </w:rPr>
      </w:pPr>
      <w:r w:rsidRPr="00102965">
        <w:rPr>
          <w:rFonts w:asciiTheme="minorHAnsi" w:hAnsiTheme="minorHAnsi" w:cstheme="minorHAnsi"/>
          <w:b/>
          <w:bCs/>
          <w:sz w:val="24"/>
          <w:szCs w:val="24"/>
        </w:rPr>
        <w:t>Question B</w:t>
      </w:r>
    </w:p>
    <w:p w14:paraId="1B0CE852" w14:textId="77777777" w:rsidR="00102965" w:rsidRPr="00102965" w:rsidRDefault="00102965" w:rsidP="00102965">
      <w:pPr>
        <w:spacing w:line="360" w:lineRule="auto"/>
        <w:rPr>
          <w:rFonts w:asciiTheme="minorHAnsi" w:hAnsiTheme="minorHAnsi" w:cstheme="minorHAnsi"/>
          <w:b/>
          <w:bCs/>
          <w:sz w:val="24"/>
          <w:szCs w:val="24"/>
        </w:rPr>
      </w:pPr>
    </w:p>
    <w:p w14:paraId="59395094" w14:textId="77777777" w:rsidR="00102965" w:rsidRPr="00102965" w:rsidRDefault="00102965" w:rsidP="00102965">
      <w:pPr>
        <w:spacing w:line="360" w:lineRule="auto"/>
        <w:rPr>
          <w:rFonts w:asciiTheme="minorHAnsi" w:hAnsiTheme="minorHAnsi" w:cstheme="minorHAnsi"/>
          <w:sz w:val="24"/>
          <w:szCs w:val="24"/>
          <w:lang w:val="en-US"/>
        </w:rPr>
      </w:pPr>
      <w:r w:rsidRPr="00102965">
        <w:rPr>
          <w:rFonts w:asciiTheme="minorHAnsi" w:hAnsiTheme="minorHAnsi" w:cstheme="minorHAnsi"/>
          <w:sz w:val="24"/>
          <w:szCs w:val="24"/>
          <w:lang w:val="en-US"/>
        </w:rPr>
        <w:t xml:space="preserve">The Social Services and Well-being (Wales) Act 2014 (SSWB(W)A 2014) clarifies the distinction between an adult in Wales (18 years of age and over) and the child (below the age of 18). The key safeguarding principles are very similar </w:t>
      </w:r>
      <w:proofErr w:type="gramStart"/>
      <w:r w:rsidRPr="00102965">
        <w:rPr>
          <w:rFonts w:asciiTheme="minorHAnsi" w:hAnsiTheme="minorHAnsi" w:cstheme="minorHAnsi"/>
          <w:sz w:val="24"/>
          <w:szCs w:val="24"/>
          <w:lang w:val="en-US"/>
        </w:rPr>
        <w:t>in regard to</w:t>
      </w:r>
      <w:proofErr w:type="gramEnd"/>
      <w:r w:rsidRPr="00102965">
        <w:rPr>
          <w:rFonts w:asciiTheme="minorHAnsi" w:hAnsiTheme="minorHAnsi" w:cstheme="minorHAnsi"/>
          <w:sz w:val="24"/>
          <w:szCs w:val="24"/>
          <w:lang w:val="en-US"/>
        </w:rPr>
        <w:t xml:space="preserve"> investigating and applying a person-centered approach. However once the person has turned 18, consent becomes a key factor in the social worker right to proceed investigations and report concern. Pre 18 a social worker is authorised to make enquiries if there is reasonable cause. Even if an adult is considered vulnerable, perhaps with a learning disability or a mental health diagnosis. Consent must still be gained. Even in situations where a professional may have evidence of </w:t>
      </w:r>
      <w:proofErr w:type="spellStart"/>
      <w:proofErr w:type="gramStart"/>
      <w:r w:rsidRPr="00102965">
        <w:rPr>
          <w:rFonts w:asciiTheme="minorHAnsi" w:hAnsiTheme="minorHAnsi" w:cstheme="minorHAnsi"/>
          <w:sz w:val="24"/>
          <w:szCs w:val="24"/>
          <w:lang w:val="en-US"/>
        </w:rPr>
        <w:t>on going</w:t>
      </w:r>
      <w:proofErr w:type="spellEnd"/>
      <w:proofErr w:type="gramEnd"/>
      <w:r w:rsidRPr="00102965">
        <w:rPr>
          <w:rFonts w:asciiTheme="minorHAnsi" w:hAnsiTheme="minorHAnsi" w:cstheme="minorHAnsi"/>
          <w:sz w:val="24"/>
          <w:szCs w:val="24"/>
          <w:lang w:val="en-US"/>
        </w:rPr>
        <w:t xml:space="preserve"> abuse or neglect. For example, a woman with learning needs may be a victim of domestic abuse. She has the right as an adult not to report the concern and choose to keep her relationship private from concerned authorities. An adult social who may be exposed to cases like this would need to have a good understanding of the Mental Capacity Act 2005 (MCA 2005). The only way a social worker could trump an adult’s wishes for their own best interest is if they were deemed not to have capacity to make that </w:t>
      </w:r>
      <w:proofErr w:type="gramStart"/>
      <w:r w:rsidRPr="00102965">
        <w:rPr>
          <w:rFonts w:asciiTheme="minorHAnsi" w:hAnsiTheme="minorHAnsi" w:cstheme="minorHAnsi"/>
          <w:sz w:val="24"/>
          <w:szCs w:val="24"/>
          <w:lang w:val="en-US"/>
        </w:rPr>
        <w:t>particular decision</w:t>
      </w:r>
      <w:proofErr w:type="gramEnd"/>
      <w:r w:rsidRPr="00102965">
        <w:rPr>
          <w:rFonts w:asciiTheme="minorHAnsi" w:hAnsiTheme="minorHAnsi" w:cstheme="minorHAnsi"/>
          <w:sz w:val="24"/>
          <w:szCs w:val="24"/>
          <w:lang w:val="en-US"/>
        </w:rPr>
        <w:t>.</w:t>
      </w:r>
    </w:p>
    <w:p w14:paraId="06D51FDA" w14:textId="77777777" w:rsidR="00102965" w:rsidRPr="00102965" w:rsidRDefault="00102965" w:rsidP="00102965">
      <w:pPr>
        <w:spacing w:line="360" w:lineRule="auto"/>
        <w:rPr>
          <w:rFonts w:asciiTheme="minorHAnsi" w:hAnsiTheme="minorHAnsi" w:cstheme="minorHAnsi"/>
          <w:sz w:val="24"/>
          <w:szCs w:val="24"/>
          <w:lang w:val="en-US"/>
        </w:rPr>
      </w:pPr>
    </w:p>
    <w:p w14:paraId="393398C1" w14:textId="77777777" w:rsidR="00102965" w:rsidRPr="00102965" w:rsidRDefault="00102965" w:rsidP="00102965">
      <w:pPr>
        <w:spacing w:line="360" w:lineRule="auto"/>
        <w:rPr>
          <w:rFonts w:asciiTheme="minorHAnsi" w:hAnsiTheme="minorHAnsi" w:cstheme="minorHAnsi"/>
          <w:sz w:val="24"/>
          <w:szCs w:val="24"/>
          <w:lang w:val="en-US"/>
        </w:rPr>
      </w:pPr>
      <w:r w:rsidRPr="00102965">
        <w:rPr>
          <w:rFonts w:asciiTheme="minorHAnsi" w:hAnsiTheme="minorHAnsi" w:cstheme="minorHAnsi"/>
          <w:sz w:val="24"/>
          <w:szCs w:val="24"/>
          <w:lang w:val="en-US"/>
        </w:rPr>
        <w:t xml:space="preserve">The first principle of the MCA 2005 is that a person must be presumed to have capacity. And the third principle states they must not </w:t>
      </w:r>
      <w:proofErr w:type="gramStart"/>
      <w:r w:rsidRPr="00102965">
        <w:rPr>
          <w:rFonts w:asciiTheme="minorHAnsi" w:hAnsiTheme="minorHAnsi" w:cstheme="minorHAnsi"/>
          <w:sz w:val="24"/>
          <w:szCs w:val="24"/>
          <w:lang w:val="en-US"/>
        </w:rPr>
        <w:t>be considered to be</w:t>
      </w:r>
      <w:proofErr w:type="gramEnd"/>
      <w:r w:rsidRPr="00102965">
        <w:rPr>
          <w:rFonts w:asciiTheme="minorHAnsi" w:hAnsiTheme="minorHAnsi" w:cstheme="minorHAnsi"/>
          <w:sz w:val="24"/>
          <w:szCs w:val="24"/>
          <w:lang w:val="en-US"/>
        </w:rPr>
        <w:t xml:space="preserve"> lacking capacity as they are making unwise decisions. Therefor a person with capacity has the right to remain in a perceived abuse relationship if </w:t>
      </w:r>
      <w:r w:rsidRPr="00102965">
        <w:rPr>
          <w:rFonts w:asciiTheme="minorHAnsi" w:hAnsiTheme="minorHAnsi" w:cstheme="minorHAnsi"/>
          <w:sz w:val="24"/>
          <w:szCs w:val="24"/>
          <w:lang w:val="en-US"/>
        </w:rPr>
        <w:lastRenderedPageBreak/>
        <w:t xml:space="preserve">they wish. And fair steps need to be taken to assess a person’s capacity in </w:t>
      </w:r>
      <w:proofErr w:type="gramStart"/>
      <w:r w:rsidRPr="00102965">
        <w:rPr>
          <w:rFonts w:asciiTheme="minorHAnsi" w:hAnsiTheme="minorHAnsi" w:cstheme="minorHAnsi"/>
          <w:sz w:val="24"/>
          <w:szCs w:val="24"/>
          <w:lang w:val="en-US"/>
        </w:rPr>
        <w:t>an</w:t>
      </w:r>
      <w:proofErr w:type="gramEnd"/>
      <w:r w:rsidRPr="00102965">
        <w:rPr>
          <w:rFonts w:asciiTheme="minorHAnsi" w:hAnsiTheme="minorHAnsi" w:cstheme="minorHAnsi"/>
          <w:sz w:val="24"/>
          <w:szCs w:val="24"/>
          <w:lang w:val="en-US"/>
        </w:rPr>
        <w:t xml:space="preserve"> fair and ethical way. With evidence of domestic violence against a child, a social worker would have the duty to investigate under Section 47 of the Childrens Act 1998, regardless of the child’s wishes. Having said this, the social worker must have respect for the views of the child under Article 12 of the United Nations Convention on the Rights of the Child (UNCRC). </w:t>
      </w:r>
      <w:proofErr w:type="gramStart"/>
      <w:r w:rsidRPr="00102965">
        <w:rPr>
          <w:rFonts w:asciiTheme="minorHAnsi" w:hAnsiTheme="minorHAnsi" w:cstheme="minorHAnsi"/>
          <w:sz w:val="24"/>
          <w:szCs w:val="24"/>
          <w:lang w:val="en-US"/>
        </w:rPr>
        <w:t>Similarly</w:t>
      </w:r>
      <w:proofErr w:type="gramEnd"/>
      <w:r w:rsidRPr="00102965">
        <w:rPr>
          <w:rFonts w:asciiTheme="minorHAnsi" w:hAnsiTheme="minorHAnsi" w:cstheme="minorHAnsi"/>
          <w:sz w:val="24"/>
          <w:szCs w:val="24"/>
          <w:lang w:val="en-US"/>
        </w:rPr>
        <w:t xml:space="preserve"> an adult social worker would need to have regard to an adult’s views and wishes under the MCA 2005, if they were deemed not to have capacity and a best interest decision was being made. When working with children, consent should be gained by their parents or who has parental responsibility. This may not be possible if this may put the child at further risk Social Care Wales, 2025c). However, an adult with capacity is the only person that can authorise consent on their own behalf. </w:t>
      </w:r>
    </w:p>
    <w:p w14:paraId="0B78048D" w14:textId="77777777" w:rsidR="00102965" w:rsidRPr="00102965" w:rsidRDefault="00102965" w:rsidP="00102965">
      <w:pPr>
        <w:spacing w:line="360" w:lineRule="auto"/>
        <w:rPr>
          <w:rFonts w:asciiTheme="minorHAnsi" w:hAnsiTheme="minorHAnsi" w:cstheme="minorHAnsi"/>
          <w:b/>
          <w:bCs/>
          <w:sz w:val="24"/>
          <w:szCs w:val="24"/>
          <w:lang w:val="en-US"/>
        </w:rPr>
      </w:pPr>
    </w:p>
    <w:p w14:paraId="16533FEF" w14:textId="77777777" w:rsidR="00102965" w:rsidRPr="00102965" w:rsidRDefault="00102965" w:rsidP="00102965">
      <w:pPr>
        <w:spacing w:line="360" w:lineRule="auto"/>
        <w:rPr>
          <w:rFonts w:asciiTheme="minorHAnsi" w:hAnsiTheme="minorHAnsi" w:cstheme="minorHAnsi"/>
          <w:b/>
          <w:bCs/>
          <w:sz w:val="24"/>
          <w:szCs w:val="24"/>
          <w:lang w:val="en-US"/>
        </w:rPr>
      </w:pPr>
      <w:r w:rsidRPr="00102965">
        <w:rPr>
          <w:rFonts w:asciiTheme="minorHAnsi" w:hAnsiTheme="minorHAnsi" w:cstheme="minorHAnsi"/>
          <w:b/>
          <w:bCs/>
          <w:sz w:val="24"/>
          <w:szCs w:val="24"/>
          <w:lang w:val="en-US"/>
        </w:rPr>
        <w:t>Word Count 435</w:t>
      </w:r>
    </w:p>
    <w:p w14:paraId="27DBA635" w14:textId="77777777" w:rsidR="00102965" w:rsidRPr="00102965" w:rsidRDefault="00102965" w:rsidP="00102965">
      <w:pPr>
        <w:spacing w:line="360" w:lineRule="auto"/>
        <w:rPr>
          <w:rFonts w:asciiTheme="minorHAnsi" w:hAnsiTheme="minorHAnsi" w:cstheme="minorHAnsi"/>
          <w:b/>
          <w:bCs/>
          <w:sz w:val="24"/>
          <w:szCs w:val="24"/>
          <w:lang w:val="en-US"/>
        </w:rPr>
      </w:pPr>
    </w:p>
    <w:p w14:paraId="4BAD37C0" w14:textId="77777777" w:rsidR="00102965" w:rsidRPr="00102965" w:rsidRDefault="00102965" w:rsidP="00102965">
      <w:pPr>
        <w:spacing w:line="360" w:lineRule="auto"/>
        <w:rPr>
          <w:rFonts w:asciiTheme="minorHAnsi" w:hAnsiTheme="minorHAnsi" w:cstheme="minorHAnsi"/>
          <w:sz w:val="24"/>
          <w:szCs w:val="24"/>
        </w:rPr>
      </w:pPr>
    </w:p>
    <w:sectPr w:rsidR="00102965" w:rsidRPr="00102965"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2925B2" w14:textId="77777777" w:rsidR="00E86E6B" w:rsidRDefault="00E86E6B">
      <w:r>
        <w:separator/>
      </w:r>
    </w:p>
  </w:endnote>
  <w:endnote w:type="continuationSeparator" w:id="0">
    <w:p w14:paraId="75FEE188" w14:textId="77777777" w:rsidR="00E86E6B" w:rsidRDefault="00E86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Troedyn"/>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Troedyn"/>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E88A5" w14:textId="77777777" w:rsidR="00E86E6B" w:rsidRDefault="00E86E6B">
      <w:r>
        <w:separator/>
      </w:r>
    </w:p>
  </w:footnote>
  <w:footnote w:type="continuationSeparator" w:id="0">
    <w:p w14:paraId="4A7879D8" w14:textId="77777777" w:rsidR="00E86E6B" w:rsidRDefault="00E86E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Pennyn"/>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2965"/>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1953"/>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57A93"/>
    <w:rsid w:val="009610BC"/>
    <w:rsid w:val="00964CC6"/>
    <w:rsid w:val="00967275"/>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B7E93"/>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86E6B"/>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5676C"/>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Pennawd1">
    <w:name w:val="heading 1"/>
    <w:basedOn w:val="Normal"/>
    <w:next w:val="Normal"/>
    <w:qFormat/>
    <w:pPr>
      <w:keepNext/>
      <w:spacing w:before="240" w:after="60"/>
      <w:outlineLvl w:val="0"/>
    </w:pPr>
    <w:rPr>
      <w:b/>
      <w:kern w:val="28"/>
      <w:sz w:val="28"/>
    </w:rPr>
  </w:style>
  <w:style w:type="paragraph" w:styleId="Pennawd2">
    <w:name w:val="heading 2"/>
    <w:basedOn w:val="Normal"/>
    <w:next w:val="Normal"/>
    <w:link w:val="Pennawd2Nod"/>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semiHidden/>
    <w:pPr>
      <w:tabs>
        <w:tab w:val="center" w:pos="4320"/>
        <w:tab w:val="right" w:pos="8640"/>
      </w:tabs>
    </w:pPr>
  </w:style>
  <w:style w:type="paragraph" w:styleId="Troedyn">
    <w:name w:val="footer"/>
    <w:basedOn w:val="Normal"/>
    <w:link w:val="TroedynNod"/>
    <w:uiPriority w:val="99"/>
    <w:pPr>
      <w:tabs>
        <w:tab w:val="center" w:pos="4320"/>
        <w:tab w:val="right" w:pos="8640"/>
      </w:tabs>
    </w:pPr>
    <w:rPr>
      <w:rFonts w:cs="Times New Roman"/>
      <w:lang w:val="x-none" w:eastAsia="x-none"/>
    </w:rPr>
  </w:style>
  <w:style w:type="character" w:styleId="RhifTudalen">
    <w:name w:val="page number"/>
    <w:semiHidden/>
  </w:style>
  <w:style w:type="paragraph" w:styleId="CorffyTestun">
    <w:name w:val="Body Text"/>
    <w:basedOn w:val="Normal"/>
    <w:semiHidden/>
    <w:rPr>
      <w:b/>
      <w:sz w:val="24"/>
    </w:rPr>
  </w:style>
  <w:style w:type="table" w:styleId="GridTabl">
    <w:name w:val="Table Grid"/>
    <w:basedOn w:val="Tabl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unmewnSwigen">
    <w:name w:val="Balloon Text"/>
    <w:basedOn w:val="Normal"/>
    <w:semiHidden/>
    <w:rsid w:val="00C3278B"/>
    <w:rPr>
      <w:rFonts w:ascii="Tahoma" w:hAnsi="Tahoma" w:cs="Tahoma"/>
      <w:sz w:val="16"/>
      <w:szCs w:val="16"/>
    </w:rPr>
  </w:style>
  <w:style w:type="character" w:styleId="Hyperddolen">
    <w:name w:val="Hyperlink"/>
    <w:rsid w:val="00EA4D48"/>
    <w:rPr>
      <w:color w:val="0000FF"/>
      <w:u w:val="single"/>
    </w:rPr>
  </w:style>
  <w:style w:type="character" w:styleId="CyfeirnodSylw">
    <w:name w:val="annotation reference"/>
    <w:uiPriority w:val="99"/>
    <w:semiHidden/>
    <w:unhideWhenUsed/>
    <w:rsid w:val="0057780F"/>
    <w:rPr>
      <w:sz w:val="16"/>
      <w:szCs w:val="16"/>
    </w:rPr>
  </w:style>
  <w:style w:type="paragraph" w:styleId="TestunSylw">
    <w:name w:val="annotation text"/>
    <w:basedOn w:val="Normal"/>
    <w:link w:val="TestunSylwNod"/>
    <w:uiPriority w:val="99"/>
    <w:semiHidden/>
    <w:unhideWhenUsed/>
    <w:rsid w:val="0057780F"/>
    <w:rPr>
      <w:rFonts w:cs="Times New Roman"/>
      <w:lang w:val="x-none" w:eastAsia="x-none"/>
    </w:rPr>
  </w:style>
  <w:style w:type="character" w:customStyle="1" w:styleId="TestunSylwNod">
    <w:name w:val="Testun Sylw Nod"/>
    <w:link w:val="TestunSylw"/>
    <w:uiPriority w:val="99"/>
    <w:semiHidden/>
    <w:rsid w:val="0057780F"/>
    <w:rPr>
      <w:rFonts w:ascii="Arial" w:hAnsi="Arial" w:cs="Arial"/>
      <w:color w:val="000000"/>
    </w:rPr>
  </w:style>
  <w:style w:type="paragraph" w:styleId="PwncSylw">
    <w:name w:val="annotation subject"/>
    <w:basedOn w:val="TestunSylw"/>
    <w:next w:val="TestunSylw"/>
    <w:link w:val="PwncSylwNod"/>
    <w:uiPriority w:val="99"/>
    <w:semiHidden/>
    <w:unhideWhenUsed/>
    <w:rsid w:val="0057780F"/>
    <w:rPr>
      <w:b/>
      <w:bCs/>
    </w:rPr>
  </w:style>
  <w:style w:type="character" w:customStyle="1" w:styleId="PwncSylwNod">
    <w:name w:val="Pwnc Sylw Nod"/>
    <w:link w:val="PwncSylw"/>
    <w:uiPriority w:val="99"/>
    <w:semiHidden/>
    <w:rsid w:val="0057780F"/>
    <w:rPr>
      <w:rFonts w:ascii="Arial" w:hAnsi="Arial" w:cs="Arial"/>
      <w:b/>
      <w:bCs/>
      <w:color w:val="000000"/>
    </w:rPr>
  </w:style>
  <w:style w:type="character" w:customStyle="1" w:styleId="Pennawd2Nod">
    <w:name w:val="Pennawd 2 Nod"/>
    <w:link w:val="Pennawd2"/>
    <w:uiPriority w:val="9"/>
    <w:semiHidden/>
    <w:rsid w:val="00F927A1"/>
    <w:rPr>
      <w:rFonts w:ascii="Cambria" w:eastAsia="Times New Roman" w:hAnsi="Cambria" w:cs="Times New Roman"/>
      <w:b/>
      <w:bCs/>
      <w:i/>
      <w:iCs/>
      <w:color w:val="000000"/>
      <w:sz w:val="28"/>
      <w:szCs w:val="28"/>
    </w:rPr>
  </w:style>
  <w:style w:type="paragraph" w:styleId="CorffyTestun3">
    <w:name w:val="Body Text 3"/>
    <w:basedOn w:val="Normal"/>
    <w:link w:val="CorffyTestun3Nod"/>
    <w:uiPriority w:val="99"/>
    <w:semiHidden/>
    <w:unhideWhenUsed/>
    <w:rsid w:val="00F927A1"/>
    <w:pPr>
      <w:spacing w:after="120"/>
    </w:pPr>
    <w:rPr>
      <w:rFonts w:cs="Times New Roman"/>
      <w:sz w:val="16"/>
      <w:szCs w:val="16"/>
      <w:lang w:val="x-none" w:eastAsia="x-none"/>
    </w:rPr>
  </w:style>
  <w:style w:type="character" w:customStyle="1" w:styleId="CorffyTestun3Nod">
    <w:name w:val="Corff y Testun 3 Nod"/>
    <w:link w:val="CorffyTestun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TroedynNod">
    <w:name w:val="Troedyn Nod"/>
    <w:link w:val="Troedyn"/>
    <w:uiPriority w:val="99"/>
    <w:rsid w:val="00727C4C"/>
    <w:rPr>
      <w:rFonts w:ascii="Arial" w:hAnsi="Arial" w:cs="Arial"/>
      <w:color w:val="000000"/>
    </w:rPr>
  </w:style>
  <w:style w:type="paragraph" w:styleId="Testunl-nodyn">
    <w:name w:val="endnote text"/>
    <w:basedOn w:val="Normal"/>
    <w:link w:val="Testunl-nodynNod"/>
    <w:uiPriority w:val="99"/>
    <w:semiHidden/>
    <w:unhideWhenUsed/>
    <w:rsid w:val="00B2292C"/>
  </w:style>
  <w:style w:type="character" w:customStyle="1" w:styleId="Testunl-nodynNod">
    <w:name w:val="Testun Ôl-nodyn Nod"/>
    <w:link w:val="Testunl-nodyn"/>
    <w:uiPriority w:val="99"/>
    <w:semiHidden/>
    <w:rsid w:val="00B2292C"/>
    <w:rPr>
      <w:rFonts w:ascii="Arial" w:hAnsi="Arial" w:cs="Arial"/>
      <w:color w:val="000000"/>
    </w:rPr>
  </w:style>
  <w:style w:type="character" w:styleId="Cyfeirnodl-nodyn">
    <w:name w:val="endnote reference"/>
    <w:uiPriority w:val="99"/>
    <w:semiHidden/>
    <w:unhideWhenUsed/>
    <w:rsid w:val="00B2292C"/>
    <w:rPr>
      <w:vertAlign w:val="superscript"/>
    </w:rPr>
  </w:style>
  <w:style w:type="paragraph" w:styleId="Teitl">
    <w:name w:val="Title"/>
    <w:basedOn w:val="Normal"/>
    <w:link w:val="TeitlNod"/>
    <w:qFormat/>
    <w:rsid w:val="00986C0B"/>
    <w:pPr>
      <w:overflowPunct/>
      <w:autoSpaceDE/>
      <w:autoSpaceDN/>
      <w:adjustRightInd/>
      <w:jc w:val="center"/>
      <w:textAlignment w:val="auto"/>
    </w:pPr>
    <w:rPr>
      <w:rFonts w:cs="Times New Roman"/>
      <w:b/>
      <w:color w:val="auto"/>
      <w:sz w:val="24"/>
    </w:rPr>
  </w:style>
  <w:style w:type="character" w:customStyle="1" w:styleId="TeitlNod">
    <w:name w:val="Teitl Nod"/>
    <w:link w:val="Teitl"/>
    <w:rsid w:val="00986C0B"/>
    <w:rPr>
      <w:rFonts w:ascii="Arial" w:hAnsi="Arial"/>
      <w:b/>
      <w:sz w:val="24"/>
    </w:rPr>
  </w:style>
  <w:style w:type="paragraph" w:styleId="Adolygiad">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323%33%300%32%36@%73%74u%64%65%6et%2e%75%77%74%73d%2e%61%63%2e%75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1047</Words>
  <Characters>5971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Marc Bentham (OEDOLION)</cp:lastModifiedBy>
  <cp:revision>3</cp:revision>
  <cp:lastPrinted>2020-02-11T19:20:00Z</cp:lastPrinted>
  <dcterms:created xsi:type="dcterms:W3CDTF">2025-02-12T10:15:00Z</dcterms:created>
  <dcterms:modified xsi:type="dcterms:W3CDTF">2025-02-12T23:38:00Z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