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75B464" w14:textId="77777777" w:rsidR="00506CAB" w:rsidRPr="0055162D" w:rsidRDefault="00506CAB" w:rsidP="00506CAB">
      <w:pPr>
        <w:spacing w:after="120"/>
        <w:jc w:val="center"/>
        <w:rPr>
          <w:color w:val="000000" w:themeColor="text1"/>
        </w:rPr>
      </w:pPr>
      <w:r w:rsidRPr="0055162D">
        <w:rPr>
          <w:rFonts w:ascii="Arial" w:eastAsia="Arial" w:hAnsi="Arial" w:cs="Arial"/>
          <w:b/>
          <w:bCs/>
          <w:color w:val="000000" w:themeColor="text1"/>
          <w:sz w:val="32"/>
          <w:szCs w:val="32"/>
        </w:rPr>
        <w:t>ELEMENT 2: RESEARCH PROCESS REFLECTION</w:t>
      </w:r>
    </w:p>
    <w:p w14:paraId="51962D94" w14:textId="77777777" w:rsidR="00506CAB" w:rsidRPr="0055162D" w:rsidRDefault="00506CAB" w:rsidP="00506CAB">
      <w:pPr>
        <w:spacing w:after="80"/>
        <w:jc w:val="center"/>
        <w:rPr>
          <w:color w:val="000000" w:themeColor="text1"/>
        </w:rPr>
      </w:pPr>
      <w:r w:rsidRPr="0055162D">
        <w:rPr>
          <w:rFonts w:ascii="Arial" w:eastAsia="Arial" w:hAnsi="Arial" w:cs="Arial"/>
          <w:i/>
          <w:iCs/>
          <w:color w:val="000000" w:themeColor="text1"/>
        </w:rPr>
        <w:t>Using Gibbs’ Reflective Cycle (1988)</w:t>
      </w:r>
    </w:p>
    <w:p w14:paraId="095F6B06" w14:textId="77777777" w:rsidR="00506CAB" w:rsidRPr="0055162D" w:rsidRDefault="00506CAB" w:rsidP="00506CAB">
      <w:pPr>
        <w:spacing w:after="80"/>
        <w:jc w:val="center"/>
        <w:rPr>
          <w:color w:val="000000" w:themeColor="text1"/>
        </w:rPr>
      </w:pPr>
      <w:r w:rsidRPr="0055162D">
        <w:rPr>
          <w:rFonts w:ascii="Arial" w:eastAsia="Arial" w:hAnsi="Arial" w:cs="Arial"/>
          <w:color w:val="000000" w:themeColor="text1"/>
          <w:sz w:val="20"/>
          <w:szCs w:val="20"/>
        </w:rPr>
        <w:t>LCLM6005 Independent Project</w:t>
      </w:r>
    </w:p>
    <w:p w14:paraId="2C997A01" w14:textId="13338BED" w:rsidR="00506CAB" w:rsidRPr="0055162D" w:rsidRDefault="00506CAB" w:rsidP="00506CAB">
      <w:pPr>
        <w:spacing w:after="400"/>
        <w:jc w:val="center"/>
        <w:rPr>
          <w:color w:val="000000" w:themeColor="text1"/>
        </w:rPr>
      </w:pPr>
      <w:r w:rsidRPr="0055162D">
        <w:rPr>
          <w:rFonts w:ascii="Arial" w:eastAsia="Arial" w:hAnsi="Arial" w:cs="Arial"/>
          <w:color w:val="000000" w:themeColor="text1"/>
          <w:sz w:val="20"/>
          <w:szCs w:val="20"/>
        </w:rPr>
        <w:t>Maria Manuela Silva Pereira</w:t>
      </w:r>
      <w:r w:rsidRPr="0055162D">
        <w:rPr>
          <w:rFonts w:ascii="Arial" w:eastAsia="Arial" w:hAnsi="Arial" w:cs="Arial"/>
          <w:color w:val="000000" w:themeColor="text1"/>
          <w:sz w:val="20"/>
          <w:szCs w:val="20"/>
        </w:rPr>
        <w:t xml:space="preserve"> | Student ID: </w:t>
      </w:r>
      <w:r w:rsidR="00AE2B4B" w:rsidRPr="0055162D">
        <w:rPr>
          <w:rFonts w:ascii="Arial" w:eastAsia="Arial" w:hAnsi="Arial" w:cs="Arial"/>
          <w:color w:val="000000" w:themeColor="text1"/>
          <w:sz w:val="20"/>
          <w:szCs w:val="20"/>
        </w:rPr>
        <w:t>2314740</w:t>
      </w:r>
    </w:p>
    <w:p w14:paraId="16EA5461" w14:textId="77777777" w:rsidR="00506CAB" w:rsidRPr="0055162D" w:rsidRDefault="00506CAB" w:rsidP="00506CAB">
      <w:pPr>
        <w:spacing w:after="60"/>
        <w:jc w:val="center"/>
        <w:rPr>
          <w:color w:val="000000" w:themeColor="text1"/>
        </w:rPr>
      </w:pPr>
      <w:proofErr w:type="gramStart"/>
      <w:r w:rsidRPr="0055162D">
        <w:rPr>
          <w:rFonts w:ascii="Arial" w:eastAsia="Arial" w:hAnsi="Arial" w:cs="Arial"/>
          <w:i/>
          <w:iCs/>
          <w:color w:val="000000" w:themeColor="text1"/>
          <w:sz w:val="18"/>
          <w:szCs w:val="18"/>
        </w:rPr>
        <w:t>Description  →</w:t>
      </w:r>
      <w:proofErr w:type="gramEnd"/>
      <w:r w:rsidRPr="0055162D">
        <w:rPr>
          <w:rFonts w:ascii="Arial" w:eastAsia="Arial" w:hAnsi="Arial" w:cs="Arial"/>
          <w:i/>
          <w:iCs/>
          <w:color w:val="000000" w:themeColor="text1"/>
          <w:sz w:val="18"/>
          <w:szCs w:val="18"/>
        </w:rPr>
        <w:t xml:space="preserve">  </w:t>
      </w:r>
      <w:proofErr w:type="gramStart"/>
      <w:r w:rsidRPr="0055162D">
        <w:rPr>
          <w:rFonts w:ascii="Arial" w:eastAsia="Arial" w:hAnsi="Arial" w:cs="Arial"/>
          <w:i/>
          <w:iCs/>
          <w:color w:val="000000" w:themeColor="text1"/>
          <w:sz w:val="18"/>
          <w:szCs w:val="18"/>
        </w:rPr>
        <w:t>Feelings  →</w:t>
      </w:r>
      <w:proofErr w:type="gramEnd"/>
      <w:r w:rsidRPr="0055162D">
        <w:rPr>
          <w:rFonts w:ascii="Arial" w:eastAsia="Arial" w:hAnsi="Arial" w:cs="Arial"/>
          <w:i/>
          <w:iCs/>
          <w:color w:val="000000" w:themeColor="text1"/>
          <w:sz w:val="18"/>
          <w:szCs w:val="18"/>
        </w:rPr>
        <w:t xml:space="preserve">  </w:t>
      </w:r>
      <w:proofErr w:type="gramStart"/>
      <w:r w:rsidRPr="0055162D">
        <w:rPr>
          <w:rFonts w:ascii="Arial" w:eastAsia="Arial" w:hAnsi="Arial" w:cs="Arial"/>
          <w:i/>
          <w:iCs/>
          <w:color w:val="000000" w:themeColor="text1"/>
          <w:sz w:val="18"/>
          <w:szCs w:val="18"/>
        </w:rPr>
        <w:t>Evaluation  →</w:t>
      </w:r>
      <w:proofErr w:type="gramEnd"/>
      <w:r w:rsidRPr="0055162D">
        <w:rPr>
          <w:rFonts w:ascii="Arial" w:eastAsia="Arial" w:hAnsi="Arial" w:cs="Arial"/>
          <w:i/>
          <w:iCs/>
          <w:color w:val="000000" w:themeColor="text1"/>
          <w:sz w:val="18"/>
          <w:szCs w:val="18"/>
        </w:rPr>
        <w:t xml:space="preserve">  </w:t>
      </w:r>
      <w:proofErr w:type="gramStart"/>
      <w:r w:rsidRPr="0055162D">
        <w:rPr>
          <w:rFonts w:ascii="Arial" w:eastAsia="Arial" w:hAnsi="Arial" w:cs="Arial"/>
          <w:i/>
          <w:iCs/>
          <w:color w:val="000000" w:themeColor="text1"/>
          <w:sz w:val="18"/>
          <w:szCs w:val="18"/>
        </w:rPr>
        <w:t>Analysis  →</w:t>
      </w:r>
      <w:proofErr w:type="gramEnd"/>
      <w:r w:rsidRPr="0055162D">
        <w:rPr>
          <w:rFonts w:ascii="Arial" w:eastAsia="Arial" w:hAnsi="Arial" w:cs="Arial"/>
          <w:i/>
          <w:iCs/>
          <w:color w:val="000000" w:themeColor="text1"/>
          <w:sz w:val="18"/>
          <w:szCs w:val="18"/>
        </w:rPr>
        <w:t xml:space="preserve">  </w:t>
      </w:r>
      <w:proofErr w:type="gramStart"/>
      <w:r w:rsidRPr="0055162D">
        <w:rPr>
          <w:rFonts w:ascii="Arial" w:eastAsia="Arial" w:hAnsi="Arial" w:cs="Arial"/>
          <w:i/>
          <w:iCs/>
          <w:color w:val="000000" w:themeColor="text1"/>
          <w:sz w:val="18"/>
          <w:szCs w:val="18"/>
        </w:rPr>
        <w:t>Conclusion  →</w:t>
      </w:r>
      <w:proofErr w:type="gramEnd"/>
      <w:r w:rsidRPr="0055162D">
        <w:rPr>
          <w:rFonts w:ascii="Arial" w:eastAsia="Arial" w:hAnsi="Arial" w:cs="Arial"/>
          <w:i/>
          <w:iCs/>
          <w:color w:val="000000" w:themeColor="text1"/>
          <w:sz w:val="18"/>
          <w:szCs w:val="18"/>
        </w:rPr>
        <w:t xml:space="preserve">  Action Plan</w:t>
      </w:r>
    </w:p>
    <w:p w14:paraId="36B3C2D0" w14:textId="77777777" w:rsidR="00506CAB" w:rsidRPr="0055162D" w:rsidRDefault="00506CAB" w:rsidP="00506CAB">
      <w:pPr>
        <w:pBdr>
          <w:bottom w:val="single" w:sz="4" w:space="1" w:color="005B3A"/>
        </w:pBdr>
        <w:spacing w:after="320"/>
        <w:rPr>
          <w:color w:val="000000" w:themeColor="text1"/>
        </w:rPr>
      </w:pPr>
    </w:p>
    <w:p w14:paraId="29457A88" w14:textId="77777777" w:rsidR="00506CAB" w:rsidRPr="0055162D" w:rsidRDefault="00506CAB" w:rsidP="00506CAB">
      <w:pPr>
        <w:pStyle w:val="Heading1"/>
        <w:rPr>
          <w:color w:val="000000" w:themeColor="text1"/>
        </w:rPr>
      </w:pPr>
      <w:r w:rsidRPr="0055162D">
        <w:rPr>
          <w:rFonts w:ascii="Arial" w:eastAsia="Arial" w:hAnsi="Arial" w:cs="Arial"/>
          <w:bCs/>
          <w:color w:val="000000" w:themeColor="text1"/>
          <w:sz w:val="28"/>
          <w:szCs w:val="28"/>
        </w:rPr>
        <w:t>Stage 1: Description</w:t>
      </w:r>
    </w:p>
    <w:p w14:paraId="697A8C7E" w14:textId="77777777" w:rsidR="00506CAB" w:rsidRPr="0055162D" w:rsidRDefault="00506CAB" w:rsidP="00506CAB">
      <w:pPr>
        <w:spacing w:line="360" w:lineRule="auto"/>
        <w:jc w:val="both"/>
        <w:rPr>
          <w:color w:val="000000" w:themeColor="text1"/>
        </w:rPr>
      </w:pPr>
      <w:r w:rsidRPr="0055162D">
        <w:rPr>
          <w:rFonts w:ascii="Arial" w:eastAsia="Arial" w:hAnsi="Arial" w:cs="Arial"/>
          <w:color w:val="000000" w:themeColor="text1"/>
        </w:rPr>
        <w:t>This dissertation examined how Tesco PLC has managed strategic change within its F&amp;F clothing operations at Daventry, critically applying Lewin’s Three-Step Model, Kotter’s Eight-Step Model and the McKinsey 7S Framework to secondary evidence drawn from academic literature, Tesco’s annual reports and industry sources. The research ran across five chapters, covering context and rationale, a systematic literature review, qualitative methodology, thematic findings and discussion, and evidence-based recommendations. The entire dissertation relied on secondary data, which shaped both the scope of what I could claim and the nature of the analysis I could produce.</w:t>
      </w:r>
    </w:p>
    <w:p w14:paraId="1D6CBCDB" w14:textId="77777777" w:rsidR="00506CAB" w:rsidRPr="0055162D" w:rsidRDefault="00506CAB" w:rsidP="00506CAB">
      <w:pPr>
        <w:pStyle w:val="Heading1"/>
        <w:rPr>
          <w:color w:val="000000" w:themeColor="text1"/>
        </w:rPr>
      </w:pPr>
      <w:r w:rsidRPr="0055162D">
        <w:rPr>
          <w:rFonts w:ascii="Arial" w:eastAsia="Arial" w:hAnsi="Arial" w:cs="Arial"/>
          <w:bCs/>
          <w:color w:val="000000" w:themeColor="text1"/>
          <w:sz w:val="28"/>
          <w:szCs w:val="28"/>
        </w:rPr>
        <w:t>Stage 2: Feelings</w:t>
      </w:r>
    </w:p>
    <w:p w14:paraId="6F95D36E" w14:textId="7DEFF425" w:rsidR="00506CAB" w:rsidRPr="0055162D" w:rsidRDefault="00506CAB" w:rsidP="00506CAB">
      <w:pPr>
        <w:spacing w:line="360" w:lineRule="auto"/>
        <w:jc w:val="both"/>
        <w:rPr>
          <w:color w:val="000000" w:themeColor="text1"/>
        </w:rPr>
      </w:pPr>
      <w:r w:rsidRPr="0055162D">
        <w:rPr>
          <w:rFonts w:ascii="Arial" w:eastAsia="Arial" w:hAnsi="Arial" w:cs="Arial"/>
          <w:color w:val="000000" w:themeColor="text1"/>
        </w:rPr>
        <w:t xml:space="preserve">At the start, I felt genuinely unsure whether a secondary data approach would be rigorous enough to produce original analysis at Level 6. There was a point early in Chapter 2 where I worried that reviewing existing theory would feel more like summarising then critically engaging. That concern shifted as the literature review developed. Working through Burnes, Kotter and Schein in relation to a specific case organisation made the theoretical frameworks feel more alive and more contested </w:t>
      </w:r>
      <w:proofErr w:type="gramStart"/>
      <w:r w:rsidRPr="0055162D">
        <w:rPr>
          <w:rFonts w:ascii="Arial" w:eastAsia="Arial" w:hAnsi="Arial" w:cs="Arial"/>
          <w:color w:val="000000" w:themeColor="text1"/>
        </w:rPr>
        <w:t>then</w:t>
      </w:r>
      <w:proofErr w:type="gramEnd"/>
      <w:r w:rsidRPr="0055162D">
        <w:rPr>
          <w:rFonts w:ascii="Arial" w:eastAsia="Arial" w:hAnsi="Arial" w:cs="Arial"/>
          <w:color w:val="000000" w:themeColor="text1"/>
        </w:rPr>
        <w:t xml:space="preserve"> they had seemed in isolation. By the time I was writing Chapter 4, I found the analysis genuinely interesting particularly the tension between what Tesco says it is doing digitally and what the evidence suggests is </w:t>
      </w:r>
      <w:proofErr w:type="gramStart"/>
      <w:r w:rsidRPr="0055162D">
        <w:rPr>
          <w:rFonts w:ascii="Arial" w:eastAsia="Arial" w:hAnsi="Arial" w:cs="Arial"/>
          <w:color w:val="000000" w:themeColor="text1"/>
        </w:rPr>
        <w:t>actually happening</w:t>
      </w:r>
      <w:proofErr w:type="gramEnd"/>
      <w:r w:rsidRPr="0055162D">
        <w:rPr>
          <w:rFonts w:ascii="Arial" w:eastAsia="Arial" w:hAnsi="Arial" w:cs="Arial"/>
          <w:color w:val="000000" w:themeColor="text1"/>
        </w:rPr>
        <w:t xml:space="preserve"> on the ground at Daventry. That gap between declared strategy and operational reality became the most analytically productive thread in the whole dissertation.</w:t>
      </w:r>
    </w:p>
    <w:p w14:paraId="61DD13CD" w14:textId="77777777" w:rsidR="00506CAB" w:rsidRPr="0055162D" w:rsidRDefault="00506CAB" w:rsidP="00506CAB">
      <w:pPr>
        <w:pStyle w:val="Heading1"/>
        <w:rPr>
          <w:color w:val="000000" w:themeColor="text1"/>
        </w:rPr>
      </w:pPr>
      <w:r w:rsidRPr="0055162D">
        <w:rPr>
          <w:rFonts w:ascii="Arial" w:eastAsia="Arial" w:hAnsi="Arial" w:cs="Arial"/>
          <w:bCs/>
          <w:color w:val="000000" w:themeColor="text1"/>
          <w:sz w:val="28"/>
          <w:szCs w:val="28"/>
        </w:rPr>
        <w:t>Stage 3: Evaluation</w:t>
      </w:r>
    </w:p>
    <w:p w14:paraId="794D8E97" w14:textId="4533ED9F" w:rsidR="00506CAB" w:rsidRPr="0055162D" w:rsidRDefault="00506CAB" w:rsidP="00506CAB">
      <w:pPr>
        <w:spacing w:line="360" w:lineRule="auto"/>
        <w:jc w:val="both"/>
        <w:rPr>
          <w:color w:val="000000" w:themeColor="text1"/>
        </w:rPr>
      </w:pPr>
      <w:r w:rsidRPr="0055162D">
        <w:rPr>
          <w:rFonts w:ascii="Arial" w:eastAsia="Arial" w:hAnsi="Arial" w:cs="Arial"/>
          <w:color w:val="000000" w:themeColor="text1"/>
        </w:rPr>
        <w:t xml:space="preserve">What worked well was the decision to apply three frameworks rather than one. Lewin, Kotter and McKinsey’s 7S each illuminate different dimensions of Tesco’s </w:t>
      </w:r>
      <w:proofErr w:type="gramStart"/>
      <w:r w:rsidRPr="0055162D">
        <w:rPr>
          <w:rFonts w:ascii="Arial" w:eastAsia="Arial" w:hAnsi="Arial" w:cs="Arial"/>
          <w:color w:val="000000" w:themeColor="text1"/>
        </w:rPr>
        <w:t>situation, and</w:t>
      </w:r>
      <w:proofErr w:type="gramEnd"/>
      <w:r w:rsidRPr="0055162D">
        <w:rPr>
          <w:rFonts w:ascii="Arial" w:eastAsia="Arial" w:hAnsi="Arial" w:cs="Arial"/>
          <w:color w:val="000000" w:themeColor="text1"/>
        </w:rPr>
        <w:t xml:space="preserve"> comparing them rather than selecting one and applying it comprehensively produced a more honest and more complete account of why the transformation has been uneven. The systematic literature review process also worked well: using structured database searches with explicit </w:t>
      </w:r>
      <w:r w:rsidRPr="0055162D">
        <w:rPr>
          <w:rFonts w:ascii="Arial" w:eastAsia="Arial" w:hAnsi="Arial" w:cs="Arial"/>
          <w:color w:val="000000" w:themeColor="text1"/>
        </w:rPr>
        <w:lastRenderedPageBreak/>
        <w:t xml:space="preserve">inclusion and exclusion criteria gave the evidence base more credibility </w:t>
      </w:r>
      <w:proofErr w:type="gramStart"/>
      <w:r w:rsidRPr="0055162D">
        <w:rPr>
          <w:rFonts w:ascii="Arial" w:eastAsia="Arial" w:hAnsi="Arial" w:cs="Arial"/>
          <w:color w:val="000000" w:themeColor="text1"/>
        </w:rPr>
        <w:t>then</w:t>
      </w:r>
      <w:proofErr w:type="gramEnd"/>
      <w:r w:rsidRPr="0055162D">
        <w:rPr>
          <w:rFonts w:ascii="Arial" w:eastAsia="Arial" w:hAnsi="Arial" w:cs="Arial"/>
          <w:color w:val="000000" w:themeColor="text1"/>
        </w:rPr>
        <w:t xml:space="preserve"> a less disciplined reading approach would have produced.</w:t>
      </w:r>
    </w:p>
    <w:p w14:paraId="2F641F02" w14:textId="77777777" w:rsidR="00506CAB" w:rsidRPr="0055162D" w:rsidRDefault="00506CAB" w:rsidP="00506CAB">
      <w:pPr>
        <w:spacing w:line="360" w:lineRule="auto"/>
        <w:jc w:val="both"/>
        <w:rPr>
          <w:color w:val="000000" w:themeColor="text1"/>
        </w:rPr>
      </w:pPr>
      <w:r w:rsidRPr="0055162D">
        <w:rPr>
          <w:rFonts w:ascii="Arial" w:eastAsia="Arial" w:hAnsi="Arial" w:cs="Arial"/>
          <w:color w:val="000000" w:themeColor="text1"/>
        </w:rPr>
        <w:t>What worked less well was time management across the chapters. Chapter 4 carries the most analytical weight but received proportionally less preparation time in the early stages. I also found it difficult at points to maintain critical distance from Tesco’s own published materials, which are written for investor and public relations purposes and do not always reflect the internal complexity of what the evidence elsewhere suggests.</w:t>
      </w:r>
    </w:p>
    <w:p w14:paraId="2F0655C9" w14:textId="77777777" w:rsidR="00506CAB" w:rsidRPr="0055162D" w:rsidRDefault="00506CAB" w:rsidP="00506CAB">
      <w:pPr>
        <w:pStyle w:val="Heading1"/>
        <w:rPr>
          <w:color w:val="000000" w:themeColor="text1"/>
        </w:rPr>
      </w:pPr>
      <w:r w:rsidRPr="0055162D">
        <w:rPr>
          <w:rFonts w:ascii="Arial" w:eastAsia="Arial" w:hAnsi="Arial" w:cs="Arial"/>
          <w:bCs/>
          <w:color w:val="000000" w:themeColor="text1"/>
          <w:sz w:val="28"/>
          <w:szCs w:val="28"/>
        </w:rPr>
        <w:t>Stage 4: Analysis</w:t>
      </w:r>
    </w:p>
    <w:p w14:paraId="2115D37E" w14:textId="65A9AD39" w:rsidR="00506CAB" w:rsidRPr="0055162D" w:rsidRDefault="00506CAB" w:rsidP="00506CAB">
      <w:pPr>
        <w:spacing w:line="360" w:lineRule="auto"/>
        <w:jc w:val="both"/>
        <w:rPr>
          <w:color w:val="000000" w:themeColor="text1"/>
        </w:rPr>
      </w:pPr>
      <w:r w:rsidRPr="0055162D">
        <w:rPr>
          <w:rFonts w:ascii="Arial" w:eastAsia="Arial" w:hAnsi="Arial" w:cs="Arial"/>
          <w:color w:val="000000" w:themeColor="text1"/>
        </w:rPr>
        <w:t>Reflecting through Gibbs’ (1988) cycle, the most significant learning came from understanding that change management frameworks are not neutral analytical tools they actively shape what you notice and what you overlook. Working with Lewin alone would have produced a descriptive account of the pandemic as a disruption and Tesco’s response as a managed transition. Adding Kotter brought communication and empowerment into focus. Adding McKinsey’s 7S made visible the systemic misalignments between strategy, systems, shared values and skills that neither of the process models captures. The pluralist approach Burnes (2020) advocates turned out to be a methodological necessity, not just an academic preference.</w:t>
      </w:r>
    </w:p>
    <w:p w14:paraId="5D5F4996" w14:textId="09053F45" w:rsidR="00506CAB" w:rsidRPr="0055162D" w:rsidRDefault="00506CAB" w:rsidP="00506CAB">
      <w:pPr>
        <w:spacing w:line="360" w:lineRule="auto"/>
        <w:jc w:val="both"/>
        <w:rPr>
          <w:color w:val="000000" w:themeColor="text1"/>
        </w:rPr>
      </w:pPr>
      <w:r w:rsidRPr="0055162D">
        <w:rPr>
          <w:rFonts w:ascii="Arial" w:eastAsia="Arial" w:hAnsi="Arial" w:cs="Arial"/>
          <w:color w:val="000000" w:themeColor="text1"/>
        </w:rPr>
        <w:t xml:space="preserve">I also came to understand the difference between organisational change as it is described in leadership communications and as it </w:t>
      </w:r>
      <w:proofErr w:type="gramStart"/>
      <w:r w:rsidRPr="0055162D">
        <w:rPr>
          <w:rFonts w:ascii="Arial" w:eastAsia="Arial" w:hAnsi="Arial" w:cs="Arial"/>
          <w:color w:val="000000" w:themeColor="text1"/>
        </w:rPr>
        <w:t>actually operates</w:t>
      </w:r>
      <w:proofErr w:type="gramEnd"/>
      <w:r w:rsidRPr="0055162D">
        <w:rPr>
          <w:rFonts w:ascii="Arial" w:eastAsia="Arial" w:hAnsi="Arial" w:cs="Arial"/>
          <w:color w:val="000000" w:themeColor="text1"/>
        </w:rPr>
        <w:t xml:space="preserve"> at the frontline. The cultural web Johnson (1992) describes</w:t>
      </w:r>
      <w:r w:rsidR="00AE2B4B" w:rsidRPr="0055162D">
        <w:rPr>
          <w:rFonts w:ascii="Arial" w:eastAsia="Arial" w:hAnsi="Arial" w:cs="Arial"/>
          <w:color w:val="000000" w:themeColor="text1"/>
        </w:rPr>
        <w:t xml:space="preserve"> </w:t>
      </w:r>
      <w:r w:rsidRPr="0055162D">
        <w:rPr>
          <w:rFonts w:ascii="Arial" w:eastAsia="Arial" w:hAnsi="Arial" w:cs="Arial"/>
          <w:color w:val="000000" w:themeColor="text1"/>
        </w:rPr>
        <w:t>the routines, control systems and underlying assumptions that collectively reproduce resistance is not visible in Tesco’s annual reports. Seeing it required triangulating across academic, industry and company sources, which is exactly what the systematic literature review methodology was designed to support.</w:t>
      </w:r>
    </w:p>
    <w:p w14:paraId="2B96DDE7" w14:textId="77777777" w:rsidR="00506CAB" w:rsidRPr="0055162D" w:rsidRDefault="00506CAB" w:rsidP="00506CAB">
      <w:pPr>
        <w:pStyle w:val="Heading1"/>
        <w:rPr>
          <w:color w:val="000000" w:themeColor="text1"/>
        </w:rPr>
      </w:pPr>
      <w:r w:rsidRPr="0055162D">
        <w:rPr>
          <w:rFonts w:ascii="Arial" w:eastAsia="Arial" w:hAnsi="Arial" w:cs="Arial"/>
          <w:bCs/>
          <w:color w:val="000000" w:themeColor="text1"/>
          <w:sz w:val="28"/>
          <w:szCs w:val="28"/>
        </w:rPr>
        <w:t>Stage 5: Conclusion</w:t>
      </w:r>
    </w:p>
    <w:p w14:paraId="55CBBBA9" w14:textId="796BF0C9" w:rsidR="00506CAB" w:rsidRPr="0055162D" w:rsidRDefault="00506CAB" w:rsidP="00506CAB">
      <w:pPr>
        <w:spacing w:line="360" w:lineRule="auto"/>
        <w:jc w:val="both"/>
        <w:rPr>
          <w:color w:val="000000" w:themeColor="text1"/>
        </w:rPr>
      </w:pPr>
      <w:r w:rsidRPr="0055162D">
        <w:rPr>
          <w:rFonts w:ascii="Arial" w:eastAsia="Arial" w:hAnsi="Arial" w:cs="Arial"/>
          <w:color w:val="000000" w:themeColor="text1"/>
        </w:rPr>
        <w:t>A purely secondary data study has genuine limitations: it cannot access the lived experience of frontline staff or the private deliberations of management teams. Those limitations are acknowledged in Chapter 5. But within those constraints, the methodological choices made interpretivist philosophy, qualitative case study design, systematic literature review were appropriate and produced analysis that is both theoretically grounded and practically relevant. The dissertation demonstrates that it is possible to produce critical and original work at Level 6 without primary data, provided the secondary evidence is handled rigorously and the analytical frameworks are applied with genuine critical engagement rather than description.</w:t>
      </w:r>
    </w:p>
    <w:p w14:paraId="03EB2CF2" w14:textId="77777777" w:rsidR="00506CAB" w:rsidRPr="0055162D" w:rsidRDefault="00506CAB" w:rsidP="00506CAB">
      <w:pPr>
        <w:pStyle w:val="Heading1"/>
        <w:rPr>
          <w:color w:val="000000" w:themeColor="text1"/>
        </w:rPr>
      </w:pPr>
      <w:r w:rsidRPr="0055162D">
        <w:rPr>
          <w:rFonts w:ascii="Arial" w:eastAsia="Arial" w:hAnsi="Arial" w:cs="Arial"/>
          <w:bCs/>
          <w:color w:val="000000" w:themeColor="text1"/>
          <w:sz w:val="28"/>
          <w:szCs w:val="28"/>
        </w:rPr>
        <w:lastRenderedPageBreak/>
        <w:t>Stage 6: Action Plan</w:t>
      </w:r>
    </w:p>
    <w:p w14:paraId="7027FEA0" w14:textId="76B64A89" w:rsidR="00506CAB" w:rsidRPr="0055162D" w:rsidRDefault="00506CAB" w:rsidP="00506CAB">
      <w:pPr>
        <w:spacing w:line="360" w:lineRule="auto"/>
        <w:jc w:val="both"/>
        <w:rPr>
          <w:color w:val="000000" w:themeColor="text1"/>
        </w:rPr>
      </w:pPr>
      <w:r w:rsidRPr="0055162D">
        <w:rPr>
          <w:rFonts w:ascii="Arial" w:eastAsia="Arial" w:hAnsi="Arial" w:cs="Arial"/>
          <w:color w:val="000000" w:themeColor="text1"/>
        </w:rPr>
        <w:t>If I were to extend this research or undertake a similar project in the future, I would build primary data collection into the design from the outset. Four to six semi-structured interviews with clothing operations managers or frontline staff at Daventry would provide a layer of direct evidence that would both test and enrich the conclusions drawn from secondary sources. I would also apply the McKinsey 7S diagnostic earlier in the process using it to structure the literature review as well as the findings chapter, which would create a more consistent analytical thread from Chapter 2 through to Chapter 5. Most practically, I would invest more preparation time in Chapter 4 specifically, given that it carries the analytical weight the entire dissertation depends on.</w:t>
      </w:r>
    </w:p>
    <w:p w14:paraId="4960419A" w14:textId="77777777" w:rsidR="00506CAB" w:rsidRPr="0055162D" w:rsidRDefault="00506CAB" w:rsidP="00506CAB">
      <w:pPr>
        <w:rPr>
          <w:color w:val="000000" w:themeColor="text1"/>
        </w:rPr>
      </w:pPr>
    </w:p>
    <w:p w14:paraId="0CC185FE" w14:textId="77777777" w:rsidR="00506CAB" w:rsidRPr="0055162D" w:rsidRDefault="00506CAB" w:rsidP="00506CAB">
      <w:pPr>
        <w:pBdr>
          <w:top w:val="single" w:sz="4" w:space="4" w:color="005B3A"/>
        </w:pBdr>
        <w:spacing w:before="200" w:after="80"/>
        <w:rPr>
          <w:color w:val="000000" w:themeColor="text1"/>
        </w:rPr>
      </w:pPr>
      <w:r w:rsidRPr="0055162D">
        <w:rPr>
          <w:rFonts w:ascii="Arial" w:eastAsia="Arial" w:hAnsi="Arial" w:cs="Arial"/>
          <w:b/>
          <w:bCs/>
          <w:color w:val="000000" w:themeColor="text1"/>
        </w:rPr>
        <w:t>Reference</w:t>
      </w:r>
    </w:p>
    <w:p w14:paraId="773E1AF7" w14:textId="77777777" w:rsidR="00506CAB" w:rsidRPr="0055162D" w:rsidRDefault="00506CAB" w:rsidP="00506CAB">
      <w:pPr>
        <w:spacing w:after="80" w:line="360" w:lineRule="auto"/>
        <w:ind w:left="720" w:hanging="720"/>
        <w:jc w:val="both"/>
        <w:rPr>
          <w:color w:val="000000" w:themeColor="text1"/>
        </w:rPr>
      </w:pPr>
      <w:r w:rsidRPr="0055162D">
        <w:rPr>
          <w:rFonts w:ascii="Arial" w:eastAsia="Arial" w:hAnsi="Arial" w:cs="Arial"/>
          <w:color w:val="000000" w:themeColor="text1"/>
        </w:rPr>
        <w:t>Gibbs, G. (1988) Learning by Doing: A Guide to Teaching and Learning Methods. Oxford: Further Education Unit, Oxford Polytechnic.</w:t>
      </w:r>
    </w:p>
    <w:p w14:paraId="249D70B1" w14:textId="77777777" w:rsidR="00506CAB" w:rsidRPr="0055162D" w:rsidRDefault="00506CAB" w:rsidP="00506CAB">
      <w:pPr>
        <w:spacing w:before="60" w:line="360" w:lineRule="auto"/>
        <w:ind w:left="720" w:hanging="720"/>
        <w:jc w:val="both"/>
        <w:rPr>
          <w:color w:val="000000" w:themeColor="text1"/>
        </w:rPr>
      </w:pPr>
      <w:r w:rsidRPr="0055162D">
        <w:rPr>
          <w:rFonts w:ascii="Arial" w:eastAsia="Arial" w:hAnsi="Arial" w:cs="Arial"/>
          <w:color w:val="000000" w:themeColor="text1"/>
        </w:rPr>
        <w:t>Burnes, B. (2020) Managing Change. 8th edn. Harlow: Pearson.</w:t>
      </w:r>
    </w:p>
    <w:p w14:paraId="653273C7" w14:textId="58A47EF2" w:rsidR="00796C04" w:rsidRPr="0055162D" w:rsidRDefault="00506CAB" w:rsidP="0055162D">
      <w:pPr>
        <w:spacing w:before="60" w:line="360" w:lineRule="auto"/>
        <w:ind w:left="720" w:hanging="720"/>
        <w:jc w:val="both"/>
        <w:rPr>
          <w:color w:val="000000" w:themeColor="text1"/>
        </w:rPr>
      </w:pPr>
      <w:r w:rsidRPr="0055162D">
        <w:rPr>
          <w:rFonts w:ascii="Arial" w:eastAsia="Arial" w:hAnsi="Arial" w:cs="Arial"/>
          <w:color w:val="000000" w:themeColor="text1"/>
        </w:rPr>
        <w:t>Johnson, G. (1992) 'Managing strategic change: strategy, culture and action', Long Range Planning, 25(1), pp. 28–36.</w:t>
      </w:r>
    </w:p>
    <w:sectPr w:rsidR="00796C04" w:rsidRPr="0055162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73A58E" w14:textId="77777777" w:rsidR="00A27274" w:rsidRDefault="00A27274" w:rsidP="00CF4740">
      <w:pPr>
        <w:spacing w:after="0" w:line="240" w:lineRule="auto"/>
      </w:pPr>
      <w:r>
        <w:separator/>
      </w:r>
    </w:p>
  </w:endnote>
  <w:endnote w:type="continuationSeparator" w:id="0">
    <w:p w14:paraId="584C30B2" w14:textId="77777777" w:rsidR="00A27274" w:rsidRDefault="00A27274" w:rsidP="00CF47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7912597"/>
      <w:docPartObj>
        <w:docPartGallery w:val="Page Numbers (Bottom of Page)"/>
        <w:docPartUnique/>
      </w:docPartObj>
    </w:sdtPr>
    <w:sdtEndPr>
      <w:rPr>
        <w:noProof/>
      </w:rPr>
    </w:sdtEndPr>
    <w:sdtContent>
      <w:p w14:paraId="255350DC" w14:textId="04E9B6DC" w:rsidR="00CF4740" w:rsidRDefault="00CF47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4C4C15" w14:textId="77777777" w:rsidR="00CF4740" w:rsidRDefault="00CF47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0069D6" w14:textId="77777777" w:rsidR="00A27274" w:rsidRDefault="00A27274" w:rsidP="00CF4740">
      <w:pPr>
        <w:spacing w:after="0" w:line="240" w:lineRule="auto"/>
      </w:pPr>
      <w:r>
        <w:separator/>
      </w:r>
    </w:p>
  </w:footnote>
  <w:footnote w:type="continuationSeparator" w:id="0">
    <w:p w14:paraId="7B3C80A9" w14:textId="77777777" w:rsidR="00A27274" w:rsidRDefault="00A27274" w:rsidP="00CF47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F2E39"/>
    <w:multiLevelType w:val="hybridMultilevel"/>
    <w:tmpl w:val="E3ACF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A53FDD"/>
    <w:multiLevelType w:val="hybridMultilevel"/>
    <w:tmpl w:val="9E70A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2F5224"/>
    <w:multiLevelType w:val="hybridMultilevel"/>
    <w:tmpl w:val="FFFAD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D755EB"/>
    <w:multiLevelType w:val="hybridMultilevel"/>
    <w:tmpl w:val="90B86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AE6C88"/>
    <w:multiLevelType w:val="hybridMultilevel"/>
    <w:tmpl w:val="04C20A48"/>
    <w:lvl w:ilvl="0" w:tplc="0809000B">
      <w:start w:val="1"/>
      <w:numFmt w:val="bullet"/>
      <w:lvlText w:val=""/>
      <w:lvlJc w:val="left"/>
      <w:pPr>
        <w:ind w:left="770" w:hanging="360"/>
      </w:pPr>
      <w:rPr>
        <w:rFonts w:ascii="Wingdings" w:hAnsi="Wingdings"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5" w15:restartNumberingAfterBreak="0">
    <w:nsid w:val="34C114A2"/>
    <w:multiLevelType w:val="hybridMultilevel"/>
    <w:tmpl w:val="8C089B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C15043"/>
    <w:multiLevelType w:val="hybridMultilevel"/>
    <w:tmpl w:val="005073DA"/>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F962225"/>
    <w:multiLevelType w:val="hybridMultilevel"/>
    <w:tmpl w:val="3F7A8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E33534"/>
    <w:multiLevelType w:val="hybridMultilevel"/>
    <w:tmpl w:val="3B2ED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B0165C"/>
    <w:multiLevelType w:val="hybridMultilevel"/>
    <w:tmpl w:val="18EC7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C40F48"/>
    <w:multiLevelType w:val="hybridMultilevel"/>
    <w:tmpl w:val="D4FA0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A53C56"/>
    <w:multiLevelType w:val="hybridMultilevel"/>
    <w:tmpl w:val="FD96F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363228"/>
    <w:multiLevelType w:val="hybridMultilevel"/>
    <w:tmpl w:val="B6127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6F3AD2"/>
    <w:multiLevelType w:val="hybridMultilevel"/>
    <w:tmpl w:val="32F2FB3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580454419">
    <w:abstractNumId w:val="13"/>
  </w:num>
  <w:num w:numId="2" w16cid:durableId="1020818954">
    <w:abstractNumId w:val="8"/>
  </w:num>
  <w:num w:numId="3" w16cid:durableId="2084182865">
    <w:abstractNumId w:val="4"/>
  </w:num>
  <w:num w:numId="4" w16cid:durableId="973633301">
    <w:abstractNumId w:val="3"/>
  </w:num>
  <w:num w:numId="5" w16cid:durableId="645209864">
    <w:abstractNumId w:val="1"/>
  </w:num>
  <w:num w:numId="6" w16cid:durableId="1869562031">
    <w:abstractNumId w:val="2"/>
  </w:num>
  <w:num w:numId="7" w16cid:durableId="637491103">
    <w:abstractNumId w:val="7"/>
  </w:num>
  <w:num w:numId="8" w16cid:durableId="1196190896">
    <w:abstractNumId w:val="11"/>
  </w:num>
  <w:num w:numId="9" w16cid:durableId="2095086875">
    <w:abstractNumId w:val="9"/>
  </w:num>
  <w:num w:numId="10" w16cid:durableId="526259450">
    <w:abstractNumId w:val="12"/>
  </w:num>
  <w:num w:numId="11" w16cid:durableId="1966036876">
    <w:abstractNumId w:val="10"/>
  </w:num>
  <w:num w:numId="12" w16cid:durableId="1178959456">
    <w:abstractNumId w:val="6"/>
  </w:num>
  <w:num w:numId="13" w16cid:durableId="595020434">
    <w:abstractNumId w:val="0"/>
  </w:num>
  <w:num w:numId="14" w16cid:durableId="7335467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25914"/>
    <w:rsid w:val="00012E54"/>
    <w:rsid w:val="000726B8"/>
    <w:rsid w:val="000E7986"/>
    <w:rsid w:val="001B1CFF"/>
    <w:rsid w:val="002043C9"/>
    <w:rsid w:val="00216F13"/>
    <w:rsid w:val="002247F4"/>
    <w:rsid w:val="002249DD"/>
    <w:rsid w:val="002373ED"/>
    <w:rsid w:val="00304BDE"/>
    <w:rsid w:val="00337356"/>
    <w:rsid w:val="003B001D"/>
    <w:rsid w:val="003D7B41"/>
    <w:rsid w:val="00401BEE"/>
    <w:rsid w:val="00493F3E"/>
    <w:rsid w:val="004F66CF"/>
    <w:rsid w:val="00506CAB"/>
    <w:rsid w:val="0055162D"/>
    <w:rsid w:val="00556ED5"/>
    <w:rsid w:val="005B61C5"/>
    <w:rsid w:val="005F71D1"/>
    <w:rsid w:val="00612661"/>
    <w:rsid w:val="006C02B1"/>
    <w:rsid w:val="00703791"/>
    <w:rsid w:val="00710509"/>
    <w:rsid w:val="007273BB"/>
    <w:rsid w:val="00766D79"/>
    <w:rsid w:val="00796C04"/>
    <w:rsid w:val="007D1B5E"/>
    <w:rsid w:val="007F299B"/>
    <w:rsid w:val="007F6B7B"/>
    <w:rsid w:val="0088508E"/>
    <w:rsid w:val="008E1A6E"/>
    <w:rsid w:val="008F71A5"/>
    <w:rsid w:val="00925914"/>
    <w:rsid w:val="00982371"/>
    <w:rsid w:val="00983432"/>
    <w:rsid w:val="00A01087"/>
    <w:rsid w:val="00A27274"/>
    <w:rsid w:val="00A42C12"/>
    <w:rsid w:val="00A61259"/>
    <w:rsid w:val="00A93D90"/>
    <w:rsid w:val="00AE2B4B"/>
    <w:rsid w:val="00AF0434"/>
    <w:rsid w:val="00B149D1"/>
    <w:rsid w:val="00B43D4D"/>
    <w:rsid w:val="00B96276"/>
    <w:rsid w:val="00BA4060"/>
    <w:rsid w:val="00BD1E8A"/>
    <w:rsid w:val="00C8109D"/>
    <w:rsid w:val="00C94801"/>
    <w:rsid w:val="00CC7FF4"/>
    <w:rsid w:val="00CD7018"/>
    <w:rsid w:val="00CE4499"/>
    <w:rsid w:val="00CF4740"/>
    <w:rsid w:val="00D06A62"/>
    <w:rsid w:val="00D11292"/>
    <w:rsid w:val="00D532A6"/>
    <w:rsid w:val="00DC4D23"/>
    <w:rsid w:val="00DC63A1"/>
    <w:rsid w:val="00E458ED"/>
    <w:rsid w:val="00E7479E"/>
    <w:rsid w:val="00E92356"/>
    <w:rsid w:val="00EB4996"/>
    <w:rsid w:val="00ED2C04"/>
    <w:rsid w:val="00F664B5"/>
    <w:rsid w:val="00FC550A"/>
    <w:rsid w:val="00FD0991"/>
    <w:rsid w:val="00FF7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0593E"/>
  <w15:chartTrackingRefBased/>
  <w15:docId w15:val="{A670E709-0827-46DA-BC5D-F0A08E93D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4060"/>
    <w:rPr>
      <w:rFonts w:ascii="Calibri" w:hAnsi="Calibri"/>
    </w:rPr>
  </w:style>
  <w:style w:type="paragraph" w:styleId="Heading1">
    <w:name w:val="heading 1"/>
    <w:basedOn w:val="Normal"/>
    <w:next w:val="Normal"/>
    <w:link w:val="Heading1Char"/>
    <w:uiPriority w:val="9"/>
    <w:qFormat/>
    <w:rsid w:val="00BA4060"/>
    <w:pPr>
      <w:keepNext/>
      <w:keepLines/>
      <w:spacing w:before="360" w:after="80"/>
      <w:outlineLvl w:val="0"/>
    </w:pPr>
    <w:rPr>
      <w:rFonts w:eastAsiaTheme="majorEastAsia" w:cstheme="majorBidi"/>
      <w:b/>
      <w:sz w:val="24"/>
      <w:szCs w:val="40"/>
    </w:rPr>
  </w:style>
  <w:style w:type="paragraph" w:styleId="Heading2">
    <w:name w:val="heading 2"/>
    <w:basedOn w:val="Normal"/>
    <w:next w:val="Normal"/>
    <w:link w:val="Heading2Char"/>
    <w:uiPriority w:val="9"/>
    <w:semiHidden/>
    <w:unhideWhenUsed/>
    <w:qFormat/>
    <w:rsid w:val="009259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59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59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59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59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59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59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59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4060"/>
    <w:rPr>
      <w:rFonts w:ascii="Calibri" w:eastAsiaTheme="majorEastAsia" w:hAnsi="Calibri" w:cstheme="majorBidi"/>
      <w:b/>
      <w:sz w:val="24"/>
      <w:szCs w:val="40"/>
    </w:rPr>
  </w:style>
  <w:style w:type="character" w:customStyle="1" w:styleId="Heading2Char">
    <w:name w:val="Heading 2 Char"/>
    <w:basedOn w:val="DefaultParagraphFont"/>
    <w:link w:val="Heading2"/>
    <w:uiPriority w:val="9"/>
    <w:semiHidden/>
    <w:rsid w:val="009259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59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59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59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59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59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59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5914"/>
    <w:rPr>
      <w:rFonts w:eastAsiaTheme="majorEastAsia" w:cstheme="majorBidi"/>
      <w:color w:val="272727" w:themeColor="text1" w:themeTint="D8"/>
    </w:rPr>
  </w:style>
  <w:style w:type="paragraph" w:styleId="Title">
    <w:name w:val="Title"/>
    <w:basedOn w:val="Normal"/>
    <w:next w:val="Normal"/>
    <w:link w:val="TitleChar"/>
    <w:uiPriority w:val="10"/>
    <w:qFormat/>
    <w:rsid w:val="009259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59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59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59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5914"/>
    <w:pPr>
      <w:spacing w:before="160"/>
      <w:jc w:val="center"/>
    </w:pPr>
    <w:rPr>
      <w:i/>
      <w:iCs/>
      <w:color w:val="404040" w:themeColor="text1" w:themeTint="BF"/>
    </w:rPr>
  </w:style>
  <w:style w:type="character" w:customStyle="1" w:styleId="QuoteChar">
    <w:name w:val="Quote Char"/>
    <w:basedOn w:val="DefaultParagraphFont"/>
    <w:link w:val="Quote"/>
    <w:uiPriority w:val="29"/>
    <w:rsid w:val="00925914"/>
    <w:rPr>
      <w:i/>
      <w:iCs/>
      <w:color w:val="404040" w:themeColor="text1" w:themeTint="BF"/>
    </w:rPr>
  </w:style>
  <w:style w:type="paragraph" w:styleId="ListParagraph">
    <w:name w:val="List Paragraph"/>
    <w:basedOn w:val="Normal"/>
    <w:uiPriority w:val="34"/>
    <w:qFormat/>
    <w:rsid w:val="00925914"/>
    <w:pPr>
      <w:ind w:left="720"/>
      <w:contextualSpacing/>
    </w:pPr>
  </w:style>
  <w:style w:type="character" w:styleId="IntenseEmphasis">
    <w:name w:val="Intense Emphasis"/>
    <w:basedOn w:val="DefaultParagraphFont"/>
    <w:uiPriority w:val="21"/>
    <w:qFormat/>
    <w:rsid w:val="00925914"/>
    <w:rPr>
      <w:i/>
      <w:iCs/>
      <w:color w:val="0F4761" w:themeColor="accent1" w:themeShade="BF"/>
    </w:rPr>
  </w:style>
  <w:style w:type="paragraph" w:styleId="IntenseQuote">
    <w:name w:val="Intense Quote"/>
    <w:basedOn w:val="Normal"/>
    <w:next w:val="Normal"/>
    <w:link w:val="IntenseQuoteChar"/>
    <w:uiPriority w:val="30"/>
    <w:qFormat/>
    <w:rsid w:val="009259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5914"/>
    <w:rPr>
      <w:i/>
      <w:iCs/>
      <w:color w:val="0F4761" w:themeColor="accent1" w:themeShade="BF"/>
    </w:rPr>
  </w:style>
  <w:style w:type="character" w:styleId="IntenseReference">
    <w:name w:val="Intense Reference"/>
    <w:basedOn w:val="DefaultParagraphFont"/>
    <w:uiPriority w:val="32"/>
    <w:qFormat/>
    <w:rsid w:val="00925914"/>
    <w:rPr>
      <w:b/>
      <w:bCs/>
      <w:smallCaps/>
      <w:color w:val="0F4761" w:themeColor="accent1" w:themeShade="BF"/>
      <w:spacing w:val="5"/>
    </w:rPr>
  </w:style>
  <w:style w:type="table" w:styleId="PlainTable1">
    <w:name w:val="Plain Table 1"/>
    <w:basedOn w:val="TableNormal"/>
    <w:uiPriority w:val="41"/>
    <w:rsid w:val="00766D7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CF47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4740"/>
    <w:rPr>
      <w:rFonts w:ascii="Calibri" w:hAnsi="Calibri"/>
    </w:rPr>
  </w:style>
  <w:style w:type="paragraph" w:styleId="Footer">
    <w:name w:val="footer"/>
    <w:basedOn w:val="Normal"/>
    <w:link w:val="FooterChar"/>
    <w:uiPriority w:val="99"/>
    <w:unhideWhenUsed/>
    <w:rsid w:val="00CF47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4740"/>
    <w:rPr>
      <w:rFonts w:ascii="Calibri" w:hAnsi="Calibri"/>
    </w:rPr>
  </w:style>
  <w:style w:type="paragraph" w:styleId="TOCHeading">
    <w:name w:val="TOC Heading"/>
    <w:basedOn w:val="Heading1"/>
    <w:next w:val="Normal"/>
    <w:uiPriority w:val="39"/>
    <w:unhideWhenUsed/>
    <w:qFormat/>
    <w:rsid w:val="0088508E"/>
    <w:pPr>
      <w:spacing w:before="240" w:after="0"/>
      <w:outlineLvl w:val="9"/>
    </w:pPr>
    <w:rPr>
      <w:rFonts w:asciiTheme="majorHAnsi" w:hAnsiTheme="majorHAnsi"/>
      <w:b w:val="0"/>
      <w:color w:val="0F4761" w:themeColor="accent1" w:themeShade="BF"/>
      <w:kern w:val="0"/>
      <w:sz w:val="32"/>
      <w:szCs w:val="32"/>
      <w:lang w:val="en-US"/>
    </w:rPr>
  </w:style>
  <w:style w:type="paragraph" w:styleId="TOC1">
    <w:name w:val="toc 1"/>
    <w:basedOn w:val="Normal"/>
    <w:next w:val="Normal"/>
    <w:autoRedefine/>
    <w:uiPriority w:val="39"/>
    <w:unhideWhenUsed/>
    <w:rsid w:val="0088508E"/>
    <w:pPr>
      <w:spacing w:after="100"/>
    </w:pPr>
  </w:style>
  <w:style w:type="character" w:styleId="Hyperlink">
    <w:name w:val="Hyperlink"/>
    <w:basedOn w:val="DefaultParagraphFont"/>
    <w:uiPriority w:val="99"/>
    <w:unhideWhenUsed/>
    <w:rsid w:val="0088508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5623C0-8883-47D2-8CF6-A567105952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TotalTime>
  <Pages>3</Pages>
  <Words>893</Words>
  <Characters>5093</Characters>
  <Application>Microsoft Office Word</Application>
  <DocSecurity>0</DocSecurity>
  <Lines>42</Lines>
  <Paragraphs>11</Paragraphs>
  <ScaleCrop>false</ScaleCrop>
  <Company/>
  <LinksUpToDate>false</LinksUpToDate>
  <CharactersWithSpaces>5975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Lidia Pereira</dc:creator>
  <cp:keywords/>
  <dc:description/>
  <cp:lastModifiedBy>Lidia Pereira</cp:lastModifiedBy>
  <cp:revision>58</cp:revision>
  <dcterms:created xsi:type="dcterms:W3CDTF">2026-02-04T05:11:00Z</dcterms:created>
  <dcterms:modified xsi:type="dcterms:W3CDTF">2026-07-27T12:23:00Z</dcterms:modified>
</cp:coreProperties>
</file>