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6BDC004" w:rsidP="320C1BC1" w:rsidRDefault="46BDC004" w14:paraId="10877423" w14:textId="04EB1DC4">
      <w:pPr>
        <w:pStyle w:val="Heading1"/>
        <w:spacing w:before="301" w:beforeAutospacing="off" w:after="301" w:afterAutospacing="off"/>
      </w:pPr>
      <w:r w:rsidRPr="320C1BC1" w:rsidR="46BDC004">
        <w:rPr>
          <w:rFonts w:ascii="-apple-system" w:hAnsi="-apple-system" w:eastAsia="-apple-system" w:cs="-apple-system"/>
          <w:b w:val="1"/>
          <w:bCs w:val="1"/>
          <w:noProof w:val="0"/>
          <w:color w:val="FFFFFF" w:themeColor="background1" w:themeTint="FF" w:themeShade="FF"/>
          <w:sz w:val="24"/>
          <w:szCs w:val="24"/>
          <w:lang w:val="en-GB"/>
        </w:rPr>
        <w:t>ECEY4010/</w:t>
      </w:r>
    </w:p>
    <w:p w:rsidR="46BDC004" w:rsidP="320C1BC1" w:rsidRDefault="46BDC004" w14:paraId="1710167C" w14:textId="62285E61">
      <w:pPr>
        <w:pStyle w:val="Heading1"/>
        <w:spacing w:before="301" w:beforeAutospacing="off" w:after="301" w:afterAutospacing="off"/>
      </w:pPr>
      <w:r w:rsidRPr="320C1BC1" w:rsidR="46BDC004">
        <w:rPr>
          <w:rFonts w:ascii="-apple-system" w:hAnsi="-apple-system" w:eastAsia="-apple-system" w:cs="-apple-system"/>
          <w:b w:val="1"/>
          <w:bCs w:val="1"/>
          <w:noProof w:val="0"/>
          <w:color w:val="FFFFFF" w:themeColor="background1" w:themeTint="FF" w:themeShade="FF"/>
          <w:sz w:val="24"/>
          <w:szCs w:val="24"/>
          <w:lang w:val="en-GB"/>
        </w:rPr>
        <w:t>ECEY4010/</w:t>
      </w:r>
    </w:p>
    <w:p w:rsidR="4F3D4CA9" w:rsidP="320C1BC1" w:rsidRDefault="4F3D4CA9" w14:paraId="32502AC2" w14:textId="69CD0C94">
      <w:pPr>
        <w:pStyle w:val="Normal"/>
        <w:spacing w:before="240" w:beforeAutospacing="off" w:after="240" w:afterAutospacing="off"/>
        <w:rPr>
          <w:rFonts w:ascii="Arial" w:hAnsi="Arial" w:eastAsia="Arial" w:cs="Arial"/>
          <w:noProof w:val="0"/>
          <w:color w:val="auto"/>
          <w:sz w:val="28"/>
          <w:szCs w:val="28"/>
          <w:lang w:val="en-GB"/>
        </w:rPr>
      </w:pPr>
      <w:r w:rsidRPr="320C1BC1" w:rsidR="4F3D4CA9">
        <w:rPr>
          <w:rFonts w:ascii="Arial" w:hAnsi="Arial" w:eastAsia="Arial" w:cs="Arial"/>
          <w:noProof w:val="0"/>
          <w:color w:val="auto"/>
          <w:sz w:val="28"/>
          <w:szCs w:val="28"/>
          <w:lang w:val="en-GB"/>
        </w:rPr>
        <w:t>Bilingualism Activity Recording</w:t>
      </w:r>
    </w:p>
    <w:p w:rsidR="46BDC004" w:rsidP="320C1BC1" w:rsidRDefault="46BDC004" w14:paraId="4D592877" w14:textId="28025229">
      <w:pPr>
        <w:pStyle w:val="Normal"/>
        <w:spacing w:before="240" w:beforeAutospacing="off" w:after="240" w:afterAutospacing="off"/>
        <w:rPr>
          <w:rFonts w:ascii="Aptos" w:hAnsi="Aptos" w:eastAsia="Aptos" w:cs="Aptos"/>
          <w:noProof w:val="0"/>
          <w:sz w:val="28"/>
          <w:szCs w:val="28"/>
          <w:lang w:val="en-GB"/>
        </w:rPr>
      </w:pPr>
      <w:r w:rsidRPr="320C1BC1" w:rsidR="46BDC004">
        <w:rPr>
          <w:rFonts w:ascii="Aptos" w:hAnsi="Aptos" w:eastAsia="Aptos" w:cs="Aptos"/>
          <w:noProof w:val="0"/>
          <w:sz w:val="28"/>
          <w:szCs w:val="28"/>
          <w:lang w:val="en-GB"/>
        </w:rPr>
        <w:t>ECEY4010</w:t>
      </w:r>
    </w:p>
    <w:p w:rsidR="0B679CD2" w:rsidP="320C1BC1" w:rsidRDefault="0B679CD2" w14:paraId="201F160F" w14:textId="7AC31C99">
      <w:pPr>
        <w:pStyle w:val="Normal"/>
        <w:spacing w:before="240" w:beforeAutospacing="off" w:after="240" w:afterAutospacing="off"/>
        <w:rPr>
          <w:rFonts w:ascii="Aptos" w:hAnsi="Aptos" w:eastAsia="Aptos" w:cs="Aptos"/>
          <w:noProof w:val="0"/>
          <w:sz w:val="28"/>
          <w:szCs w:val="28"/>
          <w:lang w:val="en-GB"/>
        </w:rPr>
      </w:pPr>
      <w:r w:rsidRPr="320C1BC1" w:rsidR="0B679CD2">
        <w:rPr>
          <w:rFonts w:ascii="Aptos" w:hAnsi="Aptos" w:eastAsia="Aptos" w:cs="Aptos"/>
          <w:noProof w:val="0"/>
          <w:sz w:val="28"/>
          <w:szCs w:val="28"/>
          <w:lang w:val="en-GB"/>
        </w:rPr>
        <w:t>2513721</w:t>
      </w:r>
    </w:p>
    <w:p w:rsidR="0B679CD2" w:rsidP="320C1BC1" w:rsidRDefault="0B679CD2" w14:paraId="63D69A53" w14:textId="5777E460">
      <w:pPr>
        <w:pStyle w:val="Normal"/>
        <w:spacing w:before="240" w:beforeAutospacing="off" w:after="240" w:afterAutospacing="off"/>
        <w:rPr>
          <w:rFonts w:ascii="Aptos" w:hAnsi="Aptos" w:eastAsia="Aptos" w:cs="Aptos"/>
          <w:noProof w:val="0"/>
          <w:sz w:val="28"/>
          <w:szCs w:val="28"/>
          <w:lang w:val="en-GB"/>
        </w:rPr>
      </w:pPr>
      <w:r w:rsidRPr="320C1BC1" w:rsidR="0B679CD2">
        <w:rPr>
          <w:rFonts w:ascii="Aptos" w:hAnsi="Aptos" w:eastAsia="Aptos" w:cs="Aptos"/>
          <w:noProof w:val="0"/>
          <w:sz w:val="28"/>
          <w:szCs w:val="28"/>
          <w:lang w:val="en-GB"/>
        </w:rPr>
        <w:t xml:space="preserve">Part 1 </w:t>
      </w:r>
    </w:p>
    <w:p w:rsidR="320C1BC1" w:rsidP="320C1BC1" w:rsidRDefault="320C1BC1" w14:paraId="5A655AC8" w14:textId="64FBB53A">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53613A4A" w14:textId="24972012">
      <w:pPr>
        <w:pStyle w:val="Normal"/>
        <w:spacing w:before="240" w:beforeAutospacing="off" w:after="240" w:afterAutospacing="off"/>
        <w:rPr>
          <w:rFonts w:ascii="Aptos" w:hAnsi="Aptos" w:eastAsia="Aptos" w:cs="Aptos"/>
          <w:noProof w:val="0"/>
          <w:sz w:val="24"/>
          <w:szCs w:val="24"/>
          <w:lang w:val="en-GB"/>
        </w:rPr>
      </w:pPr>
    </w:p>
    <w:p w:rsidR="0A112597" w:rsidP="7E46FF07" w:rsidRDefault="0A112597" w14:paraId="4A99549C" w14:textId="5401E2A2">
      <w:pPr>
        <w:pStyle w:val="Normal"/>
        <w:spacing w:before="240" w:beforeAutospacing="off" w:after="240" w:afterAutospacing="off"/>
      </w:pPr>
      <w:hyperlink r:id="Rc2503a797c894305">
        <w:r w:rsidRPr="320C1BC1" w:rsidR="0EC6D2CA">
          <w:rPr>
            <w:rStyle w:val="Hyperlink"/>
            <w:rFonts w:ascii="Aptos" w:hAnsi="Aptos" w:eastAsia="Aptos" w:cs="Aptos"/>
            <w:noProof w:val="0"/>
            <w:sz w:val="24"/>
            <w:szCs w:val="24"/>
            <w:lang w:val="en-GB"/>
          </w:rPr>
          <w:t>Bilingualism activity.mp4</w:t>
        </w:r>
      </w:hyperlink>
    </w:p>
    <w:p w:rsidR="320C1BC1" w:rsidP="320C1BC1" w:rsidRDefault="320C1BC1" w14:paraId="248D5015" w14:textId="38F0DE33">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77E5FF1B" w14:textId="5F128251">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40C07627" w14:textId="51338D99">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3CF3CE23" w14:textId="57D6748B">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633C1889" w14:textId="11B88E39">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2DBEB27B" w14:textId="58C72ACC">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01A7DEC7" w14:textId="18069C33">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024E36C8" w14:textId="4C906B7F">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018D103C" w14:textId="7BD2BBD3">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3F1C64D4" w14:textId="21CE6CEB">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28953FAD" w14:textId="38006828">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2027751C" w14:textId="13B1E52E">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7DDBA8AE" w14:textId="20E8904C">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3F2EEFB2" w14:textId="0CFA1230">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24215C9F" w14:textId="7775FB04">
      <w:pPr>
        <w:pStyle w:val="Normal"/>
        <w:spacing w:before="240" w:beforeAutospacing="off" w:after="240" w:afterAutospacing="off"/>
        <w:rPr>
          <w:rFonts w:ascii="Aptos" w:hAnsi="Aptos" w:eastAsia="Aptos" w:cs="Aptos"/>
          <w:noProof w:val="0"/>
          <w:sz w:val="24"/>
          <w:szCs w:val="24"/>
          <w:lang w:val="en-GB"/>
        </w:rPr>
      </w:pPr>
    </w:p>
    <w:p w:rsidR="3B487B81" w:rsidP="320C1BC1" w:rsidRDefault="3B487B81" w14:paraId="4FE77F71" w14:textId="6537D052">
      <w:pPr>
        <w:pStyle w:val="Normal"/>
        <w:spacing w:before="240" w:beforeAutospacing="off" w:after="240" w:afterAutospacing="off"/>
        <w:rPr>
          <w:rFonts w:ascii="Aptos" w:hAnsi="Aptos" w:eastAsia="Aptos" w:cs="Aptos"/>
          <w:noProof w:val="0"/>
          <w:sz w:val="28"/>
          <w:szCs w:val="28"/>
          <w:lang w:val="en-GB"/>
        </w:rPr>
      </w:pPr>
      <w:r w:rsidRPr="320C1BC1" w:rsidR="3B487B81">
        <w:rPr>
          <w:rFonts w:ascii="Aptos" w:hAnsi="Aptos" w:eastAsia="Aptos" w:cs="Aptos"/>
          <w:noProof w:val="0"/>
          <w:sz w:val="28"/>
          <w:szCs w:val="28"/>
          <w:lang w:val="en-GB"/>
        </w:rPr>
        <w:t xml:space="preserve">Bilingualism Essay </w:t>
      </w:r>
    </w:p>
    <w:p w:rsidR="3B487B81" w:rsidP="320C1BC1" w:rsidRDefault="3B487B81" w14:paraId="022BA5BA" w14:textId="52AA6A58">
      <w:pPr>
        <w:pStyle w:val="Normal"/>
        <w:spacing w:before="240" w:beforeAutospacing="off" w:after="240" w:afterAutospacing="off"/>
        <w:rPr>
          <w:rFonts w:ascii="Aptos" w:hAnsi="Aptos" w:eastAsia="Aptos" w:cs="Aptos"/>
          <w:noProof w:val="0"/>
          <w:sz w:val="28"/>
          <w:szCs w:val="28"/>
          <w:lang w:val="en-GB"/>
        </w:rPr>
      </w:pPr>
      <w:r w:rsidRPr="320C1BC1" w:rsidR="3B487B81">
        <w:rPr>
          <w:rFonts w:ascii="Aptos" w:hAnsi="Aptos" w:eastAsia="Aptos" w:cs="Aptos"/>
          <w:noProof w:val="0"/>
          <w:sz w:val="28"/>
          <w:szCs w:val="28"/>
          <w:lang w:val="en-GB"/>
        </w:rPr>
        <w:t xml:space="preserve">Word count </w:t>
      </w:r>
      <w:r w:rsidRPr="320C1BC1" w:rsidR="59D02EF8">
        <w:rPr>
          <w:rFonts w:ascii="Aptos" w:hAnsi="Aptos" w:eastAsia="Aptos" w:cs="Aptos"/>
          <w:noProof w:val="0"/>
          <w:sz w:val="28"/>
          <w:szCs w:val="28"/>
          <w:lang w:val="en-GB"/>
        </w:rPr>
        <w:t xml:space="preserve"> 1412</w:t>
      </w:r>
    </w:p>
    <w:p w:rsidR="3B487B81" w:rsidP="320C1BC1" w:rsidRDefault="3B487B81" w14:paraId="4B1BA1B5" w14:textId="28025229">
      <w:pPr>
        <w:pStyle w:val="Normal"/>
        <w:spacing w:before="240" w:beforeAutospacing="off" w:after="240" w:afterAutospacing="off"/>
        <w:rPr>
          <w:rFonts w:ascii="Aptos" w:hAnsi="Aptos" w:eastAsia="Aptos" w:cs="Aptos"/>
          <w:noProof w:val="0"/>
          <w:sz w:val="28"/>
          <w:szCs w:val="28"/>
          <w:lang w:val="en-GB"/>
        </w:rPr>
      </w:pPr>
      <w:r w:rsidRPr="320C1BC1" w:rsidR="3B487B81">
        <w:rPr>
          <w:rFonts w:ascii="Aptos" w:hAnsi="Aptos" w:eastAsia="Aptos" w:cs="Aptos"/>
          <w:noProof w:val="0"/>
          <w:sz w:val="28"/>
          <w:szCs w:val="28"/>
          <w:lang w:val="en-GB"/>
        </w:rPr>
        <w:t>ECEY4010</w:t>
      </w:r>
    </w:p>
    <w:p w:rsidR="3B487B81" w:rsidP="320C1BC1" w:rsidRDefault="3B487B81" w14:paraId="69B68C1C" w14:textId="7AC31C99">
      <w:pPr>
        <w:pStyle w:val="Normal"/>
        <w:spacing w:before="240" w:beforeAutospacing="off" w:after="240" w:afterAutospacing="off"/>
        <w:rPr>
          <w:rFonts w:ascii="Aptos" w:hAnsi="Aptos" w:eastAsia="Aptos" w:cs="Aptos"/>
          <w:noProof w:val="0"/>
          <w:sz w:val="28"/>
          <w:szCs w:val="28"/>
          <w:lang w:val="en-GB"/>
        </w:rPr>
      </w:pPr>
      <w:r w:rsidRPr="320C1BC1" w:rsidR="3B487B81">
        <w:rPr>
          <w:rFonts w:ascii="Aptos" w:hAnsi="Aptos" w:eastAsia="Aptos" w:cs="Aptos"/>
          <w:noProof w:val="0"/>
          <w:sz w:val="28"/>
          <w:szCs w:val="28"/>
          <w:lang w:val="en-GB"/>
        </w:rPr>
        <w:t>2513721</w:t>
      </w:r>
    </w:p>
    <w:p w:rsidR="3B487B81" w:rsidP="320C1BC1" w:rsidRDefault="3B487B81" w14:paraId="14D246F5" w14:textId="3AC52270">
      <w:pPr>
        <w:pStyle w:val="Normal"/>
        <w:spacing w:before="240" w:beforeAutospacing="off" w:after="240" w:afterAutospacing="off"/>
        <w:rPr>
          <w:rFonts w:ascii="Aptos" w:hAnsi="Aptos" w:eastAsia="Aptos" w:cs="Aptos"/>
          <w:noProof w:val="0"/>
          <w:sz w:val="28"/>
          <w:szCs w:val="28"/>
          <w:lang w:val="en-GB"/>
        </w:rPr>
      </w:pPr>
      <w:r w:rsidRPr="320C1BC1" w:rsidR="3B487B81">
        <w:rPr>
          <w:rFonts w:ascii="Aptos" w:hAnsi="Aptos" w:eastAsia="Aptos" w:cs="Aptos"/>
          <w:noProof w:val="0"/>
          <w:sz w:val="28"/>
          <w:szCs w:val="28"/>
          <w:lang w:val="en-GB"/>
        </w:rPr>
        <w:t>Part 2</w:t>
      </w:r>
    </w:p>
    <w:p w:rsidR="320C1BC1" w:rsidP="320C1BC1" w:rsidRDefault="320C1BC1" w14:paraId="3A8C77F2" w14:textId="3FC5FABF">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29A73A39" w14:textId="551A2A2F">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709E9515" w14:textId="7D7D53B5">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4A54C42A" w14:textId="0E919794">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0A052E02" w14:textId="04474B21">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175446D6" w14:textId="00300972">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169B71FA" w14:textId="6A98ED24">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4B15AB0B" w14:textId="0957A432">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0E4242B6" w14:textId="322714AC">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49AD0845" w14:textId="4668B46D">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53E01AE0" w14:textId="0FC5A263">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0906D09A" w14:textId="2BEC001A">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15FB54A2" w14:textId="7F0F0324">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4178EAED" w14:textId="4A0EA8C5">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03A597DF" w14:textId="5CBAB774">
      <w:pPr>
        <w:pStyle w:val="Normal"/>
        <w:spacing w:before="240" w:beforeAutospacing="off" w:after="240" w:afterAutospacing="off"/>
        <w:rPr>
          <w:rFonts w:ascii="Aptos" w:hAnsi="Aptos" w:eastAsia="Aptos" w:cs="Aptos"/>
          <w:noProof w:val="0"/>
          <w:sz w:val="24"/>
          <w:szCs w:val="24"/>
          <w:lang w:val="en-GB"/>
        </w:rPr>
      </w:pPr>
    </w:p>
    <w:p w:rsidR="320C1BC1" w:rsidP="320C1BC1" w:rsidRDefault="320C1BC1" w14:paraId="38FBA19E" w14:textId="15FF8722">
      <w:pPr>
        <w:pStyle w:val="Normal"/>
        <w:spacing w:before="240" w:beforeAutospacing="off" w:after="240" w:afterAutospacing="off"/>
        <w:rPr>
          <w:rFonts w:ascii="Aptos" w:hAnsi="Aptos" w:eastAsia="Aptos" w:cs="Aptos"/>
          <w:noProof w:val="0"/>
          <w:sz w:val="24"/>
          <w:szCs w:val="24"/>
          <w:lang w:val="en-GB"/>
        </w:rPr>
      </w:pPr>
    </w:p>
    <w:p w:rsidR="7E46FF07" w:rsidP="7E46FF07" w:rsidRDefault="7E46FF07" w14:paraId="1E97F8CD" w14:textId="1114E8FF">
      <w:pPr>
        <w:pStyle w:val="Normal"/>
        <w:rPr>
          <w:noProof w:val="0"/>
          <w:lang w:val="en-GB"/>
        </w:rPr>
      </w:pPr>
    </w:p>
    <w:p xmlns:wp14="http://schemas.microsoft.com/office/word/2010/wordml" w:rsidP="0F977268" wp14:paraId="30794D38" wp14:textId="581C8118">
      <w:pPr>
        <w:pStyle w:val="Heading1"/>
        <w:spacing w:before="322" w:beforeAutospacing="off" w:after="322" w:afterAutospacing="off"/>
      </w:pPr>
      <w:r w:rsidRPr="320C1BC1" w:rsidR="3D06F8ED">
        <w:rPr>
          <w:rFonts w:ascii="Aptos" w:hAnsi="Aptos" w:eastAsia="Aptos" w:cs="Aptos"/>
          <w:b w:val="1"/>
          <w:bCs w:val="1"/>
          <w:noProof w:val="0"/>
          <w:color w:val="000000" w:themeColor="text1" w:themeTint="FF" w:themeShade="FF"/>
          <w:sz w:val="48"/>
          <w:szCs w:val="48"/>
          <w:lang w:val="en-GB"/>
        </w:rPr>
        <w:t>Bilingualism and Its Impact on Brain Development, Creativity and Early Years Education in Wales</w:t>
      </w:r>
    </w:p>
    <w:p xmlns:wp14="http://schemas.microsoft.com/office/word/2010/wordml" w:rsidP="320C1BC1" wp14:paraId="29D97DC1" wp14:textId="252A3882">
      <w:pPr>
        <w:spacing w:before="240" w:beforeAutospacing="off" w:after="240" w:afterAutospacing="off"/>
      </w:pPr>
      <w:r w:rsidRPr="320C1BC1" w:rsidR="44145D89">
        <w:rPr>
          <w:rFonts w:ascii="Aptos" w:hAnsi="Aptos" w:eastAsia="Aptos" w:cs="Aptos"/>
          <w:noProof w:val="0"/>
          <w:color w:val="000000" w:themeColor="text1" w:themeTint="FF" w:themeShade="FF"/>
          <w:sz w:val="24"/>
          <w:szCs w:val="24"/>
          <w:lang w:val="en-GB"/>
        </w:rPr>
        <w:t>Bilingualism, commonly understood as the use of two languages, is a significant feature of early childhood education, particularly in Wales where Welsh and English coexist. However, bilingualism is not a fixed concept and exists on a spectrum, varying in proficiency, use and context (Baker and Wright, 2017). Children may use different languages across home, school and community settings, highlighting the distinction between language ability and language use.</w:t>
      </w:r>
    </w:p>
    <w:p xmlns:wp14="http://schemas.microsoft.com/office/word/2010/wordml" w:rsidP="320C1BC1" wp14:paraId="60C70799" wp14:textId="768580EF">
      <w:pPr>
        <w:spacing w:before="240" w:beforeAutospacing="off" w:after="240" w:afterAutospacing="off"/>
      </w:pPr>
      <w:r w:rsidRPr="320C1BC1" w:rsidR="44145D89">
        <w:rPr>
          <w:rFonts w:ascii="Aptos" w:hAnsi="Aptos" w:eastAsia="Aptos" w:cs="Aptos"/>
          <w:noProof w:val="0"/>
          <w:color w:val="000000" w:themeColor="text1" w:themeTint="FF" w:themeShade="FF"/>
          <w:sz w:val="24"/>
          <w:szCs w:val="24"/>
          <w:lang w:val="en-GB"/>
        </w:rPr>
        <w:t>Bilingualism can develop either simultaneously, from birth, or sequentially, when a second language is introduced later, often through education (Baker and Wright, 2017). These differences are important in early years practice, as children may require different forms of support depending on their language experience.</w:t>
      </w:r>
    </w:p>
    <w:p xmlns:wp14="http://schemas.microsoft.com/office/word/2010/wordml" w:rsidP="320C1BC1" wp14:paraId="61768826" wp14:textId="290E16DB">
      <w:pPr>
        <w:spacing w:before="240" w:beforeAutospacing="off" w:after="240" w:afterAutospacing="off"/>
      </w:pPr>
      <w:r w:rsidRPr="320C1BC1" w:rsidR="44145D89">
        <w:rPr>
          <w:rFonts w:ascii="Aptos" w:hAnsi="Aptos" w:eastAsia="Aptos" w:cs="Aptos"/>
          <w:noProof w:val="0"/>
          <w:color w:val="000000" w:themeColor="text1" w:themeTint="FF" w:themeShade="FF"/>
          <w:sz w:val="24"/>
          <w:szCs w:val="24"/>
          <w:lang w:val="en-GB"/>
        </w:rPr>
        <w:t>Research suggests that bilingualism can support cognitive development and creativity; however, these benefits are influenced by factors such as language exposure and educational environment. This essay will explore bilingualism in relation to brain development, creativity and early years education in Wales, while also considering key challenges and limitations.</w:t>
      </w:r>
    </w:p>
    <w:p xmlns:wp14="http://schemas.microsoft.com/office/word/2010/wordml" w:rsidP="320C1BC1" wp14:paraId="72B93F1B" wp14:textId="24C4EAB3">
      <w:pPr>
        <w:pStyle w:val="Normal"/>
      </w:pPr>
      <w:r w:rsidRPr="320C1BC1" w:rsidR="6B427EA1">
        <w:rPr>
          <w:rFonts w:ascii="Aptos" w:hAnsi="Aptos" w:eastAsia="Aptos" w:cs="Aptos"/>
          <w:noProof w:val="0"/>
          <w:color w:val="000000" w:themeColor="text1" w:themeTint="FF" w:themeShade="FF"/>
          <w:sz w:val="24"/>
          <w:szCs w:val="24"/>
          <w:lang w:val="en-GB"/>
        </w:rPr>
        <w:t xml:space="preserve">One key benefit of bilingualism is cross-linguistic transfer, where skills learned in one language support learning in another. Baker, </w:t>
      </w:r>
      <w:r w:rsidRPr="320C1BC1" w:rsidR="6B427EA1">
        <w:rPr>
          <w:rFonts w:ascii="Aptos" w:hAnsi="Aptos" w:eastAsia="Aptos" w:cs="Aptos"/>
          <w:noProof w:val="0"/>
          <w:color w:val="000000" w:themeColor="text1" w:themeTint="FF" w:themeShade="FF"/>
          <w:sz w:val="24"/>
          <w:szCs w:val="24"/>
          <w:lang w:val="en-GB"/>
        </w:rPr>
        <w:t>Park</w:t>
      </w:r>
      <w:r w:rsidRPr="320C1BC1" w:rsidR="6B427EA1">
        <w:rPr>
          <w:rFonts w:ascii="Aptos" w:hAnsi="Aptos" w:eastAsia="Aptos" w:cs="Aptos"/>
          <w:noProof w:val="0"/>
          <w:color w:val="000000" w:themeColor="text1" w:themeTint="FF" w:themeShade="FF"/>
          <w:sz w:val="24"/>
          <w:szCs w:val="24"/>
          <w:lang w:val="en-GB"/>
        </w:rPr>
        <w:t xml:space="preserve"> and Andress (2022) highlight that knowledge of letter–sound relationships and decoding skills can transfer across languages, contributing to the development of metalinguistic awareness and a deeper understanding of how language works.</w:t>
      </w:r>
    </w:p>
    <w:p xmlns:wp14="http://schemas.microsoft.com/office/word/2010/wordml" w:rsidP="320C1BC1" wp14:paraId="3BF0D723" wp14:textId="67B2474B">
      <w:pPr>
        <w:spacing w:before="240" w:beforeAutospacing="off" w:after="240" w:afterAutospacing="off"/>
      </w:pPr>
      <w:r w:rsidRPr="320C1BC1" w:rsidR="6B427EA1">
        <w:rPr>
          <w:rFonts w:ascii="Aptos" w:hAnsi="Aptos" w:eastAsia="Aptos" w:cs="Aptos"/>
          <w:noProof w:val="0"/>
          <w:color w:val="000000" w:themeColor="text1" w:themeTint="FF" w:themeShade="FF"/>
          <w:sz w:val="24"/>
          <w:szCs w:val="24"/>
          <w:lang w:val="en-GB"/>
        </w:rPr>
        <w:t>Bilingual education has also been linked to positive academic outcomes. Cummins (1979) argues that children in immersion programmes can achieve high levels of proficiency in both languages without negatively affecting attainment, particularly when the first language is supported. However, these outcomes may depend on the level of exposure and quality of educational provision.</w:t>
      </w:r>
    </w:p>
    <w:p xmlns:wp14="http://schemas.microsoft.com/office/word/2010/wordml" w:rsidP="320C1BC1" wp14:paraId="6D162F40" wp14:textId="5C6D8B3F">
      <w:pPr>
        <w:spacing w:before="240" w:beforeAutospacing="off" w:after="240" w:afterAutospacing="off"/>
      </w:pPr>
      <w:r w:rsidRPr="320C1BC1" w:rsidR="6B427EA1">
        <w:rPr>
          <w:rFonts w:ascii="Aptos" w:hAnsi="Aptos" w:eastAsia="Aptos" w:cs="Aptos"/>
          <w:noProof w:val="0"/>
          <w:color w:val="000000" w:themeColor="text1" w:themeTint="FF" w:themeShade="FF"/>
          <w:sz w:val="24"/>
          <w:szCs w:val="24"/>
          <w:lang w:val="en-GB"/>
        </w:rPr>
        <w:t>Bilingualism can also support social and cultural engagement, enabling individuals to communicate more widely and connect with cultural practices. In Wales, Welsh language skills may enhance employment opportunities; however, this can vary depending on regional use and access to Welsh-medium education.</w:t>
      </w:r>
    </w:p>
    <w:p xmlns:wp14="http://schemas.microsoft.com/office/word/2010/wordml" w:rsidP="320C1BC1" wp14:paraId="32F95A2F" wp14:textId="2797A9D2">
      <w:pPr>
        <w:spacing w:before="240" w:beforeAutospacing="off" w:after="240" w:afterAutospacing="off"/>
      </w:pPr>
      <w:r w:rsidRPr="320C1BC1" w:rsidR="6B427EA1">
        <w:rPr>
          <w:rFonts w:ascii="Aptos" w:hAnsi="Aptos" w:eastAsia="Aptos" w:cs="Aptos"/>
          <w:noProof w:val="0"/>
          <w:color w:val="000000" w:themeColor="text1" w:themeTint="FF" w:themeShade="FF"/>
          <w:sz w:val="24"/>
          <w:szCs w:val="24"/>
          <w:lang w:val="en-GB"/>
        </w:rPr>
        <w:t>At an individual level, bilingualism may support confidence and language development, with Bialystok (2017) suggesting that bilingual children often demonstrate greater grammatical awareness. This is reflected in the planned activity, where children link Welsh vocabulary to their existing knowledge through a colour hunt, supporting cross-linguistic transfer in a meaningful, play-based context.</w:t>
      </w:r>
    </w:p>
    <w:p xmlns:wp14="http://schemas.microsoft.com/office/word/2010/wordml" wp14:paraId="582A21B8" wp14:textId="5D70DB97"/>
    <w:p xmlns:wp14="http://schemas.microsoft.com/office/word/2010/wordml" w:rsidP="0F977268" wp14:paraId="572C38D7" wp14:textId="6D411779">
      <w:pPr>
        <w:spacing w:before="240" w:beforeAutospacing="off" w:after="240" w:afterAutospacing="off"/>
      </w:pPr>
      <w:r w:rsidRPr="320C1BC1" w:rsidR="5F05ED65">
        <w:rPr>
          <w:rFonts w:ascii="Aptos" w:hAnsi="Aptos" w:eastAsia="Aptos" w:cs="Aptos"/>
          <w:noProof w:val="0"/>
          <w:color w:val="000000" w:themeColor="text1" w:themeTint="FF" w:themeShade="FF"/>
          <w:sz w:val="24"/>
          <w:szCs w:val="24"/>
          <w:lang w:val="en-GB"/>
        </w:rPr>
        <w:t>Research suggests that bilingualism can influence brain development. Bialystok (2017) argues that bilingual children must manage two language systems, selecting one while inhibiting the other, which strengthens executive functioning skills such as attention, cognitive control and task switching.</w:t>
      </w:r>
    </w:p>
    <w:p xmlns:wp14="http://schemas.microsoft.com/office/word/2010/wordml" w:rsidP="0F977268" wp14:paraId="6066813F" wp14:textId="31403E54">
      <w:pPr>
        <w:spacing w:before="240" w:beforeAutospacing="off" w:after="240" w:afterAutospacing="off"/>
      </w:pPr>
      <w:r w:rsidRPr="320C1BC1" w:rsidR="5F05ED65">
        <w:rPr>
          <w:rFonts w:ascii="Aptos" w:hAnsi="Aptos" w:eastAsia="Aptos" w:cs="Aptos"/>
          <w:noProof w:val="0"/>
          <w:color w:val="000000" w:themeColor="text1" w:themeTint="FF" w:themeShade="FF"/>
          <w:sz w:val="24"/>
          <w:szCs w:val="24"/>
          <w:lang w:val="en-GB"/>
        </w:rPr>
        <w:t>These skills support learning by enabling children to focus, adapt and solve problems, although such advantages are not universal. Bialystok (2017) highlights that cognitive benefits depend on factors such as language use, proficiency and environmental support, suggesting they are shaped by experience rather than being automatic.</w:t>
      </w:r>
    </w:p>
    <w:p xmlns:wp14="http://schemas.microsoft.com/office/word/2010/wordml" w:rsidP="0F977268" wp14:paraId="0CFB552F" wp14:textId="769D1A5D">
      <w:pPr>
        <w:spacing w:before="240" w:beforeAutospacing="off" w:after="240" w:afterAutospacing="off"/>
      </w:pPr>
      <w:r w:rsidRPr="320C1BC1" w:rsidR="5F05ED65">
        <w:rPr>
          <w:rFonts w:ascii="Aptos" w:hAnsi="Aptos" w:eastAsia="Aptos" w:cs="Aptos"/>
          <w:noProof w:val="0"/>
          <w:color w:val="000000" w:themeColor="text1" w:themeTint="FF" w:themeShade="FF"/>
          <w:sz w:val="24"/>
          <w:szCs w:val="24"/>
          <w:lang w:val="en-GB"/>
        </w:rPr>
        <w:t>This is evident in the activity, where children listen to Welsh instructions and identify objects, requiring attention, language processing and appropriate responses, thereby supporting executive functioning (Bialystok, 2017).</w:t>
      </w:r>
    </w:p>
    <w:p xmlns:wp14="http://schemas.microsoft.com/office/word/2010/wordml" w:rsidP="320C1BC1" wp14:paraId="54F2CF7F" wp14:textId="1AFE322E">
      <w:pPr>
        <w:pStyle w:val="Normal"/>
        <w:rPr>
          <w:noProof w:val="0"/>
          <w:lang w:val="en-GB"/>
        </w:rPr>
      </w:pPr>
      <w:r w:rsidRPr="320C1BC1" w:rsidR="412EF8CD">
        <w:rPr>
          <w:rFonts w:ascii="Aptos" w:hAnsi="Aptos" w:eastAsia="Aptos" w:cs="Aptos"/>
          <w:noProof w:val="0"/>
          <w:color w:val="000000" w:themeColor="text1" w:themeTint="FF" w:themeShade="FF"/>
          <w:sz w:val="24"/>
          <w:szCs w:val="24"/>
          <w:lang w:val="en-GB"/>
        </w:rPr>
        <w:t>Bilingualism has been linked to creativity, particularly through divergent thinking, or the ability to generate multiple ideas or solutions. Van Dijk et al. (2019) found that bilingual individuals often think more flexibly and make connections between concepts, supporting creative thinking.</w:t>
      </w:r>
    </w:p>
    <w:p xmlns:wp14="http://schemas.microsoft.com/office/word/2010/wordml" w:rsidP="0F977268" wp14:paraId="3B646017" wp14:textId="20B02959">
      <w:pPr>
        <w:spacing w:before="240" w:beforeAutospacing="off" w:after="240" w:afterAutospacing="off"/>
      </w:pPr>
      <w:r w:rsidRPr="320C1BC1" w:rsidR="412EF8CD">
        <w:rPr>
          <w:rFonts w:ascii="Aptos" w:hAnsi="Aptos" w:eastAsia="Aptos" w:cs="Aptos"/>
          <w:noProof w:val="0"/>
          <w:color w:val="000000" w:themeColor="text1" w:themeTint="FF" w:themeShade="FF"/>
          <w:sz w:val="24"/>
          <w:szCs w:val="24"/>
          <w:lang w:val="en-GB"/>
        </w:rPr>
        <w:t>This relationship can be understood through the Geneplore model (Finke et al., 1992), which describes creativity as involving the generation and exploration of ideas. Bilingual individuals may have an advantage in this process due to their ability to draw on multiple linguistic systems and perspectives.</w:t>
      </w:r>
    </w:p>
    <w:p xmlns:wp14="http://schemas.microsoft.com/office/word/2010/wordml" w:rsidP="0F977268" wp14:paraId="365DD902" wp14:textId="45964AA7">
      <w:pPr>
        <w:spacing w:before="240" w:beforeAutospacing="off" w:after="240" w:afterAutospacing="off"/>
      </w:pPr>
      <w:r w:rsidRPr="320C1BC1" w:rsidR="412EF8CD">
        <w:rPr>
          <w:rFonts w:ascii="Aptos" w:hAnsi="Aptos" w:eastAsia="Aptos" w:cs="Aptos"/>
          <w:noProof w:val="0"/>
          <w:color w:val="000000" w:themeColor="text1" w:themeTint="FF" w:themeShade="FF"/>
          <w:sz w:val="24"/>
          <w:szCs w:val="24"/>
          <w:lang w:val="en-GB"/>
        </w:rPr>
        <w:t xml:space="preserve">Research by </w:t>
      </w:r>
      <w:r w:rsidRPr="320C1BC1" w:rsidR="412EF8CD">
        <w:rPr>
          <w:rFonts w:ascii="Aptos" w:hAnsi="Aptos" w:eastAsia="Aptos" w:cs="Aptos"/>
          <w:noProof w:val="0"/>
          <w:color w:val="000000" w:themeColor="text1" w:themeTint="FF" w:themeShade="FF"/>
          <w:sz w:val="24"/>
          <w:szCs w:val="24"/>
          <w:lang w:val="en-GB"/>
        </w:rPr>
        <w:t>Hyusein</w:t>
      </w:r>
      <w:r w:rsidRPr="320C1BC1" w:rsidR="412EF8CD">
        <w:rPr>
          <w:rFonts w:ascii="Aptos" w:hAnsi="Aptos" w:eastAsia="Aptos" w:cs="Aptos"/>
          <w:noProof w:val="0"/>
          <w:color w:val="000000" w:themeColor="text1" w:themeTint="FF" w:themeShade="FF"/>
          <w:sz w:val="24"/>
          <w:szCs w:val="24"/>
          <w:lang w:val="en-GB"/>
        </w:rPr>
        <w:t xml:space="preserve"> and Göksun (2025) further suggests that language influences mental imagery, with more vivid imagery linked to divergent thinking. However, bilingualism does not directly cause </w:t>
      </w:r>
      <w:r w:rsidRPr="320C1BC1" w:rsidR="4347700E">
        <w:rPr>
          <w:rFonts w:ascii="Aptos" w:hAnsi="Aptos" w:eastAsia="Aptos" w:cs="Aptos"/>
          <w:noProof w:val="0"/>
          <w:color w:val="000000" w:themeColor="text1" w:themeTint="FF" w:themeShade="FF"/>
          <w:sz w:val="24"/>
          <w:szCs w:val="24"/>
          <w:lang w:val="en-GB"/>
        </w:rPr>
        <w:t>creativity but</w:t>
      </w:r>
      <w:r w:rsidRPr="320C1BC1" w:rsidR="412EF8CD">
        <w:rPr>
          <w:rFonts w:ascii="Aptos" w:hAnsi="Aptos" w:eastAsia="Aptos" w:cs="Aptos"/>
          <w:noProof w:val="0"/>
          <w:color w:val="000000" w:themeColor="text1" w:themeTint="FF" w:themeShade="FF"/>
          <w:sz w:val="24"/>
          <w:szCs w:val="24"/>
          <w:lang w:val="en-GB"/>
        </w:rPr>
        <w:t xml:space="preserve"> instead supports the cognitive processes that contribute to it.</w:t>
      </w:r>
    </w:p>
    <w:p xmlns:wp14="http://schemas.microsoft.com/office/word/2010/wordml" w:rsidP="0F977268" wp14:paraId="1BB947B0" wp14:textId="13FFE3D7">
      <w:pPr>
        <w:spacing w:before="240" w:beforeAutospacing="off" w:after="240" w:afterAutospacing="off"/>
      </w:pPr>
      <w:r w:rsidRPr="320C1BC1" w:rsidR="412EF8CD">
        <w:rPr>
          <w:rFonts w:ascii="Aptos" w:hAnsi="Aptos" w:eastAsia="Aptos" w:cs="Aptos"/>
          <w:noProof w:val="0"/>
          <w:color w:val="000000" w:themeColor="text1" w:themeTint="FF" w:themeShade="FF"/>
          <w:sz w:val="24"/>
          <w:szCs w:val="24"/>
          <w:lang w:val="en-GB"/>
        </w:rPr>
        <w:t>This is reflected in the activity, where children identify different objects for the same colour, encouraging flexible thinking and multiple responses (van Dijk et al., 2019).</w:t>
      </w:r>
    </w:p>
    <w:p xmlns:wp14="http://schemas.microsoft.com/office/word/2010/wordml" w:rsidP="320C1BC1" wp14:paraId="45C69105" wp14:textId="2F3418B1">
      <w:pPr>
        <w:pStyle w:val="Normal"/>
        <w:spacing w:before="240" w:beforeAutospacing="off" w:after="240" w:afterAutospacing="off"/>
      </w:pPr>
      <w:r w:rsidRPr="320C1BC1" w:rsidR="64A038B5">
        <w:rPr>
          <w:rFonts w:ascii="Aptos" w:hAnsi="Aptos" w:eastAsia="Aptos" w:cs="Aptos"/>
          <w:noProof w:val="0"/>
          <w:color w:val="000000" w:themeColor="text1" w:themeTint="FF" w:themeShade="FF"/>
          <w:sz w:val="24"/>
          <w:szCs w:val="24"/>
          <w:lang w:val="en-GB"/>
        </w:rPr>
        <w:t>In Wales, bilingualism is central to education and cultural identity. Thomas and Roberts (2011) found that children often use Welsh in school and English outside, suggesting bilingualism may be context-dependent rather than fully integrated into daily life, raising concerns about the long-term sustainability of Welsh.</w:t>
      </w:r>
    </w:p>
    <w:p xmlns:wp14="http://schemas.microsoft.com/office/word/2010/wordml" w:rsidP="320C1BC1" wp14:paraId="3285BFCE" wp14:textId="4AA5A804">
      <w:pPr>
        <w:pStyle w:val="Normal"/>
        <w:spacing w:before="240" w:beforeAutospacing="off" w:after="240" w:afterAutospacing="off"/>
      </w:pPr>
      <w:r w:rsidRPr="320C1BC1" w:rsidR="6FCF8058">
        <w:rPr>
          <w:rFonts w:ascii="Aptos" w:hAnsi="Aptos" w:eastAsia="Aptos" w:cs="Aptos"/>
          <w:noProof w:val="0"/>
          <w:color w:val="000000" w:themeColor="text1" w:themeTint="FF" w:themeShade="FF"/>
          <w:sz w:val="24"/>
          <w:szCs w:val="24"/>
          <w:lang w:val="en-GB"/>
        </w:rPr>
        <w:t>This is particularly relevant in the context of Welsh as an Additional Language (WAL) and English as an Additional Language (EAL), where children may experience differing levels of exposure and support depending on their linguistic background.</w:t>
      </w:r>
    </w:p>
    <w:p xmlns:wp14="http://schemas.microsoft.com/office/word/2010/wordml" w:rsidP="0F977268" wp14:paraId="3470C451" wp14:textId="298FFA32">
      <w:pPr>
        <w:spacing w:before="240" w:beforeAutospacing="off" w:after="240" w:afterAutospacing="off"/>
      </w:pPr>
      <w:r w:rsidRPr="320C1BC1" w:rsidR="64A038B5">
        <w:rPr>
          <w:rFonts w:ascii="Aptos" w:hAnsi="Aptos" w:eastAsia="Aptos" w:cs="Aptos"/>
          <w:noProof w:val="0"/>
          <w:color w:val="000000" w:themeColor="text1" w:themeTint="FF" w:themeShade="FF"/>
          <w:sz w:val="24"/>
          <w:szCs w:val="24"/>
          <w:lang w:val="en-GB"/>
        </w:rPr>
        <w:t>The Welsh language is closely linked to identity and belonging. Selleck and Barakos (2023) argue it plays a key role in cultural participation; however, its symbolic presence in events and celebrations does not guarantee consistent everyday use, particularly in predominantly English-speaking communities.</w:t>
      </w:r>
    </w:p>
    <w:p xmlns:wp14="http://schemas.microsoft.com/office/word/2010/wordml" w:rsidP="0F977268" wp14:paraId="56792033" wp14:textId="71F76B86">
      <w:pPr>
        <w:spacing w:before="240" w:beforeAutospacing="off" w:after="240" w:afterAutospacing="off"/>
      </w:pPr>
      <w:r w:rsidRPr="320C1BC1" w:rsidR="64A038B5">
        <w:rPr>
          <w:rFonts w:ascii="Aptos" w:hAnsi="Aptos" w:eastAsia="Aptos" w:cs="Aptos"/>
          <w:noProof w:val="0"/>
          <w:color w:val="000000" w:themeColor="text1" w:themeTint="FF" w:themeShade="FF"/>
          <w:sz w:val="24"/>
          <w:szCs w:val="24"/>
          <w:lang w:val="en-GB"/>
        </w:rPr>
        <w:t>The development of bilingualism depends on exposure and support. Without opportunities to use Welsh beyond education, children may struggle to maintain their skills, suggesting that schooling alone is insufficient and wider societal support is needed.</w:t>
      </w:r>
    </w:p>
    <w:p xmlns:wp14="http://schemas.microsoft.com/office/word/2010/wordml" w:rsidP="0F977268" wp14:paraId="2E1137B4" wp14:textId="07D12B62">
      <w:pPr>
        <w:spacing w:before="240" w:beforeAutospacing="off" w:after="240" w:afterAutospacing="off"/>
      </w:pPr>
      <w:r w:rsidRPr="320C1BC1" w:rsidR="64A038B5">
        <w:rPr>
          <w:rFonts w:ascii="Aptos" w:hAnsi="Aptos" w:eastAsia="Aptos" w:cs="Aptos"/>
          <w:noProof w:val="0"/>
          <w:color w:val="000000" w:themeColor="text1" w:themeTint="FF" w:themeShade="FF"/>
          <w:sz w:val="24"/>
          <w:szCs w:val="24"/>
          <w:lang w:val="en-GB"/>
        </w:rPr>
        <w:t>The activity reflects the Curriculum for Wales by promoting meaningful, play-based language use within the ‘Languages, Literacy and Communication’ Area. However, its effectiveness depends on continued language use beyond the classroom.</w:t>
      </w:r>
    </w:p>
    <w:p xmlns:wp14="http://schemas.microsoft.com/office/word/2010/wordml" w:rsidP="0F977268" wp14:paraId="0C5FFD05" wp14:textId="4BECDFB1">
      <w:pPr>
        <w:spacing w:before="240" w:beforeAutospacing="off" w:after="240" w:afterAutospacing="off"/>
      </w:pPr>
      <w:r w:rsidRPr="320C1BC1" w:rsidR="64A038B5">
        <w:rPr>
          <w:rFonts w:ascii="Aptos" w:hAnsi="Aptos" w:eastAsia="Aptos" w:cs="Aptos"/>
          <w:noProof w:val="0"/>
          <w:color w:val="000000" w:themeColor="text1" w:themeTint="FF" w:themeShade="FF"/>
          <w:sz w:val="24"/>
          <w:szCs w:val="24"/>
          <w:lang w:val="en-GB"/>
        </w:rPr>
        <w:t>Access to bilingual education is also unequal. Evidence indicates that some Welsh-medium pupils with Additional Learning Needs receive support in English or insufficient provision (Welsh Language Commissioner and Children’s Commissioner for Wales, 2023). This highlights a gap between policy and practice, suggesting structural barriers continue to limit equitable access despite ongoing reforms.</w:t>
      </w:r>
    </w:p>
    <w:p xmlns:wp14="http://schemas.microsoft.com/office/word/2010/wordml" w:rsidP="320C1BC1" wp14:paraId="5877E348" wp14:textId="1D792E99">
      <w:pPr>
        <w:pStyle w:val="Normal"/>
        <w:spacing w:before="240" w:beforeAutospacing="off" w:after="240" w:afterAutospacing="off"/>
      </w:pPr>
      <w:r w:rsidRPr="320C1BC1" w:rsidR="3D06F8ED">
        <w:rPr>
          <w:rFonts w:ascii="Aptos" w:hAnsi="Aptos" w:eastAsia="Aptos" w:cs="Aptos"/>
          <w:noProof w:val="0"/>
          <w:color w:val="000000" w:themeColor="text1" w:themeTint="FF" w:themeShade="FF"/>
          <w:sz w:val="24"/>
          <w:szCs w:val="24"/>
          <w:lang w:val="en-GB"/>
        </w:rPr>
        <w:t>Historically, early years education in Wales placed young children in formal learning environments with a strong focus on literacy and numeracy. However, this approach has shifted towards more play-based, child-centred learning, influenced by educational theories such as Montessori and Steiner (</w:t>
      </w:r>
      <w:r w:rsidRPr="320C1BC1" w:rsidR="3D06F8ED">
        <w:rPr>
          <w:rFonts w:ascii="Aptos" w:hAnsi="Aptos" w:eastAsia="Aptos" w:cs="Aptos"/>
          <w:noProof w:val="0"/>
          <w:color w:val="000000" w:themeColor="text1" w:themeTint="FF" w:themeShade="FF"/>
          <w:sz w:val="24"/>
          <w:szCs w:val="24"/>
          <w:lang w:val="en-GB"/>
        </w:rPr>
        <w:t>Siencyn</w:t>
      </w:r>
      <w:r w:rsidRPr="320C1BC1" w:rsidR="3D06F8ED">
        <w:rPr>
          <w:rFonts w:ascii="Aptos" w:hAnsi="Aptos" w:eastAsia="Aptos" w:cs="Aptos"/>
          <w:noProof w:val="0"/>
          <w:color w:val="000000" w:themeColor="text1" w:themeTint="FF" w:themeShade="FF"/>
          <w:sz w:val="24"/>
          <w:szCs w:val="24"/>
          <w:lang w:val="en-GB"/>
        </w:rPr>
        <w:t>, 2019).</w:t>
      </w:r>
    </w:p>
    <w:p xmlns:wp14="http://schemas.microsoft.com/office/word/2010/wordml" w:rsidP="0F977268" wp14:paraId="51343FC1" wp14:textId="4A0822AF">
      <w:pPr>
        <w:spacing w:before="240" w:beforeAutospacing="off" w:after="240" w:afterAutospacing="off"/>
      </w:pPr>
      <w:r w:rsidRPr="0F977268" w:rsidR="5AEE7D06">
        <w:rPr>
          <w:rFonts w:ascii="Aptos" w:hAnsi="Aptos" w:eastAsia="Aptos" w:cs="Aptos"/>
          <w:noProof w:val="0"/>
          <w:color w:val="000000" w:themeColor="text1" w:themeTint="FF" w:themeShade="FF"/>
          <w:sz w:val="24"/>
          <w:szCs w:val="24"/>
          <w:lang w:val="en-GB"/>
        </w:rPr>
        <w:t>The development of Welsh-medium education has also been significant. The establishment of Mudiad Meithrin in 1971 provided Welsh-medium early years settings, known as cylchoedd meithrin, where children are immersed in the Welsh language through play. This immersion approach supports natural language acquisition and has played a key role in revitalising the Welsh language.</w:t>
      </w:r>
    </w:p>
    <w:p xmlns:wp14="http://schemas.microsoft.com/office/word/2010/wordml" w:rsidP="0F977268" wp14:paraId="047D656B" wp14:textId="4602DFFD">
      <w:pPr>
        <w:spacing w:before="240" w:beforeAutospacing="off" w:after="240" w:afterAutospacing="off"/>
      </w:pPr>
      <w:r w:rsidRPr="58A6271C" w:rsidR="6B4A746F">
        <w:rPr>
          <w:rFonts w:ascii="Aptos" w:hAnsi="Aptos" w:eastAsia="Aptos" w:cs="Aptos"/>
          <w:noProof w:val="0"/>
          <w:color w:val="000000" w:themeColor="text1" w:themeTint="FF" w:themeShade="FF"/>
          <w:sz w:val="24"/>
          <w:szCs w:val="24"/>
          <w:lang w:val="en-GB"/>
        </w:rPr>
        <w:t xml:space="preserve">Current policy in Wales, including the Curriculum for Wales, emphasises children’s rights, </w:t>
      </w:r>
      <w:r w:rsidRPr="58A6271C" w:rsidR="6B4A746F">
        <w:rPr>
          <w:rFonts w:ascii="Aptos" w:hAnsi="Aptos" w:eastAsia="Aptos" w:cs="Aptos"/>
          <w:noProof w:val="0"/>
          <w:color w:val="000000" w:themeColor="text1" w:themeTint="FF" w:themeShade="FF"/>
          <w:sz w:val="24"/>
          <w:szCs w:val="24"/>
          <w:lang w:val="en-GB"/>
        </w:rPr>
        <w:t>well-being</w:t>
      </w:r>
      <w:r w:rsidRPr="58A6271C" w:rsidR="6B4A746F">
        <w:rPr>
          <w:rFonts w:ascii="Aptos" w:hAnsi="Aptos" w:eastAsia="Aptos" w:cs="Aptos"/>
          <w:noProof w:val="0"/>
          <w:color w:val="000000" w:themeColor="text1" w:themeTint="FF" w:themeShade="FF"/>
          <w:sz w:val="24"/>
          <w:szCs w:val="24"/>
          <w:lang w:val="en-GB"/>
        </w:rPr>
        <w:t xml:space="preserve"> and holistic development (Stewart, </w:t>
      </w:r>
      <w:r w:rsidRPr="58A6271C" w:rsidR="6B4A746F">
        <w:rPr>
          <w:rFonts w:ascii="Aptos" w:hAnsi="Aptos" w:eastAsia="Aptos" w:cs="Aptos"/>
          <w:noProof w:val="0"/>
          <w:color w:val="000000" w:themeColor="text1" w:themeTint="FF" w:themeShade="FF"/>
          <w:sz w:val="24"/>
          <w:szCs w:val="24"/>
          <w:lang w:val="en-GB"/>
        </w:rPr>
        <w:t>MacDonald</w:t>
      </w:r>
      <w:r w:rsidRPr="58A6271C" w:rsidR="6B4A746F">
        <w:rPr>
          <w:rFonts w:ascii="Aptos" w:hAnsi="Aptos" w:eastAsia="Aptos" w:cs="Aptos"/>
          <w:noProof w:val="0"/>
          <w:color w:val="000000" w:themeColor="text1" w:themeTint="FF" w:themeShade="FF"/>
          <w:sz w:val="24"/>
          <w:szCs w:val="24"/>
          <w:lang w:val="en-GB"/>
        </w:rPr>
        <w:t xml:space="preserve"> and Waters-Davies, 2024). It promotes a child-centred approach and aims to </w:t>
      </w:r>
      <w:r w:rsidRPr="58A6271C" w:rsidR="6B4A746F">
        <w:rPr>
          <w:rFonts w:ascii="Aptos" w:hAnsi="Aptos" w:eastAsia="Aptos" w:cs="Aptos"/>
          <w:noProof w:val="0"/>
          <w:color w:val="000000" w:themeColor="text1" w:themeTint="FF" w:themeShade="FF"/>
          <w:sz w:val="24"/>
          <w:szCs w:val="24"/>
          <w:lang w:val="en-GB"/>
        </w:rPr>
        <w:t>provide equal opportunities for all learners</w:t>
      </w:r>
      <w:r w:rsidRPr="58A6271C" w:rsidR="6B4A746F">
        <w:rPr>
          <w:rFonts w:ascii="Aptos" w:hAnsi="Aptos" w:eastAsia="Aptos" w:cs="Aptos"/>
          <w:noProof w:val="0"/>
          <w:color w:val="000000" w:themeColor="text1" w:themeTint="FF" w:themeShade="FF"/>
          <w:sz w:val="24"/>
          <w:szCs w:val="24"/>
          <w:lang w:val="en-GB"/>
        </w:rPr>
        <w:t>. However, while these policies are strong in theory, there can be challenges in their implementation.</w:t>
      </w:r>
    </w:p>
    <w:p w:rsidR="0D69CBDD" w:rsidP="58A6271C" w:rsidRDefault="0D69CBDD" w14:paraId="7CC02BAA" w14:textId="7E0666E6">
      <w:pPr>
        <w:pStyle w:val="Normal"/>
        <w:spacing w:before="240" w:beforeAutospacing="off" w:after="240" w:afterAutospacing="off"/>
      </w:pPr>
      <w:r w:rsidRPr="58A6271C" w:rsidR="0D69CBDD">
        <w:rPr>
          <w:rFonts w:ascii="Aptos" w:hAnsi="Aptos" w:eastAsia="Aptos" w:cs="Aptos"/>
          <w:noProof w:val="0"/>
          <w:color w:val="000000" w:themeColor="text1" w:themeTint="FF" w:themeShade="FF"/>
          <w:sz w:val="24"/>
          <w:szCs w:val="24"/>
          <w:lang w:val="en-GB"/>
        </w:rPr>
        <w:t>The activity also reflects the Welsh context, where Welsh is often used in structured settings such as circle time. By incorporating Welsh into an interactive activity, children are given meaningful opportunities to use the language beyond passive listening, supporting language development in a practical way.</w:t>
      </w:r>
    </w:p>
    <w:p xmlns:wp14="http://schemas.microsoft.com/office/word/2010/wordml" w:rsidP="320C1BC1" wp14:paraId="27EC6D68" wp14:textId="4DF05F4D">
      <w:pPr>
        <w:pStyle w:val="Normal"/>
        <w:spacing w:before="240" w:beforeAutospacing="off" w:after="240" w:afterAutospacing="off"/>
      </w:pPr>
      <w:r w:rsidRPr="320C1BC1" w:rsidR="3D06F8ED">
        <w:rPr>
          <w:rFonts w:ascii="Aptos" w:hAnsi="Aptos" w:eastAsia="Aptos" w:cs="Aptos"/>
          <w:noProof w:val="0"/>
          <w:color w:val="000000" w:themeColor="text1" w:themeTint="FF" w:themeShade="FF"/>
          <w:sz w:val="24"/>
          <w:szCs w:val="24"/>
          <w:lang w:val="en-GB"/>
        </w:rPr>
        <w:t>Despite the many benefits associated with bilingualism, not all researchers agree on its cognitive advantages. For example, theories such as Gardner’s Multiple Intelligences have been criticised for lacking strong empirical evidence (Morgan, 2021). This raises questions about how intelligence and creativity should be defined and measured.</w:t>
      </w:r>
    </w:p>
    <w:p xmlns:wp14="http://schemas.microsoft.com/office/word/2010/wordml" w:rsidP="0F977268" wp14:paraId="7E41BEB1" wp14:textId="6001DA9B">
      <w:pPr>
        <w:spacing w:before="240" w:beforeAutospacing="off" w:after="240" w:afterAutospacing="off"/>
      </w:pPr>
      <w:r w:rsidRPr="0F977268" w:rsidR="5AEE7D06">
        <w:rPr>
          <w:rFonts w:ascii="Aptos" w:hAnsi="Aptos" w:eastAsia="Aptos" w:cs="Aptos"/>
          <w:noProof w:val="0"/>
          <w:color w:val="000000" w:themeColor="text1" w:themeTint="FF" w:themeShade="FF"/>
          <w:sz w:val="24"/>
          <w:szCs w:val="24"/>
          <w:lang w:val="en-GB"/>
        </w:rPr>
        <w:t>There is also a recognised gap between policy and practice in early years education in Wales. Stewart, MacDonald and Waters-Davies (2024) found that while teachers often support children’s rights in theory, this is not always consistently applied in practice, particularly with younger children. This highlights the importance of critically evaluating how educational policies are implemented.</w:t>
      </w:r>
    </w:p>
    <w:p xmlns:wp14="http://schemas.microsoft.com/office/word/2010/wordml" w:rsidP="320C1BC1" wp14:paraId="7DEE36FC" wp14:textId="22965841">
      <w:pPr>
        <w:spacing w:before="240" w:beforeAutospacing="off" w:after="240" w:afterAutospacing="off"/>
      </w:pPr>
      <w:r w:rsidRPr="320C1BC1" w:rsidR="3D06F8ED">
        <w:rPr>
          <w:rFonts w:ascii="Aptos" w:hAnsi="Aptos" w:eastAsia="Aptos" w:cs="Aptos"/>
          <w:noProof w:val="0"/>
          <w:color w:val="000000" w:themeColor="text1" w:themeTint="FF" w:themeShade="FF"/>
          <w:sz w:val="24"/>
          <w:szCs w:val="24"/>
          <w:lang w:val="en-GB"/>
        </w:rPr>
        <w:t xml:space="preserve">In addition, bilingual children may face challenges when learning to read in two languages. Baker, </w:t>
      </w:r>
      <w:r w:rsidRPr="320C1BC1" w:rsidR="3D06F8ED">
        <w:rPr>
          <w:rFonts w:ascii="Aptos" w:hAnsi="Aptos" w:eastAsia="Aptos" w:cs="Aptos"/>
          <w:noProof w:val="0"/>
          <w:color w:val="000000" w:themeColor="text1" w:themeTint="FF" w:themeShade="FF"/>
          <w:sz w:val="24"/>
          <w:szCs w:val="24"/>
          <w:lang w:val="en-GB"/>
        </w:rPr>
        <w:t>Park</w:t>
      </w:r>
      <w:r w:rsidRPr="320C1BC1" w:rsidR="3D06F8ED">
        <w:rPr>
          <w:rFonts w:ascii="Aptos" w:hAnsi="Aptos" w:eastAsia="Aptos" w:cs="Aptos"/>
          <w:noProof w:val="0"/>
          <w:color w:val="000000" w:themeColor="text1" w:themeTint="FF" w:themeShade="FF"/>
          <w:sz w:val="24"/>
          <w:szCs w:val="24"/>
          <w:lang w:val="en-GB"/>
        </w:rPr>
        <w:t xml:space="preserve"> and Andress (2022) explain that navigating different linguistic systems can be complex, and reading skills may develop at different rates. However, they also emphasise that skills from one language can support learning in another, </w:t>
      </w:r>
      <w:r w:rsidRPr="320C1BC1" w:rsidR="3D06F8ED">
        <w:rPr>
          <w:rFonts w:ascii="Aptos" w:hAnsi="Aptos" w:eastAsia="Aptos" w:cs="Aptos"/>
          <w:noProof w:val="0"/>
          <w:color w:val="000000" w:themeColor="text1" w:themeTint="FF" w:themeShade="FF"/>
          <w:sz w:val="24"/>
          <w:szCs w:val="24"/>
          <w:lang w:val="en-GB"/>
        </w:rPr>
        <w:t>demonstrating</w:t>
      </w:r>
      <w:r w:rsidRPr="320C1BC1" w:rsidR="3D06F8ED">
        <w:rPr>
          <w:rFonts w:ascii="Aptos" w:hAnsi="Aptos" w:eastAsia="Aptos" w:cs="Aptos"/>
          <w:noProof w:val="0"/>
          <w:color w:val="000000" w:themeColor="text1" w:themeTint="FF" w:themeShade="FF"/>
          <w:sz w:val="24"/>
          <w:szCs w:val="24"/>
          <w:lang w:val="en-GB"/>
        </w:rPr>
        <w:t xml:space="preserve"> that these challenges are often balanced by long-term benefits.</w:t>
      </w:r>
    </w:p>
    <w:p w:rsidR="5D7BA2F2" w:rsidP="320C1BC1" w:rsidRDefault="5D7BA2F2" w14:paraId="7E222132" w14:textId="792CDC03">
      <w:pPr>
        <w:pStyle w:val="Normal"/>
        <w:rPr>
          <w:rFonts w:ascii="Aptos" w:hAnsi="Aptos" w:eastAsia="Aptos" w:cs="Aptos"/>
          <w:noProof w:val="0"/>
          <w:color w:val="000000" w:themeColor="text1" w:themeTint="FF" w:themeShade="FF"/>
          <w:sz w:val="24"/>
          <w:szCs w:val="24"/>
          <w:lang w:val="en-GB"/>
        </w:rPr>
      </w:pPr>
      <w:r w:rsidRPr="320C1BC1" w:rsidR="6B7E5B66">
        <w:rPr>
          <w:rFonts w:ascii="Aptos" w:hAnsi="Aptos" w:eastAsia="Aptos" w:cs="Aptos"/>
          <w:noProof w:val="0"/>
          <w:color w:val="000000" w:themeColor="text1" w:themeTint="FF" w:themeShade="FF"/>
          <w:sz w:val="24"/>
          <w:szCs w:val="24"/>
          <w:lang w:val="en-GB"/>
        </w:rPr>
        <w:t xml:space="preserve">Overall, bilingualism supports brain development, creativity and learning, and these benefits can be clearly applied in early years practice. The planned activity </w:t>
      </w:r>
      <w:r w:rsidRPr="320C1BC1" w:rsidR="6B7E5B66">
        <w:rPr>
          <w:rFonts w:ascii="Aptos" w:hAnsi="Aptos" w:eastAsia="Aptos" w:cs="Aptos"/>
          <w:noProof w:val="0"/>
          <w:color w:val="000000" w:themeColor="text1" w:themeTint="FF" w:themeShade="FF"/>
          <w:sz w:val="24"/>
          <w:szCs w:val="24"/>
          <w:lang w:val="en-GB"/>
        </w:rPr>
        <w:t>demonstrates</w:t>
      </w:r>
      <w:r w:rsidRPr="320C1BC1" w:rsidR="6B7E5B66">
        <w:rPr>
          <w:rFonts w:ascii="Aptos" w:hAnsi="Aptos" w:eastAsia="Aptos" w:cs="Aptos"/>
          <w:noProof w:val="0"/>
          <w:color w:val="000000" w:themeColor="text1" w:themeTint="FF" w:themeShade="FF"/>
          <w:sz w:val="24"/>
          <w:szCs w:val="24"/>
          <w:lang w:val="en-GB"/>
        </w:rPr>
        <w:t xml:space="preserve"> how Welsh language learning can be embedded into play-based experiences, supporting children’s cognitive development, language </w:t>
      </w:r>
      <w:r w:rsidRPr="320C1BC1" w:rsidR="6B7E5B66">
        <w:rPr>
          <w:rFonts w:ascii="Aptos" w:hAnsi="Aptos" w:eastAsia="Aptos" w:cs="Aptos"/>
          <w:noProof w:val="0"/>
          <w:color w:val="000000" w:themeColor="text1" w:themeTint="FF" w:themeShade="FF"/>
          <w:sz w:val="24"/>
          <w:szCs w:val="24"/>
          <w:lang w:val="en-GB"/>
        </w:rPr>
        <w:t>skills</w:t>
      </w:r>
      <w:r w:rsidRPr="320C1BC1" w:rsidR="6B7E5B66">
        <w:rPr>
          <w:rFonts w:ascii="Aptos" w:hAnsi="Aptos" w:eastAsia="Aptos" w:cs="Aptos"/>
          <w:noProof w:val="0"/>
          <w:color w:val="000000" w:themeColor="text1" w:themeTint="FF" w:themeShade="FF"/>
          <w:sz w:val="24"/>
          <w:szCs w:val="24"/>
          <w:lang w:val="en-GB"/>
        </w:rPr>
        <w:t xml:space="preserve"> and creative thinking. </w:t>
      </w:r>
      <w:r w:rsidRPr="320C1BC1" w:rsidR="69A31A12">
        <w:rPr>
          <w:rFonts w:ascii="Aptos" w:hAnsi="Aptos" w:eastAsia="Aptos" w:cs="Aptos"/>
          <w:noProof w:val="0"/>
          <w:color w:val="000000" w:themeColor="text1" w:themeTint="FF" w:themeShade="FF"/>
          <w:sz w:val="24"/>
          <w:szCs w:val="24"/>
          <w:lang w:val="en-GB"/>
        </w:rPr>
        <w:t xml:space="preserve">While bilingualism offers clear benefits for brain development, </w:t>
      </w:r>
      <w:r w:rsidRPr="320C1BC1" w:rsidR="69A31A12">
        <w:rPr>
          <w:rFonts w:ascii="Aptos" w:hAnsi="Aptos" w:eastAsia="Aptos" w:cs="Aptos"/>
          <w:noProof w:val="0"/>
          <w:color w:val="000000" w:themeColor="text1" w:themeTint="FF" w:themeShade="FF"/>
          <w:sz w:val="24"/>
          <w:szCs w:val="24"/>
          <w:lang w:val="en-GB"/>
        </w:rPr>
        <w:t>creativity</w:t>
      </w:r>
      <w:r w:rsidRPr="320C1BC1" w:rsidR="69A31A12">
        <w:rPr>
          <w:rFonts w:ascii="Aptos" w:hAnsi="Aptos" w:eastAsia="Aptos" w:cs="Aptos"/>
          <w:noProof w:val="0"/>
          <w:color w:val="000000" w:themeColor="text1" w:themeTint="FF" w:themeShade="FF"/>
          <w:sz w:val="24"/>
          <w:szCs w:val="24"/>
          <w:lang w:val="en-GB"/>
        </w:rPr>
        <w:t xml:space="preserve"> and learning, these are not automatic and depend on consistent exposure, effective </w:t>
      </w:r>
      <w:r w:rsidRPr="320C1BC1" w:rsidR="69A31A12">
        <w:rPr>
          <w:rFonts w:ascii="Aptos" w:hAnsi="Aptos" w:eastAsia="Aptos" w:cs="Aptos"/>
          <w:noProof w:val="0"/>
          <w:color w:val="000000" w:themeColor="text1" w:themeTint="FF" w:themeShade="FF"/>
          <w:sz w:val="24"/>
          <w:szCs w:val="24"/>
          <w:lang w:val="en-GB"/>
        </w:rPr>
        <w:t>practice</w:t>
      </w:r>
      <w:r w:rsidRPr="320C1BC1" w:rsidR="69A31A12">
        <w:rPr>
          <w:rFonts w:ascii="Aptos" w:hAnsi="Aptos" w:eastAsia="Aptos" w:cs="Aptos"/>
          <w:noProof w:val="0"/>
          <w:color w:val="000000" w:themeColor="text1" w:themeTint="FF" w:themeShade="FF"/>
          <w:sz w:val="24"/>
          <w:szCs w:val="24"/>
          <w:lang w:val="en-GB"/>
        </w:rPr>
        <w:t xml:space="preserve"> and </w:t>
      </w:r>
      <w:r w:rsidRPr="320C1BC1" w:rsidR="69A31A12">
        <w:rPr>
          <w:rFonts w:ascii="Aptos" w:hAnsi="Aptos" w:eastAsia="Aptos" w:cs="Aptos"/>
          <w:noProof w:val="0"/>
          <w:color w:val="000000" w:themeColor="text1" w:themeTint="FF" w:themeShade="FF"/>
          <w:sz w:val="24"/>
          <w:szCs w:val="24"/>
          <w:lang w:val="en-GB"/>
        </w:rPr>
        <w:t>equitable</w:t>
      </w:r>
      <w:r w:rsidRPr="320C1BC1" w:rsidR="69A31A12">
        <w:rPr>
          <w:rFonts w:ascii="Aptos" w:hAnsi="Aptos" w:eastAsia="Aptos" w:cs="Aptos"/>
          <w:noProof w:val="0"/>
          <w:color w:val="000000" w:themeColor="text1" w:themeTint="FF" w:themeShade="FF"/>
          <w:sz w:val="24"/>
          <w:szCs w:val="24"/>
          <w:lang w:val="en-GB"/>
        </w:rPr>
        <w:t xml:space="preserve"> access to support. This highlights the need to move beyond policy intentions to ensure bilingual education is meaningfully and inclusively implemented in practice.</w:t>
      </w:r>
    </w:p>
    <w:p xmlns:wp14="http://schemas.microsoft.com/office/word/2010/wordml" w:rsidP="320C1BC1" wp14:paraId="5EF4C322" wp14:textId="15822546">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320C1BC1" wp14:paraId="22368AAB" wp14:textId="6D041883">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320C1BC1" wp14:paraId="70C50BDE" wp14:textId="203C1CF8">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320C1BC1" wp14:paraId="7E357565" wp14:textId="508A6E96">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320C1BC1" wp14:paraId="2B3EFE6E" wp14:textId="78A6359F">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320C1BC1" wp14:paraId="5F134F30" wp14:textId="5419DF72">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320C1BC1" wp14:paraId="3CE56F4A" wp14:textId="228CDA91">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320C1BC1" wp14:paraId="630419AE" wp14:textId="27BAFEAF">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320C1BC1" wp14:paraId="4FD53AAB" wp14:textId="705B1223">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320C1BC1" wp14:paraId="553802B6" wp14:textId="2260E96D">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320C1BC1" wp14:paraId="67BA0265" wp14:textId="49D29F23">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320C1BC1" wp14:paraId="61047DA6" wp14:textId="4C4E50D5">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320C1BC1" wp14:paraId="4914490F" wp14:textId="427F861A">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320C1BC1" wp14:paraId="610AA903" wp14:textId="3FE8A797">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320C1BC1" wp14:paraId="5BB85B5F" wp14:textId="3752206C">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320C1BC1" wp14:paraId="12643FE3" wp14:textId="17C74F66">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320C1BC1" wp14:paraId="7199EF26" wp14:textId="04C4415B">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320C1BC1" wp14:paraId="2D1C6FB5" wp14:textId="4D1D95EE">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320C1BC1" wp14:paraId="445A195C" wp14:textId="58F2222E">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320C1BC1" w:rsidR="171B20B4">
        <w:rPr>
          <w:rFonts w:ascii="Aptos" w:hAnsi="Aptos" w:eastAsia="Aptos" w:cs="Aptos"/>
          <w:b w:val="1"/>
          <w:bCs w:val="1"/>
          <w:noProof w:val="0"/>
          <w:color w:val="000000" w:themeColor="text1" w:themeTint="FF" w:themeShade="FF"/>
          <w:sz w:val="24"/>
          <w:szCs w:val="24"/>
          <w:lang w:val="en-GB"/>
        </w:rPr>
        <w:t>Reference list</w:t>
      </w:r>
    </w:p>
    <w:p xmlns:wp14="http://schemas.microsoft.com/office/word/2010/wordml" w:rsidP="0F977268" wp14:paraId="4148EAF3" wp14:textId="472E5C1B">
      <w:pPr>
        <w:spacing w:before="240" w:beforeAutospacing="off" w:after="240" w:afterAutospacing="off"/>
      </w:pPr>
      <w:r w:rsidRPr="320C1BC1" w:rsidR="171B20B4">
        <w:rPr>
          <w:rFonts w:ascii="Aptos" w:hAnsi="Aptos" w:eastAsia="Aptos" w:cs="Aptos"/>
          <w:noProof w:val="0"/>
          <w:color w:val="000000" w:themeColor="text1" w:themeTint="FF" w:themeShade="FF"/>
          <w:sz w:val="24"/>
          <w:szCs w:val="24"/>
          <w:lang w:val="en-GB"/>
        </w:rPr>
        <w:t xml:space="preserve">Baker, C. and Wright, W.E. (2017) </w:t>
      </w:r>
      <w:r w:rsidRPr="320C1BC1" w:rsidR="171B20B4">
        <w:rPr>
          <w:rFonts w:ascii="Aptos" w:hAnsi="Aptos" w:eastAsia="Aptos" w:cs="Aptos"/>
          <w:i w:val="1"/>
          <w:iCs w:val="1"/>
          <w:noProof w:val="0"/>
          <w:color w:val="000000" w:themeColor="text1" w:themeTint="FF" w:themeShade="FF"/>
          <w:sz w:val="24"/>
          <w:szCs w:val="24"/>
          <w:lang w:val="en-GB"/>
        </w:rPr>
        <w:t>Foundations of bilingual education and bilingualism</w:t>
      </w:r>
      <w:r w:rsidRPr="320C1BC1" w:rsidR="171B20B4">
        <w:rPr>
          <w:rFonts w:ascii="Aptos" w:hAnsi="Aptos" w:eastAsia="Aptos" w:cs="Aptos"/>
          <w:noProof w:val="0"/>
          <w:color w:val="000000" w:themeColor="text1" w:themeTint="FF" w:themeShade="FF"/>
          <w:sz w:val="24"/>
          <w:szCs w:val="24"/>
          <w:lang w:val="en-GB"/>
        </w:rPr>
        <w:t>. 6th edn. Bristol: Multilingual Matters.</w:t>
      </w:r>
    </w:p>
    <w:p xmlns:wp14="http://schemas.microsoft.com/office/word/2010/wordml" w:rsidP="0F977268" wp14:paraId="28101643" wp14:textId="290D4531">
      <w:pPr>
        <w:spacing w:before="240" w:beforeAutospacing="off" w:after="240" w:afterAutospacing="off"/>
      </w:pPr>
      <w:r w:rsidRPr="320C1BC1" w:rsidR="171B20B4">
        <w:rPr>
          <w:rFonts w:ascii="Aptos" w:hAnsi="Aptos" w:eastAsia="Aptos" w:cs="Aptos"/>
          <w:noProof w:val="0"/>
          <w:color w:val="000000" w:themeColor="text1" w:themeTint="FF" w:themeShade="FF"/>
          <w:sz w:val="24"/>
          <w:szCs w:val="24"/>
          <w:lang w:val="en-GB"/>
        </w:rPr>
        <w:t xml:space="preserve">Baker, D.L., Park, Y. and Andress, T.T. (2022) ‘Longitudinal predictors of bilingual language proficiency, decoding, and oral reading fluency on reading comprehension in Spanish and in English’, </w:t>
      </w:r>
      <w:r w:rsidRPr="320C1BC1" w:rsidR="171B20B4">
        <w:rPr>
          <w:rFonts w:ascii="Aptos" w:hAnsi="Aptos" w:eastAsia="Aptos" w:cs="Aptos"/>
          <w:i w:val="1"/>
          <w:iCs w:val="1"/>
          <w:noProof w:val="0"/>
          <w:color w:val="000000" w:themeColor="text1" w:themeTint="FF" w:themeShade="FF"/>
          <w:sz w:val="24"/>
          <w:szCs w:val="24"/>
          <w:lang w:val="en-GB"/>
        </w:rPr>
        <w:t>School Psychology Review</w:t>
      </w:r>
      <w:r w:rsidRPr="320C1BC1" w:rsidR="171B20B4">
        <w:rPr>
          <w:rFonts w:ascii="Aptos" w:hAnsi="Aptos" w:eastAsia="Aptos" w:cs="Aptos"/>
          <w:noProof w:val="0"/>
          <w:color w:val="000000" w:themeColor="text1" w:themeTint="FF" w:themeShade="FF"/>
          <w:sz w:val="24"/>
          <w:szCs w:val="24"/>
          <w:lang w:val="en-GB"/>
        </w:rPr>
        <w:t xml:space="preserve">. Available at: </w:t>
      </w:r>
      <w:hyperlink r:id="R1a3d45a22db34975">
        <w:r w:rsidRPr="320C1BC1" w:rsidR="171B20B4">
          <w:rPr>
            <w:rStyle w:val="Hyperlink"/>
            <w:rFonts w:ascii="Aptos" w:hAnsi="Aptos" w:eastAsia="Aptos" w:cs="Aptos"/>
            <w:noProof w:val="0"/>
            <w:color w:val="000000" w:themeColor="text1" w:themeTint="FF" w:themeShade="FF"/>
            <w:sz w:val="24"/>
            <w:szCs w:val="24"/>
            <w:lang w:val="en-GB"/>
          </w:rPr>
          <w:t>https://files.eric.ed.gov/fulltext/ED618408.pdf</w:t>
        </w:r>
      </w:hyperlink>
      <w:r w:rsidRPr="320C1BC1" w:rsidR="171B20B4">
        <w:rPr>
          <w:rFonts w:ascii="Aptos" w:hAnsi="Aptos" w:eastAsia="Aptos" w:cs="Aptos"/>
          <w:noProof w:val="0"/>
          <w:color w:val="000000" w:themeColor="text1" w:themeTint="FF" w:themeShade="FF"/>
          <w:sz w:val="24"/>
          <w:szCs w:val="24"/>
          <w:lang w:val="en-GB"/>
        </w:rPr>
        <w:t xml:space="preserve"> (Accessed: 13 March 2026).</w:t>
      </w:r>
    </w:p>
    <w:p xmlns:wp14="http://schemas.microsoft.com/office/word/2010/wordml" w:rsidP="0F977268" wp14:paraId="7F6F8CBE" wp14:textId="2F149675">
      <w:pPr>
        <w:spacing w:before="240" w:beforeAutospacing="off" w:after="240" w:afterAutospacing="off"/>
      </w:pPr>
      <w:r w:rsidRPr="320C1BC1" w:rsidR="171B20B4">
        <w:rPr>
          <w:rFonts w:ascii="Aptos" w:hAnsi="Aptos" w:eastAsia="Aptos" w:cs="Aptos"/>
          <w:noProof w:val="0"/>
          <w:color w:val="000000" w:themeColor="text1" w:themeTint="FF" w:themeShade="FF"/>
          <w:sz w:val="24"/>
          <w:szCs w:val="24"/>
          <w:lang w:val="en-GB"/>
        </w:rPr>
        <w:t xml:space="preserve">Bialystok, E. (2017) ‘The systematic effects of bilingualism on children’s development’, </w:t>
      </w:r>
      <w:r w:rsidRPr="320C1BC1" w:rsidR="171B20B4">
        <w:rPr>
          <w:rFonts w:ascii="Aptos" w:hAnsi="Aptos" w:eastAsia="Aptos" w:cs="Aptos"/>
          <w:i w:val="1"/>
          <w:iCs w:val="1"/>
          <w:noProof w:val="0"/>
          <w:color w:val="000000" w:themeColor="text1" w:themeTint="FF" w:themeShade="FF"/>
          <w:sz w:val="24"/>
          <w:szCs w:val="24"/>
          <w:lang w:val="en-GB"/>
        </w:rPr>
        <w:t>Developmental Science</w:t>
      </w:r>
      <w:r w:rsidRPr="320C1BC1" w:rsidR="171B20B4">
        <w:rPr>
          <w:rFonts w:ascii="Aptos" w:hAnsi="Aptos" w:eastAsia="Aptos" w:cs="Aptos"/>
          <w:noProof w:val="0"/>
          <w:color w:val="000000" w:themeColor="text1" w:themeTint="FF" w:themeShade="FF"/>
          <w:sz w:val="24"/>
          <w:szCs w:val="24"/>
          <w:lang w:val="en-GB"/>
        </w:rPr>
        <w:t xml:space="preserve">. Available at: </w:t>
      </w:r>
      <w:hyperlink r:id="R1d4a7f0113ce499e">
        <w:r w:rsidRPr="320C1BC1" w:rsidR="171B20B4">
          <w:rPr>
            <w:rStyle w:val="Hyperlink"/>
            <w:rFonts w:ascii="Aptos" w:hAnsi="Aptos" w:eastAsia="Aptos" w:cs="Aptos"/>
            <w:noProof w:val="0"/>
            <w:color w:val="000000" w:themeColor="text1" w:themeTint="FF" w:themeShade="FF"/>
            <w:sz w:val="24"/>
            <w:szCs w:val="24"/>
            <w:lang w:val="en-GB"/>
          </w:rPr>
          <w:t>https://pmc.ncbi.nlm.nih.gov/articles/PMC5214932/</w:t>
        </w:r>
      </w:hyperlink>
      <w:r w:rsidRPr="320C1BC1" w:rsidR="171B20B4">
        <w:rPr>
          <w:rFonts w:ascii="Aptos" w:hAnsi="Aptos" w:eastAsia="Aptos" w:cs="Aptos"/>
          <w:noProof w:val="0"/>
          <w:color w:val="000000" w:themeColor="text1" w:themeTint="FF" w:themeShade="FF"/>
          <w:sz w:val="24"/>
          <w:szCs w:val="24"/>
          <w:lang w:val="en-GB"/>
        </w:rPr>
        <w:t xml:space="preserve"> (Accessed: 13 March 2026).</w:t>
      </w:r>
    </w:p>
    <w:p xmlns:wp14="http://schemas.microsoft.com/office/word/2010/wordml" w:rsidP="0F977268" wp14:paraId="2D07D8B0" wp14:textId="1B2106D1">
      <w:pPr>
        <w:spacing w:before="240" w:beforeAutospacing="off" w:after="240" w:afterAutospacing="off"/>
      </w:pPr>
      <w:r w:rsidRPr="320C1BC1" w:rsidR="171B20B4">
        <w:rPr>
          <w:rFonts w:ascii="Aptos" w:hAnsi="Aptos" w:eastAsia="Aptos" w:cs="Aptos"/>
          <w:noProof w:val="0"/>
          <w:color w:val="000000" w:themeColor="text1" w:themeTint="FF" w:themeShade="FF"/>
          <w:sz w:val="24"/>
          <w:szCs w:val="24"/>
          <w:lang w:val="en-GB"/>
        </w:rPr>
        <w:t xml:space="preserve">Cummins, J. (1979) ‘Linguistic interdependence and the educational development of bilingual children’, </w:t>
      </w:r>
      <w:r w:rsidRPr="320C1BC1" w:rsidR="171B20B4">
        <w:rPr>
          <w:rFonts w:ascii="Aptos" w:hAnsi="Aptos" w:eastAsia="Aptos" w:cs="Aptos"/>
          <w:i w:val="1"/>
          <w:iCs w:val="1"/>
          <w:noProof w:val="0"/>
          <w:color w:val="000000" w:themeColor="text1" w:themeTint="FF" w:themeShade="FF"/>
          <w:sz w:val="24"/>
          <w:szCs w:val="24"/>
          <w:lang w:val="en-GB"/>
        </w:rPr>
        <w:t>Review of Educational Research</w:t>
      </w:r>
      <w:r w:rsidRPr="320C1BC1" w:rsidR="171B20B4">
        <w:rPr>
          <w:rFonts w:ascii="Aptos" w:hAnsi="Aptos" w:eastAsia="Aptos" w:cs="Aptos"/>
          <w:noProof w:val="0"/>
          <w:color w:val="000000" w:themeColor="text1" w:themeTint="FF" w:themeShade="FF"/>
          <w:sz w:val="24"/>
          <w:szCs w:val="24"/>
          <w:lang w:val="en-GB"/>
        </w:rPr>
        <w:t xml:space="preserve">, 49(2), pp. 222–251. Available at: </w:t>
      </w:r>
      <w:hyperlink r:id="Rcf5854c652a24be1">
        <w:r w:rsidRPr="320C1BC1" w:rsidR="171B20B4">
          <w:rPr>
            <w:rStyle w:val="Hyperlink"/>
            <w:rFonts w:ascii="Aptos" w:hAnsi="Aptos" w:eastAsia="Aptos" w:cs="Aptos"/>
            <w:noProof w:val="0"/>
            <w:color w:val="000000" w:themeColor="text1" w:themeTint="FF" w:themeShade="FF"/>
            <w:sz w:val="24"/>
            <w:szCs w:val="24"/>
            <w:lang w:val="en-GB"/>
          </w:rPr>
          <w:t>https://www.coli.uni-saarland.de/~masta/WS15/Cummins1979.pdf</w:t>
        </w:r>
      </w:hyperlink>
      <w:r w:rsidRPr="320C1BC1" w:rsidR="171B20B4">
        <w:rPr>
          <w:rFonts w:ascii="Aptos" w:hAnsi="Aptos" w:eastAsia="Aptos" w:cs="Aptos"/>
          <w:noProof w:val="0"/>
          <w:color w:val="000000" w:themeColor="text1" w:themeTint="FF" w:themeShade="FF"/>
          <w:sz w:val="24"/>
          <w:szCs w:val="24"/>
          <w:lang w:val="en-GB"/>
        </w:rPr>
        <w:t xml:space="preserve"> (Accessed: 13 March 2026).</w:t>
      </w:r>
    </w:p>
    <w:p xmlns:wp14="http://schemas.microsoft.com/office/word/2010/wordml" w:rsidP="0F977268" wp14:paraId="3462C2E9" wp14:textId="3ACFF391">
      <w:pPr>
        <w:spacing w:before="240" w:beforeAutospacing="off" w:after="240" w:afterAutospacing="off"/>
      </w:pPr>
      <w:r w:rsidRPr="320C1BC1" w:rsidR="171B20B4">
        <w:rPr>
          <w:rFonts w:ascii="Aptos" w:hAnsi="Aptos" w:eastAsia="Aptos" w:cs="Aptos"/>
          <w:noProof w:val="0"/>
          <w:color w:val="000000" w:themeColor="text1" w:themeTint="FF" w:themeShade="FF"/>
          <w:sz w:val="24"/>
          <w:szCs w:val="24"/>
          <w:lang w:val="en-GB"/>
        </w:rPr>
        <w:t xml:space="preserve">Finke, R.A., Ward, T.B. and Smith, S.M. (1992) </w:t>
      </w:r>
      <w:r w:rsidRPr="320C1BC1" w:rsidR="171B20B4">
        <w:rPr>
          <w:rFonts w:ascii="Aptos" w:hAnsi="Aptos" w:eastAsia="Aptos" w:cs="Aptos"/>
          <w:i w:val="1"/>
          <w:iCs w:val="1"/>
          <w:noProof w:val="0"/>
          <w:color w:val="000000" w:themeColor="text1" w:themeTint="FF" w:themeShade="FF"/>
          <w:sz w:val="24"/>
          <w:szCs w:val="24"/>
          <w:lang w:val="en-GB"/>
        </w:rPr>
        <w:t>Creative cognition: Theory, research, and applications</w:t>
      </w:r>
      <w:r w:rsidRPr="320C1BC1" w:rsidR="171B20B4">
        <w:rPr>
          <w:rFonts w:ascii="Aptos" w:hAnsi="Aptos" w:eastAsia="Aptos" w:cs="Aptos"/>
          <w:noProof w:val="0"/>
          <w:color w:val="000000" w:themeColor="text1" w:themeTint="FF" w:themeShade="FF"/>
          <w:sz w:val="24"/>
          <w:szCs w:val="24"/>
          <w:lang w:val="en-GB"/>
        </w:rPr>
        <w:t>. Cambridge, MA: MIT Press.</w:t>
      </w:r>
    </w:p>
    <w:p xmlns:wp14="http://schemas.microsoft.com/office/word/2010/wordml" w:rsidP="0F977268" wp14:paraId="6A3B546E" wp14:textId="3D7DDCB4">
      <w:pPr>
        <w:spacing w:before="240" w:beforeAutospacing="off" w:after="240" w:afterAutospacing="off"/>
      </w:pPr>
      <w:r w:rsidRPr="320C1BC1" w:rsidR="171B20B4">
        <w:rPr>
          <w:rFonts w:ascii="Aptos" w:hAnsi="Aptos" w:eastAsia="Aptos" w:cs="Aptos"/>
          <w:noProof w:val="0"/>
          <w:color w:val="000000" w:themeColor="text1" w:themeTint="FF" w:themeShade="FF"/>
          <w:sz w:val="24"/>
          <w:szCs w:val="24"/>
          <w:lang w:val="en-GB"/>
        </w:rPr>
        <w:t xml:space="preserve">Hyusein, G. and Göksun, T. (2025) ‘Thinking creatively in two languages: Effects of mental imagery vividness, foreign language proficiency and hand gestures on bilingual creativity’, </w:t>
      </w:r>
      <w:r w:rsidRPr="320C1BC1" w:rsidR="171B20B4">
        <w:rPr>
          <w:rFonts w:ascii="Aptos" w:hAnsi="Aptos" w:eastAsia="Aptos" w:cs="Aptos"/>
          <w:i w:val="1"/>
          <w:iCs w:val="1"/>
          <w:noProof w:val="0"/>
          <w:color w:val="000000" w:themeColor="text1" w:themeTint="FF" w:themeShade="FF"/>
          <w:sz w:val="24"/>
          <w:szCs w:val="24"/>
          <w:lang w:val="en-GB"/>
        </w:rPr>
        <w:t>Bilingualism: Language and Cognition</w:t>
      </w:r>
      <w:r w:rsidRPr="320C1BC1" w:rsidR="171B20B4">
        <w:rPr>
          <w:rFonts w:ascii="Aptos" w:hAnsi="Aptos" w:eastAsia="Aptos" w:cs="Aptos"/>
          <w:noProof w:val="0"/>
          <w:color w:val="000000" w:themeColor="text1" w:themeTint="FF" w:themeShade="FF"/>
          <w:sz w:val="24"/>
          <w:szCs w:val="24"/>
          <w:lang w:val="en-GB"/>
        </w:rPr>
        <w:t>.</w:t>
      </w:r>
    </w:p>
    <w:p xmlns:wp14="http://schemas.microsoft.com/office/word/2010/wordml" w:rsidP="0F977268" wp14:paraId="6015674C" wp14:textId="61602ACC">
      <w:pPr>
        <w:spacing w:before="240" w:beforeAutospacing="off" w:after="240" w:afterAutospacing="off"/>
      </w:pPr>
      <w:r w:rsidRPr="320C1BC1" w:rsidR="171B20B4">
        <w:rPr>
          <w:rFonts w:ascii="Aptos" w:hAnsi="Aptos" w:eastAsia="Aptos" w:cs="Aptos"/>
          <w:noProof w:val="0"/>
          <w:color w:val="000000" w:themeColor="text1" w:themeTint="FF" w:themeShade="FF"/>
          <w:sz w:val="24"/>
          <w:szCs w:val="24"/>
          <w:lang w:val="en-GB"/>
        </w:rPr>
        <w:t xml:space="preserve">Morgan, H. (2021) ‘Howard Gardner’s Multiple Intelligences Theory and His Ideas on Promoting Creativity’, in </w:t>
      </w:r>
      <w:r w:rsidRPr="320C1BC1" w:rsidR="171B20B4">
        <w:rPr>
          <w:rFonts w:ascii="Aptos" w:hAnsi="Aptos" w:eastAsia="Aptos" w:cs="Aptos"/>
          <w:i w:val="1"/>
          <w:iCs w:val="1"/>
          <w:noProof w:val="0"/>
          <w:color w:val="000000" w:themeColor="text1" w:themeTint="FF" w:themeShade="FF"/>
          <w:sz w:val="24"/>
          <w:szCs w:val="24"/>
          <w:lang w:val="en-GB"/>
        </w:rPr>
        <w:t>Celebrating Giants and Trailblazers in Creativity Research and Related Fields</w:t>
      </w:r>
      <w:r w:rsidRPr="320C1BC1" w:rsidR="171B20B4">
        <w:rPr>
          <w:rFonts w:ascii="Aptos" w:hAnsi="Aptos" w:eastAsia="Aptos" w:cs="Aptos"/>
          <w:noProof w:val="0"/>
          <w:color w:val="000000" w:themeColor="text1" w:themeTint="FF" w:themeShade="FF"/>
          <w:sz w:val="24"/>
          <w:szCs w:val="24"/>
          <w:lang w:val="en-GB"/>
        </w:rPr>
        <w:t>.</w:t>
      </w:r>
    </w:p>
    <w:p xmlns:wp14="http://schemas.microsoft.com/office/word/2010/wordml" w:rsidP="0F977268" wp14:paraId="1B77CC15" wp14:textId="24C3F50E">
      <w:pPr>
        <w:spacing w:before="240" w:beforeAutospacing="off" w:after="240" w:afterAutospacing="off"/>
      </w:pPr>
      <w:r w:rsidRPr="320C1BC1" w:rsidR="171B20B4">
        <w:rPr>
          <w:rFonts w:ascii="Aptos" w:hAnsi="Aptos" w:eastAsia="Aptos" w:cs="Aptos"/>
          <w:noProof w:val="0"/>
          <w:color w:val="000000" w:themeColor="text1" w:themeTint="FF" w:themeShade="FF"/>
          <w:sz w:val="24"/>
          <w:szCs w:val="24"/>
          <w:lang w:val="en-GB"/>
        </w:rPr>
        <w:t xml:space="preserve">Selleck, C. and Barakos, E. (2023) ‘A reflexive approach to researching bilingualism in Wales: language, legitimacy and positionality’, </w:t>
      </w:r>
      <w:r w:rsidRPr="320C1BC1" w:rsidR="171B20B4">
        <w:rPr>
          <w:rFonts w:ascii="Aptos" w:hAnsi="Aptos" w:eastAsia="Aptos" w:cs="Aptos"/>
          <w:i w:val="1"/>
          <w:iCs w:val="1"/>
          <w:noProof w:val="0"/>
          <w:color w:val="000000" w:themeColor="text1" w:themeTint="FF" w:themeShade="FF"/>
          <w:sz w:val="24"/>
          <w:szCs w:val="24"/>
          <w:lang w:val="en-GB"/>
        </w:rPr>
        <w:t>Journal of Multilingual and Multicultural Development</w:t>
      </w:r>
      <w:r w:rsidRPr="320C1BC1" w:rsidR="171B20B4">
        <w:rPr>
          <w:rFonts w:ascii="Aptos" w:hAnsi="Aptos" w:eastAsia="Aptos" w:cs="Aptos"/>
          <w:noProof w:val="0"/>
          <w:color w:val="000000" w:themeColor="text1" w:themeTint="FF" w:themeShade="FF"/>
          <w:sz w:val="24"/>
          <w:szCs w:val="24"/>
          <w:lang w:val="en-GB"/>
        </w:rPr>
        <w:t>.</w:t>
      </w:r>
    </w:p>
    <w:p xmlns:wp14="http://schemas.microsoft.com/office/word/2010/wordml" w:rsidP="0F977268" wp14:paraId="335E530D" wp14:textId="645C4B0A">
      <w:pPr>
        <w:spacing w:before="240" w:beforeAutospacing="off" w:after="240" w:afterAutospacing="off"/>
      </w:pPr>
      <w:r w:rsidRPr="320C1BC1" w:rsidR="171B20B4">
        <w:rPr>
          <w:rFonts w:ascii="Aptos" w:hAnsi="Aptos" w:eastAsia="Aptos" w:cs="Aptos"/>
          <w:noProof w:val="0"/>
          <w:color w:val="000000" w:themeColor="text1" w:themeTint="FF" w:themeShade="FF"/>
          <w:sz w:val="24"/>
          <w:szCs w:val="24"/>
          <w:lang w:val="en-GB"/>
        </w:rPr>
        <w:t xml:space="preserve">Siencyn, S.W. (2019) ‘Early years’ provision for young children in Wales: history, challenges, and the Welsh language’, </w:t>
      </w:r>
      <w:r w:rsidRPr="320C1BC1" w:rsidR="171B20B4">
        <w:rPr>
          <w:rFonts w:ascii="Aptos" w:hAnsi="Aptos" w:eastAsia="Aptos" w:cs="Aptos"/>
          <w:i w:val="1"/>
          <w:iCs w:val="1"/>
          <w:noProof w:val="0"/>
          <w:color w:val="000000" w:themeColor="text1" w:themeTint="FF" w:themeShade="FF"/>
          <w:sz w:val="24"/>
          <w:szCs w:val="24"/>
          <w:lang w:val="en-GB"/>
        </w:rPr>
        <w:t>TEANGA</w:t>
      </w:r>
      <w:r w:rsidRPr="320C1BC1" w:rsidR="171B20B4">
        <w:rPr>
          <w:rFonts w:ascii="Aptos" w:hAnsi="Aptos" w:eastAsia="Aptos" w:cs="Aptos"/>
          <w:noProof w:val="0"/>
          <w:color w:val="000000" w:themeColor="text1" w:themeTint="FF" w:themeShade="FF"/>
          <w:sz w:val="24"/>
          <w:szCs w:val="24"/>
          <w:lang w:val="en-GB"/>
        </w:rPr>
        <w:t>, 10, pp. 19–37.</w:t>
      </w:r>
    </w:p>
    <w:p xmlns:wp14="http://schemas.microsoft.com/office/word/2010/wordml" w:rsidP="0F977268" wp14:paraId="7365F982" wp14:textId="3FC9D0D5">
      <w:pPr>
        <w:spacing w:before="240" w:beforeAutospacing="off" w:after="240" w:afterAutospacing="off"/>
      </w:pPr>
      <w:r w:rsidRPr="320C1BC1" w:rsidR="171B20B4">
        <w:rPr>
          <w:rFonts w:ascii="Aptos" w:hAnsi="Aptos" w:eastAsia="Aptos" w:cs="Aptos"/>
          <w:noProof w:val="0"/>
          <w:color w:val="000000" w:themeColor="text1" w:themeTint="FF" w:themeShade="FF"/>
          <w:sz w:val="24"/>
          <w:szCs w:val="24"/>
          <w:lang w:val="en-GB"/>
        </w:rPr>
        <w:t xml:space="preserve">Stewart, S., MacDonald, N. and Waters-Davies, J. (2024) ‘Early Childhood Education in Wales: Policy, Promises and Practice Realities’, </w:t>
      </w:r>
      <w:r w:rsidRPr="320C1BC1" w:rsidR="171B20B4">
        <w:rPr>
          <w:rFonts w:ascii="Aptos" w:hAnsi="Aptos" w:eastAsia="Aptos" w:cs="Aptos"/>
          <w:i w:val="1"/>
          <w:iCs w:val="1"/>
          <w:noProof w:val="0"/>
          <w:color w:val="000000" w:themeColor="text1" w:themeTint="FF" w:themeShade="FF"/>
          <w:sz w:val="24"/>
          <w:szCs w:val="24"/>
          <w:lang w:val="en-GB"/>
        </w:rPr>
        <w:t>Wales Journal of Education</w:t>
      </w:r>
      <w:r w:rsidRPr="320C1BC1" w:rsidR="171B20B4">
        <w:rPr>
          <w:rFonts w:ascii="Aptos" w:hAnsi="Aptos" w:eastAsia="Aptos" w:cs="Aptos"/>
          <w:noProof w:val="0"/>
          <w:color w:val="000000" w:themeColor="text1" w:themeTint="FF" w:themeShade="FF"/>
          <w:sz w:val="24"/>
          <w:szCs w:val="24"/>
          <w:lang w:val="en-GB"/>
        </w:rPr>
        <w:t xml:space="preserve">. Available at: </w:t>
      </w:r>
      <w:hyperlink r:id="R1b627ab8c46941a4">
        <w:r w:rsidRPr="320C1BC1" w:rsidR="171B20B4">
          <w:rPr>
            <w:rStyle w:val="Hyperlink"/>
            <w:rFonts w:ascii="Aptos" w:hAnsi="Aptos" w:eastAsia="Aptos" w:cs="Aptos"/>
            <w:noProof w:val="0"/>
            <w:color w:val="000000" w:themeColor="text1" w:themeTint="FF" w:themeShade="FF"/>
            <w:sz w:val="24"/>
            <w:szCs w:val="24"/>
            <w:lang w:val="en-GB"/>
          </w:rPr>
          <w:t>https://doi.org/10.16922/wje.26.2.9</w:t>
        </w:r>
      </w:hyperlink>
    </w:p>
    <w:p xmlns:wp14="http://schemas.microsoft.com/office/word/2010/wordml" w:rsidP="0F977268" wp14:paraId="1663E69B" wp14:textId="68083F58">
      <w:pPr>
        <w:spacing w:before="240" w:beforeAutospacing="off" w:after="240" w:afterAutospacing="off"/>
      </w:pPr>
      <w:r w:rsidRPr="320C1BC1" w:rsidR="171B20B4">
        <w:rPr>
          <w:rFonts w:ascii="Aptos" w:hAnsi="Aptos" w:eastAsia="Aptos" w:cs="Aptos"/>
          <w:noProof w:val="0"/>
          <w:color w:val="000000" w:themeColor="text1" w:themeTint="FF" w:themeShade="FF"/>
          <w:sz w:val="24"/>
          <w:szCs w:val="24"/>
          <w:lang w:val="en-GB"/>
        </w:rPr>
        <w:t xml:space="preserve">Thomas, E.M. and Roberts, D.B. (2011) ‘Exploring bilinguals’ social use of language inside and out of the minority language classroom’, </w:t>
      </w:r>
      <w:r w:rsidRPr="320C1BC1" w:rsidR="171B20B4">
        <w:rPr>
          <w:rFonts w:ascii="Aptos" w:hAnsi="Aptos" w:eastAsia="Aptos" w:cs="Aptos"/>
          <w:i w:val="1"/>
          <w:iCs w:val="1"/>
          <w:noProof w:val="0"/>
          <w:color w:val="000000" w:themeColor="text1" w:themeTint="FF" w:themeShade="FF"/>
          <w:sz w:val="24"/>
          <w:szCs w:val="24"/>
          <w:lang w:val="en-GB"/>
        </w:rPr>
        <w:t>Language and Education</w:t>
      </w:r>
      <w:r w:rsidRPr="320C1BC1" w:rsidR="171B20B4">
        <w:rPr>
          <w:rFonts w:ascii="Aptos" w:hAnsi="Aptos" w:eastAsia="Aptos" w:cs="Aptos"/>
          <w:noProof w:val="0"/>
          <w:color w:val="000000" w:themeColor="text1" w:themeTint="FF" w:themeShade="FF"/>
          <w:sz w:val="24"/>
          <w:szCs w:val="24"/>
          <w:lang w:val="en-GB"/>
        </w:rPr>
        <w:t xml:space="preserve">, 25(2), pp. 89–108. Available at: </w:t>
      </w:r>
      <w:hyperlink r:id="Rd79494f4acf24fad">
        <w:r w:rsidRPr="320C1BC1" w:rsidR="171B20B4">
          <w:rPr>
            <w:rStyle w:val="Hyperlink"/>
            <w:rFonts w:ascii="Aptos" w:hAnsi="Aptos" w:eastAsia="Aptos" w:cs="Aptos"/>
            <w:noProof w:val="0"/>
            <w:color w:val="000000" w:themeColor="text1" w:themeTint="FF" w:themeShade="FF"/>
            <w:sz w:val="24"/>
            <w:szCs w:val="24"/>
            <w:lang w:val="en-GB"/>
          </w:rPr>
          <w:t>https://doi.org/10.1080/09500782.2010.544743</w:t>
        </w:r>
      </w:hyperlink>
    </w:p>
    <w:p xmlns:wp14="http://schemas.microsoft.com/office/word/2010/wordml" w:rsidP="0F977268" wp14:paraId="5EC38066" wp14:textId="30BC13D1">
      <w:pPr>
        <w:spacing w:before="240" w:beforeAutospacing="off" w:after="240" w:afterAutospacing="off"/>
      </w:pPr>
      <w:r w:rsidRPr="320C1BC1" w:rsidR="171B20B4">
        <w:rPr>
          <w:rFonts w:ascii="Aptos" w:hAnsi="Aptos" w:eastAsia="Aptos" w:cs="Aptos"/>
          <w:noProof w:val="0"/>
          <w:color w:val="000000" w:themeColor="text1" w:themeTint="FF" w:themeShade="FF"/>
          <w:sz w:val="24"/>
          <w:szCs w:val="24"/>
          <w:lang w:val="en-GB"/>
        </w:rPr>
        <w:t xml:space="preserve">van Dijk, M., </w:t>
      </w:r>
      <w:r w:rsidRPr="320C1BC1" w:rsidR="171B20B4">
        <w:rPr>
          <w:rFonts w:ascii="Aptos" w:hAnsi="Aptos" w:eastAsia="Aptos" w:cs="Aptos"/>
          <w:noProof w:val="0"/>
          <w:color w:val="000000" w:themeColor="text1" w:themeTint="FF" w:themeShade="FF"/>
          <w:sz w:val="24"/>
          <w:szCs w:val="24"/>
          <w:lang w:val="en-GB"/>
        </w:rPr>
        <w:t>Kroesbergen</w:t>
      </w:r>
      <w:r w:rsidRPr="320C1BC1" w:rsidR="171B20B4">
        <w:rPr>
          <w:rFonts w:ascii="Aptos" w:hAnsi="Aptos" w:eastAsia="Aptos" w:cs="Aptos"/>
          <w:noProof w:val="0"/>
          <w:color w:val="000000" w:themeColor="text1" w:themeTint="FF" w:themeShade="FF"/>
          <w:sz w:val="24"/>
          <w:szCs w:val="24"/>
          <w:lang w:val="en-GB"/>
        </w:rPr>
        <w:t xml:space="preserve">, E.H., Blom, E. and Leseman, P.P.M. (2019) ‘Bilingualism and creativity: Towards a situated cognition approach’, </w:t>
      </w:r>
      <w:r w:rsidRPr="320C1BC1" w:rsidR="171B20B4">
        <w:rPr>
          <w:rFonts w:ascii="Aptos" w:hAnsi="Aptos" w:eastAsia="Aptos" w:cs="Aptos"/>
          <w:i w:val="1"/>
          <w:iCs w:val="1"/>
          <w:noProof w:val="0"/>
          <w:color w:val="000000" w:themeColor="text1" w:themeTint="FF" w:themeShade="FF"/>
          <w:sz w:val="24"/>
          <w:szCs w:val="24"/>
          <w:lang w:val="en-GB"/>
        </w:rPr>
        <w:t>Journal of Creative Behavior</w:t>
      </w:r>
    </w:p>
    <w:p xmlns:wp14="http://schemas.microsoft.com/office/word/2010/wordml" w:rsidP="0F977268" wp14:paraId="425ECF06" wp14:textId="1B73769F">
      <w:pPr>
        <w:spacing w:before="240" w:beforeAutospacing="off" w:after="240" w:afterAutospacing="off"/>
      </w:pPr>
      <w:r w:rsidRPr="320C1BC1" w:rsidR="171B20B4">
        <w:rPr>
          <w:rFonts w:ascii="Aptos" w:hAnsi="Aptos" w:eastAsia="Aptos" w:cs="Aptos"/>
          <w:noProof w:val="0"/>
          <w:color w:val="000000" w:themeColor="text1" w:themeTint="FF" w:themeShade="FF"/>
          <w:sz w:val="24"/>
          <w:szCs w:val="24"/>
          <w:lang w:val="en-GB"/>
        </w:rPr>
        <w:t xml:space="preserve">Welsh Language Commissioner and Children’s Commissioner for Wales (2023) </w:t>
      </w:r>
      <w:r w:rsidRPr="320C1BC1" w:rsidR="171B20B4">
        <w:rPr>
          <w:rFonts w:ascii="Aptos" w:hAnsi="Aptos" w:eastAsia="Aptos" w:cs="Aptos"/>
          <w:i w:val="1"/>
          <w:iCs w:val="1"/>
          <w:noProof w:val="0"/>
          <w:color w:val="000000" w:themeColor="text1" w:themeTint="FF" w:themeShade="FF"/>
          <w:sz w:val="24"/>
          <w:szCs w:val="24"/>
          <w:lang w:val="en-GB"/>
        </w:rPr>
        <w:t>The Welsh Language and the Additional Learning Needs System</w:t>
      </w:r>
      <w:r w:rsidRPr="320C1BC1" w:rsidR="171B20B4">
        <w:rPr>
          <w:rFonts w:ascii="Aptos" w:hAnsi="Aptos" w:eastAsia="Aptos" w:cs="Aptos"/>
          <w:noProof w:val="0"/>
          <w:color w:val="000000" w:themeColor="text1" w:themeTint="FF" w:themeShade="FF"/>
          <w:sz w:val="24"/>
          <w:szCs w:val="24"/>
          <w:lang w:val="en-GB"/>
        </w:rPr>
        <w:t xml:space="preserve">. Available at: </w:t>
      </w:r>
      <w:hyperlink r:id="R0cae73b1316f4c6e">
        <w:r w:rsidRPr="320C1BC1" w:rsidR="171B20B4">
          <w:rPr>
            <w:rStyle w:val="Hyperlink"/>
            <w:rFonts w:ascii="Aptos" w:hAnsi="Aptos" w:eastAsia="Aptos" w:cs="Aptos"/>
            <w:noProof w:val="0"/>
            <w:color w:val="000000" w:themeColor="text1" w:themeTint="FF" w:themeShade="FF"/>
            <w:sz w:val="24"/>
            <w:szCs w:val="24"/>
            <w:lang w:val="en-GB"/>
          </w:rPr>
          <w:t>https://www.childcomwales.org.uk/wp-content/uploads/2023/06/The-Welsh-Language-and-the-Additional-Learning-Needs-System.pdf</w:t>
        </w:r>
      </w:hyperlink>
      <w:r w:rsidRPr="320C1BC1" w:rsidR="171B20B4">
        <w:rPr>
          <w:rFonts w:ascii="Aptos" w:hAnsi="Aptos" w:eastAsia="Aptos" w:cs="Aptos"/>
          <w:noProof w:val="0"/>
          <w:color w:val="000000" w:themeColor="text1" w:themeTint="FF" w:themeShade="FF"/>
          <w:sz w:val="24"/>
          <w:szCs w:val="24"/>
          <w:lang w:val="en-GB"/>
        </w:rPr>
        <w:t xml:space="preserve"> (Accessed: 5 April 2026).</w:t>
      </w:r>
    </w:p>
    <w:p xmlns:wp14="http://schemas.microsoft.com/office/word/2010/wordml" w:rsidP="0F977268" wp14:paraId="7D7085FA" wp14:textId="5E9F1736">
      <w:pPr>
        <w:spacing w:before="240" w:beforeAutospacing="off" w:after="240" w:afterAutospacing="off"/>
        <w:rPr>
          <w:rFonts w:ascii="Aptos" w:hAnsi="Aptos" w:eastAsia="Aptos" w:cs="Aptos"/>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8af38444b2d34f62"/>
      <w:footerReference w:type="default" r:id="Rd4af951938a8493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20C1BC1" w:rsidTr="320C1BC1" w14:paraId="379E279C">
      <w:trPr>
        <w:trHeight w:val="300"/>
      </w:trPr>
      <w:tc>
        <w:tcPr>
          <w:tcW w:w="3005" w:type="dxa"/>
          <w:tcMar/>
        </w:tcPr>
        <w:p w:rsidR="320C1BC1" w:rsidP="320C1BC1" w:rsidRDefault="320C1BC1" w14:paraId="5E4865A4" w14:textId="41358396">
          <w:pPr>
            <w:pStyle w:val="Header"/>
            <w:bidi w:val="0"/>
            <w:ind w:left="-115"/>
            <w:jc w:val="left"/>
          </w:pPr>
        </w:p>
      </w:tc>
      <w:tc>
        <w:tcPr>
          <w:tcW w:w="3005" w:type="dxa"/>
          <w:tcMar/>
        </w:tcPr>
        <w:p w:rsidR="320C1BC1" w:rsidP="320C1BC1" w:rsidRDefault="320C1BC1" w14:paraId="3FB1B9C2" w14:textId="25746BDA">
          <w:pPr>
            <w:pStyle w:val="Header"/>
            <w:bidi w:val="0"/>
            <w:jc w:val="center"/>
          </w:pPr>
        </w:p>
      </w:tc>
      <w:tc>
        <w:tcPr>
          <w:tcW w:w="3005" w:type="dxa"/>
          <w:tcMar/>
        </w:tcPr>
        <w:p w:rsidR="320C1BC1" w:rsidP="320C1BC1" w:rsidRDefault="320C1BC1" w14:paraId="0887B20B" w14:textId="32D09405">
          <w:pPr>
            <w:pStyle w:val="Header"/>
            <w:bidi w:val="0"/>
            <w:ind w:right="-115"/>
            <w:jc w:val="right"/>
          </w:pPr>
        </w:p>
      </w:tc>
    </w:tr>
  </w:tbl>
  <w:p w:rsidR="320C1BC1" w:rsidP="320C1BC1" w:rsidRDefault="320C1BC1" w14:paraId="07D12F7F" w14:textId="4BE518C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20C1BC1" w:rsidTr="320C1BC1" w14:paraId="63C61D53">
      <w:trPr>
        <w:trHeight w:val="300"/>
      </w:trPr>
      <w:tc>
        <w:tcPr>
          <w:tcW w:w="3005" w:type="dxa"/>
          <w:tcMar/>
        </w:tcPr>
        <w:p w:rsidR="320C1BC1" w:rsidP="320C1BC1" w:rsidRDefault="320C1BC1" w14:paraId="52E9367B" w14:textId="5A79D481">
          <w:pPr>
            <w:pStyle w:val="Header"/>
            <w:bidi w:val="0"/>
            <w:ind w:left="-115"/>
            <w:jc w:val="left"/>
          </w:pPr>
          <w:r>
            <w:fldChar w:fldCharType="begin"/>
          </w:r>
          <w:r>
            <w:instrText xml:space="preserve">PAGE</w:instrText>
          </w:r>
          <w:r>
            <w:fldChar w:fldCharType="separate"/>
          </w:r>
          <w:r>
            <w:fldChar w:fldCharType="end"/>
          </w:r>
        </w:p>
      </w:tc>
      <w:tc>
        <w:tcPr>
          <w:tcW w:w="3005" w:type="dxa"/>
          <w:tcMar/>
        </w:tcPr>
        <w:p w:rsidR="320C1BC1" w:rsidP="320C1BC1" w:rsidRDefault="320C1BC1" w14:paraId="36EC64F2" w14:textId="23AB8EE0">
          <w:pPr>
            <w:pStyle w:val="Header"/>
            <w:bidi w:val="0"/>
            <w:jc w:val="center"/>
          </w:pPr>
        </w:p>
      </w:tc>
      <w:tc>
        <w:tcPr>
          <w:tcW w:w="3005" w:type="dxa"/>
          <w:tcMar/>
        </w:tcPr>
        <w:p w:rsidR="320C1BC1" w:rsidP="320C1BC1" w:rsidRDefault="320C1BC1" w14:paraId="580422E4" w14:textId="6038C478">
          <w:pPr>
            <w:pStyle w:val="Header"/>
            <w:bidi w:val="0"/>
            <w:ind w:right="-115"/>
            <w:jc w:val="right"/>
          </w:pPr>
        </w:p>
      </w:tc>
    </w:tr>
  </w:tbl>
  <w:p w:rsidR="320C1BC1" w:rsidP="320C1BC1" w:rsidRDefault="320C1BC1" w14:paraId="5A97BD3D" w14:textId="4BD0E172">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6D9C51"/>
    <w:rsid w:val="01D287F1"/>
    <w:rsid w:val="025E7A55"/>
    <w:rsid w:val="052EB654"/>
    <w:rsid w:val="056C5D27"/>
    <w:rsid w:val="05BCE447"/>
    <w:rsid w:val="080A2652"/>
    <w:rsid w:val="0871AEE4"/>
    <w:rsid w:val="09FD5311"/>
    <w:rsid w:val="0A112597"/>
    <w:rsid w:val="0B679CD2"/>
    <w:rsid w:val="0D69CBDD"/>
    <w:rsid w:val="0EC6D2CA"/>
    <w:rsid w:val="0F977268"/>
    <w:rsid w:val="141BA10B"/>
    <w:rsid w:val="14FDB1F8"/>
    <w:rsid w:val="171B20B4"/>
    <w:rsid w:val="246D9C51"/>
    <w:rsid w:val="251C9303"/>
    <w:rsid w:val="26CFE303"/>
    <w:rsid w:val="281DA2D6"/>
    <w:rsid w:val="285966E4"/>
    <w:rsid w:val="29D300F4"/>
    <w:rsid w:val="2F6910DA"/>
    <w:rsid w:val="320C1BC1"/>
    <w:rsid w:val="34172031"/>
    <w:rsid w:val="39A6B369"/>
    <w:rsid w:val="3B487B81"/>
    <w:rsid w:val="3C7C3632"/>
    <w:rsid w:val="3CB5C82E"/>
    <w:rsid w:val="3D06F8ED"/>
    <w:rsid w:val="412EF8CD"/>
    <w:rsid w:val="4147DD12"/>
    <w:rsid w:val="417CA227"/>
    <w:rsid w:val="4347700E"/>
    <w:rsid w:val="43873F45"/>
    <w:rsid w:val="44145D89"/>
    <w:rsid w:val="44420A4E"/>
    <w:rsid w:val="454245F2"/>
    <w:rsid w:val="4669F0C5"/>
    <w:rsid w:val="46BDC004"/>
    <w:rsid w:val="48AB6ED0"/>
    <w:rsid w:val="4D0B3E72"/>
    <w:rsid w:val="4D5FD6A8"/>
    <w:rsid w:val="4EB0539E"/>
    <w:rsid w:val="4F3D4CA9"/>
    <w:rsid w:val="5221F768"/>
    <w:rsid w:val="55989639"/>
    <w:rsid w:val="58A6271C"/>
    <w:rsid w:val="59D02EF8"/>
    <w:rsid w:val="5AEE7D06"/>
    <w:rsid w:val="5C8D4F38"/>
    <w:rsid w:val="5D7BA2F2"/>
    <w:rsid w:val="5E64BC5D"/>
    <w:rsid w:val="5F05ED65"/>
    <w:rsid w:val="5F2E9460"/>
    <w:rsid w:val="61968A4B"/>
    <w:rsid w:val="64956228"/>
    <w:rsid w:val="64A038B5"/>
    <w:rsid w:val="66F94975"/>
    <w:rsid w:val="681B429C"/>
    <w:rsid w:val="69A31A12"/>
    <w:rsid w:val="6B427EA1"/>
    <w:rsid w:val="6B4A746F"/>
    <w:rsid w:val="6B7E5B66"/>
    <w:rsid w:val="6C5A03B5"/>
    <w:rsid w:val="6CAEA179"/>
    <w:rsid w:val="6E2877EA"/>
    <w:rsid w:val="6FCF8058"/>
    <w:rsid w:val="7309B0D1"/>
    <w:rsid w:val="7A62D7E9"/>
    <w:rsid w:val="7A8AA43C"/>
    <w:rsid w:val="7E46FF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D9C51"/>
  <w15:chartTrackingRefBased/>
  <w15:docId w15:val="{93732EB4-C9A3-4ECD-A5ED-49FCBF0070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F97726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F97726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0F977268"/>
    <w:rPr>
      <w:color w:val="467886"/>
      <w:u w:val="single"/>
    </w:rPr>
  </w:style>
  <w:style w:type="paragraph" w:styleId="Header">
    <w:uiPriority w:val="99"/>
    <w:name w:val="header"/>
    <w:basedOn w:val="Normal"/>
    <w:unhideWhenUsed/>
    <w:rsid w:val="320C1BC1"/>
    <w:pPr>
      <w:tabs>
        <w:tab w:val="center" w:leader="none" w:pos="4680"/>
        <w:tab w:val="right" w:leader="none" w:pos="9360"/>
      </w:tabs>
      <w:spacing w:after="0" w:line="240" w:lineRule="auto"/>
    </w:pPr>
  </w:style>
  <w:style w:type="paragraph" w:styleId="Footer">
    <w:uiPriority w:val="99"/>
    <w:name w:val="footer"/>
    <w:basedOn w:val="Normal"/>
    <w:unhideWhenUsed/>
    <w:rsid w:val="320C1BC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owtsd-my.sharepoint.com/:v:/r/personal/2513721_student_uwtsd_ac_uk/Documents/Bilingualism%20activity.mp4?csf=1&amp;web=1&amp;nav=eyJyZWZlcnJhbEluZm8iOnsicmVmZXJyYWxBcHAiOiJPbmVEcml2ZUZvckJ1c2luZXNzIiwicmVmZXJyYWxBcHBQbGF0Zm9ybSI6IldlYiIsInJlZmVycmFsTW9kZSI6InZpZXciLCJyZWZlcnJhbFZpZXciOiJNeUZpbGVzTGlua0NvcHkifX0&amp;e=hoVmiK" TargetMode="External" Id="Rc2503a797c894305" /><Relationship Type="http://schemas.openxmlformats.org/officeDocument/2006/relationships/hyperlink" Target="https://files.eric.ed.gov/fulltext/ED618408.pdf" TargetMode="External" Id="R1a3d45a22db34975" /><Relationship Type="http://schemas.openxmlformats.org/officeDocument/2006/relationships/hyperlink" Target="https://pmc.ncbi.nlm.nih.gov/articles/PMC5214932/" TargetMode="External" Id="R1d4a7f0113ce499e" /><Relationship Type="http://schemas.openxmlformats.org/officeDocument/2006/relationships/hyperlink" Target="https://www.coli.uni-saarland.de/~masta/WS15/Cummins1979.pdf" TargetMode="External" Id="Rcf5854c652a24be1" /><Relationship Type="http://schemas.openxmlformats.org/officeDocument/2006/relationships/hyperlink" Target="https://doi.org/10.16922/wje.26.2.9" TargetMode="External" Id="R1b627ab8c46941a4" /><Relationship Type="http://schemas.openxmlformats.org/officeDocument/2006/relationships/hyperlink" Target="https://doi.org/10.1080/09500782.2010.544743" TargetMode="External" Id="Rd79494f4acf24fad" /><Relationship Type="http://schemas.openxmlformats.org/officeDocument/2006/relationships/hyperlink" Target="https://www.childcomwales.org.uk/wp-content/uploads/2023/06/The-Welsh-Language-and-the-Additional-Learning-Needs-System.pdf" TargetMode="External" Id="R0cae73b1316f4c6e" /><Relationship Type="http://schemas.openxmlformats.org/officeDocument/2006/relationships/header" Target="/word/header.xml" Id="R8af38444b2d34f62" /><Relationship Type="http://schemas.openxmlformats.org/officeDocument/2006/relationships/footer" Target="/word/footer.xml" Id="Rd4af951938a8493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Angharad Kellie (2513721)</dc:creator>
  <keywords/>
  <dc:description/>
  <lastModifiedBy>Angharad Kellie (2513721)</lastModifiedBy>
  <revision>6</revision>
  <dcterms:created xsi:type="dcterms:W3CDTF">2026-03-20T16:16:46.1274247Z</dcterms:created>
  <dcterms:modified xsi:type="dcterms:W3CDTF">2026-04-05T16:08:54.8172007Z</dcterms:modified>
</coreProperties>
</file>