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61983617"/>
        <w:docPartObj>
          <w:docPartGallery w:val="Cover Pages"/>
          <w:docPartUnique/>
        </w:docPartObj>
      </w:sdtPr>
      <w:sdtEndPr>
        <w:rPr>
          <w:rFonts w:ascii="Arial Narrow" w:hAnsi="Arial Narrow"/>
          <w:b/>
          <w:bCs/>
          <w:sz w:val="28"/>
          <w:szCs w:val="28"/>
          <w:u w:val="single"/>
        </w:rPr>
      </w:sdtEndPr>
      <w:sdtContent>
        <w:p w14:paraId="4AD62FE2" w14:textId="77777777" w:rsidR="006250B1" w:rsidRDefault="006250B1">
          <w:r>
            <w:rPr>
              <w:noProof/>
            </w:rPr>
            <mc:AlternateContent>
              <mc:Choice Requires="wps">
                <w:drawing>
                  <wp:anchor distT="0" distB="0" distL="114300" distR="114300" simplePos="0" relativeHeight="251661312" behindDoc="0" locked="0" layoutInCell="1" allowOverlap="1" wp14:anchorId="3C3714CA" wp14:editId="28256266">
                    <wp:simplePos x="0" y="0"/>
                    <wp:positionH relativeFrom="page">
                      <wp:align>left</wp:align>
                    </wp:positionH>
                    <wp:positionV relativeFrom="page">
                      <wp:align>bottom</wp:align>
                    </wp:positionV>
                    <wp:extent cx="5534025" cy="2724912"/>
                    <wp:effectExtent l="0" t="0" r="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6D0C71D" w14:textId="77777777" w:rsidR="006250B1" w:rsidRDefault="006250B1">
                                    <w:pPr>
                                      <w:pStyle w:val="NoSpacing"/>
                                      <w:spacing w:after="480"/>
                                      <w:rPr>
                                        <w:i/>
                                        <w:color w:val="262626" w:themeColor="text1" w:themeTint="D9"/>
                                        <w:sz w:val="32"/>
                                        <w:szCs w:val="32"/>
                                      </w:rPr>
                                    </w:pPr>
                                    <w:r>
                                      <w:rPr>
                                        <w:i/>
                                        <w:color w:val="262626" w:themeColor="text1" w:themeTint="D9"/>
                                        <w:sz w:val="32"/>
                                        <w:szCs w:val="32"/>
                                      </w:rPr>
                                      <w:t>Llinos Price (2409062)</w:t>
                                    </w:r>
                                  </w:p>
                                </w:sdtContent>
                              </w:sdt>
                              <w:p w14:paraId="327379EE" w14:textId="77777777" w:rsidR="006250B1" w:rsidRDefault="006250B1">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 xml:space="preserve">     </w:t>
                                    </w:r>
                                  </w:sdtContent>
                                </w:sdt>
                                <w:r>
                                  <w:rPr>
                                    <w:i/>
                                    <w:color w:val="262626" w:themeColor="text1" w:themeTint="D9"/>
                                    <w:sz w:val="26"/>
                                    <w:szCs w:val="26"/>
                                  </w:rPr>
                                  <w:t>09/05/2025</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3C3714CA" id="_x0000_t202" coordsize="21600,21600" o:spt="202" path="m,l,21600r21600,l21600,xe">
                    <v:stroke joinstyle="miter"/>
                    <v:path gradientshapeok="t" o:connecttype="rect"/>
                  </v:shapetype>
                  <v:shape id="Text Box 135"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6D0C71D" w14:textId="77777777" w:rsidR="006250B1" w:rsidRDefault="006250B1">
                              <w:pPr>
                                <w:pStyle w:val="NoSpacing"/>
                                <w:spacing w:after="480"/>
                                <w:rPr>
                                  <w:i/>
                                  <w:color w:val="262626" w:themeColor="text1" w:themeTint="D9"/>
                                  <w:sz w:val="32"/>
                                  <w:szCs w:val="32"/>
                                </w:rPr>
                              </w:pPr>
                              <w:r>
                                <w:rPr>
                                  <w:i/>
                                  <w:color w:val="262626" w:themeColor="text1" w:themeTint="D9"/>
                                  <w:sz w:val="32"/>
                                  <w:szCs w:val="32"/>
                                </w:rPr>
                                <w:t>Llinos Price (2409062)</w:t>
                              </w:r>
                            </w:p>
                          </w:sdtContent>
                        </w:sdt>
                        <w:p w14:paraId="327379EE" w14:textId="77777777" w:rsidR="006250B1" w:rsidRDefault="006250B1">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 xml:space="preserve">     </w:t>
                              </w:r>
                            </w:sdtContent>
                          </w:sdt>
                          <w:r>
                            <w:rPr>
                              <w:i/>
                              <w:color w:val="262626" w:themeColor="text1" w:themeTint="D9"/>
                              <w:sz w:val="26"/>
                              <w:szCs w:val="26"/>
                            </w:rPr>
                            <w:t>09/05/2025</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3D3CB4CD" wp14:editId="5CF0FCD4">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70F69FC"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2420417C" wp14:editId="047CFE2E">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500AD647" w14:textId="77777777" w:rsidR="006250B1" w:rsidRDefault="006250B1">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 xml:space="preserve">The life course approach </w:t>
                                    </w:r>
                                  </w:p>
                                </w:sdtContent>
                              </w:sdt>
                              <w:p w14:paraId="4ACB4526" w14:textId="77777777" w:rsidR="006250B1" w:rsidRDefault="00A13493">
                                <w:pPr>
                                  <w:pStyle w:val="NoSpacing"/>
                                  <w:rPr>
                                    <w:i/>
                                    <w:color w:val="262626" w:themeColor="text1" w:themeTint="D9"/>
                                    <w:sz w:val="36"/>
                                    <w:szCs w:val="36"/>
                                  </w:rPr>
                                </w:pPr>
                                <w:r>
                                  <w:rPr>
                                    <w:color w:val="262626" w:themeColor="text1" w:themeTint="D9"/>
                                    <w:sz w:val="36"/>
                                    <w:szCs w:val="36"/>
                                  </w:rPr>
                                  <w:t>The impact of cognitive decline</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2420417C" id="Text Box 139"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500AD647" w14:textId="77777777" w:rsidR="006250B1" w:rsidRDefault="006250B1">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 xml:space="preserve">The life course approach </w:t>
                              </w:r>
                            </w:p>
                          </w:sdtContent>
                        </w:sdt>
                        <w:p w14:paraId="4ACB4526" w14:textId="77777777" w:rsidR="006250B1" w:rsidRDefault="00A13493">
                          <w:pPr>
                            <w:pStyle w:val="NoSpacing"/>
                            <w:rPr>
                              <w:i/>
                              <w:color w:val="262626" w:themeColor="text1" w:themeTint="D9"/>
                              <w:sz w:val="36"/>
                              <w:szCs w:val="36"/>
                            </w:rPr>
                          </w:pPr>
                          <w:r>
                            <w:rPr>
                              <w:color w:val="262626" w:themeColor="text1" w:themeTint="D9"/>
                              <w:sz w:val="36"/>
                              <w:szCs w:val="36"/>
                            </w:rPr>
                            <w:t>The impact of cognitive decline</w:t>
                          </w:r>
                        </w:p>
                      </w:txbxContent>
                    </v:textbox>
                    <w10:wrap anchorx="page" anchory="page"/>
                  </v:shape>
                </w:pict>
              </mc:Fallback>
            </mc:AlternateContent>
          </w:r>
        </w:p>
        <w:p w14:paraId="15F7DB6D" w14:textId="77777777" w:rsidR="006250B1" w:rsidRDefault="006250B1">
          <w:pPr>
            <w:spacing w:after="0" w:line="240" w:lineRule="auto"/>
            <w:rPr>
              <w:rFonts w:ascii="Arial Narrow" w:hAnsi="Arial Narrow"/>
              <w:b/>
              <w:bCs/>
              <w:sz w:val="28"/>
              <w:szCs w:val="28"/>
              <w:u w:val="single"/>
            </w:rPr>
          </w:pPr>
          <w:r>
            <w:rPr>
              <w:rFonts w:ascii="Arial Narrow" w:hAnsi="Arial Narrow"/>
              <w:b/>
              <w:bCs/>
              <w:sz w:val="28"/>
              <w:szCs w:val="28"/>
              <w:u w:val="single"/>
            </w:rPr>
            <w:br w:type="page"/>
          </w:r>
        </w:p>
      </w:sdtContent>
    </w:sdt>
    <w:p w14:paraId="60A9B4C5" w14:textId="77777777" w:rsidR="006250B1" w:rsidRDefault="006250B1" w:rsidP="006250B1">
      <w:pPr>
        <w:rPr>
          <w:rFonts w:ascii="Arial Narrow" w:hAnsi="Arial Narrow"/>
          <w:b/>
          <w:bCs/>
          <w:sz w:val="28"/>
          <w:szCs w:val="28"/>
          <w:u w:val="single"/>
        </w:rPr>
      </w:pPr>
      <w:r>
        <w:rPr>
          <w:rFonts w:ascii="Arial Narrow" w:hAnsi="Arial Narrow"/>
          <w:b/>
          <w:bCs/>
          <w:sz w:val="28"/>
          <w:szCs w:val="28"/>
          <w:u w:val="single"/>
        </w:rPr>
        <w:lastRenderedPageBreak/>
        <w:t>ABSTRACT</w:t>
      </w:r>
    </w:p>
    <w:p w14:paraId="6988D10A" w14:textId="77777777" w:rsidR="006250B1" w:rsidRDefault="006250B1" w:rsidP="006250B1">
      <w:pPr>
        <w:rPr>
          <w:rFonts w:ascii="Arial Narrow" w:hAnsi="Arial Narrow"/>
        </w:rPr>
      </w:pPr>
      <w:r>
        <w:rPr>
          <w:rFonts w:ascii="Arial Narrow" w:hAnsi="Arial Narrow"/>
        </w:rPr>
        <w:t xml:space="preserve">Studies of lifelong physical and mental health and wellbeing challenges suggest the need to consider the individual from a whole of life perspective, from pre-conception over time to literally the time of a person’s demise. This is because many of adulthood’s health issues and concerns emanate from early life experiences. These issues include non-communicable diseases including cancers, cardiovascular and respiratory issues, diabetes and mental health problems. Likewise, the recognised significant key stages of development along with psychological, biological and social risk factors or trajectories have </w:t>
      </w:r>
      <w:proofErr w:type="gramStart"/>
      <w:r>
        <w:rPr>
          <w:rFonts w:ascii="Arial Narrow" w:hAnsi="Arial Narrow"/>
        </w:rPr>
        <w:t>particular health</w:t>
      </w:r>
      <w:proofErr w:type="gramEnd"/>
      <w:r>
        <w:rPr>
          <w:rFonts w:ascii="Arial Narrow" w:hAnsi="Arial Narrow"/>
        </w:rPr>
        <w:t xml:space="preserve"> and wellbeing relevance to the lifespan.  Their importance is recognised by those who advocate a whole of society perspective and understanding while advocating the life-course approach to health and wellbeing concerns (World Health Organisation, (WHO), 2011). </w:t>
      </w:r>
    </w:p>
    <w:p w14:paraId="40C866EB" w14:textId="77777777" w:rsidR="006250B1" w:rsidRDefault="006250B1" w:rsidP="006250B1">
      <w:pPr>
        <w:rPr>
          <w:rFonts w:ascii="Arial Narrow" w:hAnsi="Arial Narrow"/>
        </w:rPr>
      </w:pPr>
      <w:r w:rsidRPr="00C16743">
        <w:rPr>
          <w:rFonts w:ascii="Arial Narrow" w:hAnsi="Arial Narrow"/>
        </w:rPr>
        <w:t>A</w:t>
      </w:r>
      <w:r>
        <w:rPr>
          <w:rFonts w:ascii="Arial Narrow" w:hAnsi="Arial Narrow"/>
        </w:rPr>
        <w:t>s life expectancy increases so does the possibility of living with frailty, chronic health conditions and cognitive impairment by way of dementia, - an umbrella term that covers neurological issues including Alzheimer’s and Parkinson’s disease. Although ‘ageing’ and worsening health and well-being is often regarded as a concept tied to later life and linked to higher risk factors, research suggests that a life-course approach to living healthily throughout all life stages can have a positive effect on the individual. A life-course approach can help identify perceived future risk trajectories and recommend ways of mitigating them long before ‘old age;’ indeed, research indicates mitigation begins in early childhood.</w:t>
      </w:r>
    </w:p>
    <w:p w14:paraId="632109A1" w14:textId="77777777" w:rsidR="006250B1" w:rsidRDefault="006250B1" w:rsidP="006250B1">
      <w:pPr>
        <w:rPr>
          <w:rFonts w:ascii="Arial Narrow" w:hAnsi="Arial Narrow"/>
        </w:rPr>
      </w:pPr>
      <w:r>
        <w:rPr>
          <w:rFonts w:ascii="Arial Narrow" w:hAnsi="Arial Narrow"/>
        </w:rPr>
        <w:t xml:space="preserve">This report will consider cognitive impairment, dementia and the role of intellectual stimulation as part of a life-course approach to improving and maintaining both physical and mental health and well-being. It will </w:t>
      </w:r>
      <w:proofErr w:type="spellStart"/>
      <w:proofErr w:type="gramStart"/>
      <w:r>
        <w:rPr>
          <w:rFonts w:ascii="Arial Narrow" w:hAnsi="Arial Narrow"/>
        </w:rPr>
        <w:t>conside</w:t>
      </w:r>
      <w:proofErr w:type="spellEnd"/>
      <w:r>
        <w:rPr>
          <w:rFonts w:ascii="Arial Narrow" w:hAnsi="Arial Narrow"/>
        </w:rPr>
        <w:t xml:space="preserve">  how</w:t>
      </w:r>
      <w:proofErr w:type="gramEnd"/>
      <w:r>
        <w:rPr>
          <w:rFonts w:ascii="Arial Narrow" w:hAnsi="Arial Narrow"/>
        </w:rPr>
        <w:t xml:space="preserve"> stimulating intellect and learning impacts the individual during early years and childhood, adulthood to middle age and finally how beneficial it is during later stages of life when the individual may be more susceptible to needing support from third parties. </w:t>
      </w:r>
    </w:p>
    <w:p w14:paraId="057B518A" w14:textId="77777777" w:rsidR="006250B1" w:rsidRDefault="006250B1" w:rsidP="006250B1">
      <w:pPr>
        <w:rPr>
          <w:rFonts w:ascii="Arial Narrow" w:hAnsi="Arial Narrow"/>
        </w:rPr>
      </w:pPr>
    </w:p>
    <w:p w14:paraId="66F3CBC2" w14:textId="77777777" w:rsidR="006250B1" w:rsidRDefault="006250B1" w:rsidP="006250B1">
      <w:pPr>
        <w:rPr>
          <w:rFonts w:ascii="Arial Narrow" w:hAnsi="Arial Narrow"/>
          <w:b/>
          <w:bCs/>
          <w:sz w:val="28"/>
          <w:szCs w:val="28"/>
          <w:u w:val="single"/>
        </w:rPr>
      </w:pPr>
      <w:r w:rsidRPr="006C4453">
        <w:rPr>
          <w:rFonts w:ascii="Arial Narrow" w:hAnsi="Arial Narrow"/>
          <w:b/>
          <w:bCs/>
          <w:sz w:val="28"/>
          <w:szCs w:val="28"/>
          <w:u w:val="single"/>
        </w:rPr>
        <w:t>GLOSS</w:t>
      </w:r>
      <w:r>
        <w:rPr>
          <w:rFonts w:ascii="Arial Narrow" w:hAnsi="Arial Narrow"/>
          <w:b/>
          <w:bCs/>
          <w:sz w:val="28"/>
          <w:szCs w:val="28"/>
          <w:u w:val="single"/>
        </w:rPr>
        <w:t>ARY</w:t>
      </w:r>
    </w:p>
    <w:p w14:paraId="31DCCD42" w14:textId="77777777" w:rsidR="006250B1" w:rsidRDefault="006250B1" w:rsidP="006250B1">
      <w:pPr>
        <w:rPr>
          <w:rFonts w:ascii="Arial Narrow" w:hAnsi="Arial Narrow"/>
        </w:rPr>
      </w:pPr>
      <w:r w:rsidRPr="00AA7CDE">
        <w:rPr>
          <w:rFonts w:ascii="Arial Narrow" w:hAnsi="Arial Narrow"/>
        </w:rPr>
        <w:t>D</w:t>
      </w:r>
      <w:r>
        <w:rPr>
          <w:rFonts w:ascii="Arial Narrow" w:hAnsi="Arial Narrow"/>
        </w:rPr>
        <w:t>ementia; Cognitive reserve; Risk factors; Life-course approach; Determinant; Mild cognitive impairment; Intellectual stimulation.</w:t>
      </w:r>
    </w:p>
    <w:p w14:paraId="7EBB3982" w14:textId="77777777" w:rsidR="006250B1" w:rsidRPr="00EA705F" w:rsidRDefault="006250B1" w:rsidP="006250B1">
      <w:pPr>
        <w:rPr>
          <w:rFonts w:ascii="Arial Narrow" w:hAnsi="Arial Narrow"/>
          <w:b/>
          <w:bCs/>
          <w:sz w:val="28"/>
          <w:szCs w:val="28"/>
          <w:u w:val="single"/>
        </w:rPr>
      </w:pPr>
    </w:p>
    <w:p w14:paraId="6F9A3CF0" w14:textId="77777777" w:rsidR="006250B1" w:rsidRDefault="006250B1" w:rsidP="006250B1">
      <w:pPr>
        <w:rPr>
          <w:rFonts w:ascii="Arial Narrow" w:hAnsi="Arial Narrow"/>
          <w:b/>
          <w:bCs/>
          <w:sz w:val="28"/>
          <w:szCs w:val="28"/>
          <w:u w:val="single"/>
        </w:rPr>
      </w:pPr>
      <w:r w:rsidRPr="00EA705F">
        <w:rPr>
          <w:rFonts w:ascii="Arial Narrow" w:hAnsi="Arial Narrow"/>
          <w:b/>
          <w:bCs/>
          <w:sz w:val="28"/>
          <w:szCs w:val="28"/>
          <w:u w:val="single"/>
        </w:rPr>
        <w:t>INTRODUCTION</w:t>
      </w:r>
    </w:p>
    <w:p w14:paraId="0B20C80A" w14:textId="77777777" w:rsidR="006250B1" w:rsidRDefault="006250B1" w:rsidP="006250B1">
      <w:pPr>
        <w:rPr>
          <w:rFonts w:ascii="Arial Narrow" w:hAnsi="Arial Narrow"/>
          <w:i/>
          <w:iCs/>
          <w:u w:val="single"/>
        </w:rPr>
      </w:pPr>
      <w:r w:rsidRPr="00694904">
        <w:rPr>
          <w:rFonts w:ascii="Arial Narrow" w:hAnsi="Arial Narrow"/>
        </w:rPr>
        <w:t>A</w:t>
      </w:r>
      <w:r>
        <w:rPr>
          <w:rFonts w:ascii="Arial Narrow" w:hAnsi="Arial Narrow"/>
        </w:rPr>
        <w:t xml:space="preserve"> person’s quality of life depends on their ability to function to their full personal potential relative to their physical and mental health. Cognitive </w:t>
      </w:r>
      <w:proofErr w:type="gramStart"/>
      <w:r>
        <w:rPr>
          <w:rFonts w:ascii="Arial Narrow" w:hAnsi="Arial Narrow"/>
        </w:rPr>
        <w:t>decline</w:t>
      </w:r>
      <w:proofErr w:type="gramEnd"/>
      <w:r>
        <w:rPr>
          <w:rFonts w:ascii="Arial Narrow" w:hAnsi="Arial Narrow"/>
        </w:rPr>
        <w:t xml:space="preserve"> however, presents as part of the natural ageing process but that level of decline is affected by </w:t>
      </w:r>
      <w:proofErr w:type="gramStart"/>
      <w:r>
        <w:rPr>
          <w:rFonts w:ascii="Arial Narrow" w:hAnsi="Arial Narrow"/>
        </w:rPr>
        <w:t>a number of</w:t>
      </w:r>
      <w:proofErr w:type="gramEnd"/>
      <w:r>
        <w:rPr>
          <w:rFonts w:ascii="Arial Narrow" w:hAnsi="Arial Narrow"/>
        </w:rPr>
        <w:t xml:space="preserve"> factors, some of which are intrinsic to the individual having been born with them while others labelled determinants exert external influence. These latter ones are a diverse range of social, economic and environmental factors which reflect real life (</w:t>
      </w:r>
      <w:proofErr w:type="spellStart"/>
      <w:r>
        <w:rPr>
          <w:rFonts w:ascii="Arial Narrow" w:hAnsi="Arial Narrow"/>
        </w:rPr>
        <w:t>Rashbrook</w:t>
      </w:r>
      <w:proofErr w:type="spellEnd"/>
      <w:r>
        <w:rPr>
          <w:rFonts w:ascii="Arial Narrow" w:hAnsi="Arial Narrow"/>
        </w:rPr>
        <w:t xml:space="preserve">, 2019). This is reiterated by the WHO (2024) as they state one’s health status is determined by and impacted upon by their circumstances, environment, income, relationships with family, friends and other social networks. Risk factors that emanate from these determinants do not necessarily mean severe cognitive decline will follow but research suggests that rising figures of mild </w:t>
      </w:r>
      <w:r>
        <w:rPr>
          <w:rFonts w:ascii="Arial Narrow" w:hAnsi="Arial Narrow"/>
        </w:rPr>
        <w:lastRenderedPageBreak/>
        <w:t>cognitive decline indicates this is a public health issue that needs to be addressed (Rodriguez, 2021; Cadar, 2017).</w:t>
      </w:r>
    </w:p>
    <w:p w14:paraId="03A6DD10" w14:textId="77777777" w:rsidR="006250B1" w:rsidRDefault="006250B1" w:rsidP="006250B1">
      <w:pPr>
        <w:rPr>
          <w:rFonts w:ascii="Arial Narrow" w:hAnsi="Arial Narrow"/>
          <w:i/>
          <w:iCs/>
          <w:u w:val="single"/>
        </w:rPr>
      </w:pPr>
      <w:r>
        <w:rPr>
          <w:rFonts w:ascii="Arial Narrow" w:hAnsi="Arial Narrow"/>
          <w:i/>
          <w:iCs/>
          <w:u w:val="single"/>
        </w:rPr>
        <w:t>D</w:t>
      </w:r>
      <w:r w:rsidRPr="00D16E7E">
        <w:rPr>
          <w:rFonts w:ascii="Arial Narrow" w:hAnsi="Arial Narrow"/>
          <w:i/>
          <w:iCs/>
          <w:u w:val="single"/>
        </w:rPr>
        <w:t>ementia</w:t>
      </w:r>
      <w:r>
        <w:rPr>
          <w:rFonts w:ascii="Arial Narrow" w:hAnsi="Arial Narrow"/>
          <w:i/>
          <w:iCs/>
          <w:u w:val="single"/>
        </w:rPr>
        <w:t>: a public health concern</w:t>
      </w:r>
    </w:p>
    <w:p w14:paraId="337B4F7B" w14:textId="77777777" w:rsidR="006250B1" w:rsidRDefault="006250B1" w:rsidP="006250B1">
      <w:pPr>
        <w:rPr>
          <w:rFonts w:ascii="Arial Narrow" w:hAnsi="Arial Narrow"/>
        </w:rPr>
      </w:pPr>
      <w:r>
        <w:rPr>
          <w:rFonts w:ascii="Arial Narrow" w:hAnsi="Arial Narrow"/>
        </w:rPr>
        <w:t xml:space="preserve">The number of people living with dementia is rising year on year with figures projected to reach 153 million by 2050 (GBD, 2019) and as such, it has been classified as a global public health concern. The umbrella term ‘dementia’ encompasses a range of progressive neurodegenerative diseases that will ultimately impair daily activity and function. Older research into some neurodegenerative diseases has revealed that cognitive decline or impairment can </w:t>
      </w:r>
      <w:proofErr w:type="gramStart"/>
      <w:r>
        <w:rPr>
          <w:rFonts w:ascii="Arial Narrow" w:hAnsi="Arial Narrow"/>
        </w:rPr>
        <w:t>actually begin</w:t>
      </w:r>
      <w:proofErr w:type="gramEnd"/>
      <w:r>
        <w:rPr>
          <w:rFonts w:ascii="Arial Narrow" w:hAnsi="Arial Narrow"/>
        </w:rPr>
        <w:t xml:space="preserve"> much earlier than when an actual dementia diagnosis is confirmed (Petersen, 2014). </w:t>
      </w:r>
      <w:proofErr w:type="gramStart"/>
      <w:r>
        <w:rPr>
          <w:rFonts w:ascii="Arial Narrow" w:hAnsi="Arial Narrow"/>
        </w:rPr>
        <w:t>It would appear that subtle</w:t>
      </w:r>
      <w:proofErr w:type="gramEnd"/>
      <w:r>
        <w:rPr>
          <w:rFonts w:ascii="Arial Narrow" w:hAnsi="Arial Narrow"/>
        </w:rPr>
        <w:t xml:space="preserve"> changes can begin during early midlife and those patients found to fall into this category are classified as having ‘mild cognitive impairment’- a classification extended also to elderly individuals without a full dementia diagnosis (Petersen, 2014).</w:t>
      </w:r>
    </w:p>
    <w:p w14:paraId="1CA50305" w14:textId="77777777" w:rsidR="006250B1" w:rsidRDefault="006250B1" w:rsidP="006250B1">
      <w:pPr>
        <w:rPr>
          <w:rFonts w:ascii="Arial Narrow" w:hAnsi="Arial Narrow"/>
        </w:rPr>
      </w:pPr>
      <w:r>
        <w:rPr>
          <w:rFonts w:ascii="Arial Narrow" w:hAnsi="Arial Narrow"/>
        </w:rPr>
        <w:t xml:space="preserve">While traditional dementia research studies have focused on biological aspects of cognitive impairment, more recent research studies indicate various social determinants along with lifestyle behaviour can impact on the likelihood of developing dementia (Li, Boustani &amp; French, 2023). In depth longitudinal studies of the same cohort members over </w:t>
      </w:r>
      <w:proofErr w:type="gramStart"/>
      <w:r>
        <w:rPr>
          <w:rFonts w:ascii="Arial Narrow" w:hAnsi="Arial Narrow"/>
        </w:rPr>
        <w:t>a number of</w:t>
      </w:r>
      <w:proofErr w:type="gramEnd"/>
      <w:r>
        <w:rPr>
          <w:rFonts w:ascii="Arial Narrow" w:hAnsi="Arial Narrow"/>
        </w:rPr>
        <w:t xml:space="preserve"> years have allowed research into measuring the impact of diverse risk factors and subsequently which protective practices or interventions can be put in place to help slow or prevent further impairment or decline (</w:t>
      </w:r>
      <w:proofErr w:type="spellStart"/>
      <w:r>
        <w:rPr>
          <w:rFonts w:ascii="Arial Narrow" w:hAnsi="Arial Narrow"/>
        </w:rPr>
        <w:t>Brayne</w:t>
      </w:r>
      <w:proofErr w:type="spellEnd"/>
      <w:r>
        <w:rPr>
          <w:rFonts w:ascii="Arial Narrow" w:hAnsi="Arial Narrow"/>
        </w:rPr>
        <w:t xml:space="preserve">, 2018). Interventions may encourage a healthy lifestyle through diet, exercise and social interaction during all stages of life </w:t>
      </w:r>
      <w:proofErr w:type="gramStart"/>
      <w:r>
        <w:rPr>
          <w:rFonts w:ascii="Arial Narrow" w:hAnsi="Arial Narrow"/>
        </w:rPr>
        <w:t>but in particular, during</w:t>
      </w:r>
      <w:proofErr w:type="gramEnd"/>
      <w:r>
        <w:rPr>
          <w:rFonts w:ascii="Arial Narrow" w:hAnsi="Arial Narrow"/>
        </w:rPr>
        <w:t xml:space="preserve"> the younger and mid-life years that may result in increased longevity with improved health and a lower risk of dementia (Cadar, 2017). Livingston, </w:t>
      </w:r>
      <w:r w:rsidRPr="00335FAE">
        <w:rPr>
          <w:rFonts w:ascii="Arial Narrow" w:hAnsi="Arial Narrow"/>
          <w:i/>
          <w:iCs/>
        </w:rPr>
        <w:t>et al</w:t>
      </w:r>
      <w:r>
        <w:rPr>
          <w:rFonts w:ascii="Arial Narrow" w:hAnsi="Arial Narrow"/>
          <w:i/>
          <w:iCs/>
        </w:rPr>
        <w:t xml:space="preserve"> </w:t>
      </w:r>
      <w:r w:rsidRPr="00335FAE">
        <w:rPr>
          <w:rFonts w:ascii="Arial Narrow" w:hAnsi="Arial Narrow"/>
        </w:rPr>
        <w:t>(</w:t>
      </w:r>
      <w:r>
        <w:rPr>
          <w:rFonts w:ascii="Arial Narrow" w:hAnsi="Arial Narrow"/>
        </w:rPr>
        <w:t xml:space="preserve">2024) suggest that modifying </w:t>
      </w:r>
      <w:proofErr w:type="gramStart"/>
      <w:r>
        <w:rPr>
          <w:rFonts w:ascii="Arial Narrow" w:hAnsi="Arial Narrow"/>
        </w:rPr>
        <w:t>a number of</w:t>
      </w:r>
      <w:proofErr w:type="gramEnd"/>
      <w:r>
        <w:rPr>
          <w:rFonts w:ascii="Arial Narrow" w:hAnsi="Arial Narrow"/>
        </w:rPr>
        <w:t xml:space="preserve"> perceived risk factors during the different life stages can potentially prevent 45% of dementia cases progressing. A life-course approach offers the opportunity to study the complex biological, psychological, physical and genetic interaction generated from birth through to later stages of life when other age-related conditions or diseases may originate. </w:t>
      </w:r>
    </w:p>
    <w:p w14:paraId="0171886C" w14:textId="77777777" w:rsidR="006250B1" w:rsidRPr="00152BAA" w:rsidRDefault="006250B1" w:rsidP="006250B1">
      <w:pPr>
        <w:rPr>
          <w:rFonts w:ascii="Arial Narrow" w:hAnsi="Arial Narrow"/>
          <w:i/>
          <w:iCs/>
          <w:u w:val="single"/>
        </w:rPr>
      </w:pPr>
      <w:r w:rsidRPr="00152BAA">
        <w:rPr>
          <w:rFonts w:ascii="Arial Narrow" w:hAnsi="Arial Narrow"/>
          <w:i/>
          <w:iCs/>
          <w:u w:val="single"/>
        </w:rPr>
        <w:t>The Life-Course Approach</w:t>
      </w:r>
    </w:p>
    <w:p w14:paraId="7B8B5426" w14:textId="77777777" w:rsidR="006250B1" w:rsidRPr="00051325" w:rsidRDefault="006250B1" w:rsidP="006250B1">
      <w:pPr>
        <w:rPr>
          <w:rFonts w:ascii="Arial Narrow" w:hAnsi="Arial Narrow"/>
        </w:rPr>
      </w:pPr>
      <w:r>
        <w:rPr>
          <w:rFonts w:ascii="Arial Narrow" w:hAnsi="Arial Narrow"/>
        </w:rPr>
        <w:t>Ageing has historically been considered as part of the natural life process along with its accompanying health issues. Over time attitudes have changed with emphasis on trying to stay healthy and maintain independence for longer while limiting risks and enjoying a suitable environment and social support. WHO (2020a) suggest healthy aging is based on the creation of environments and opportunities that will enable an individual to be who they want to be and to do that which they value throughout their lifetime and that the steps taken to protect their health early on will pay off eventually. This is where the life-course approach is useful in that r</w:t>
      </w:r>
      <w:r w:rsidRPr="00051325">
        <w:rPr>
          <w:rFonts w:ascii="Arial Narrow" w:hAnsi="Arial Narrow"/>
        </w:rPr>
        <w:t>e</w:t>
      </w:r>
      <w:r>
        <w:rPr>
          <w:rFonts w:ascii="Arial Narrow" w:hAnsi="Arial Narrow"/>
        </w:rPr>
        <w:t xml:space="preserve">search conducted under its auspice aids the understanding of how biological, psychological, behavioural and social factors impact on health in later life, their importance and their relevance both physically and cognitively. The life-course approach identifies the opportunity to minimise risk by use of preventive, protective interventions which will be effective during life’s transitional stages. It is a whole of society approach which may ultimately benefit the individual and those around them both directly and indirectly (van </w:t>
      </w:r>
      <w:proofErr w:type="spellStart"/>
      <w:r>
        <w:rPr>
          <w:rFonts w:ascii="Arial Narrow" w:hAnsi="Arial Narrow"/>
        </w:rPr>
        <w:t>Zwieten</w:t>
      </w:r>
      <w:proofErr w:type="spellEnd"/>
      <w:r>
        <w:rPr>
          <w:rFonts w:ascii="Arial Narrow" w:hAnsi="Arial Narrow"/>
        </w:rPr>
        <w:t xml:space="preserve">, Samtani </w:t>
      </w:r>
      <w:r w:rsidRPr="00A861BC">
        <w:rPr>
          <w:rFonts w:ascii="Arial Narrow" w:hAnsi="Arial Narrow"/>
          <w:i/>
          <w:iCs/>
        </w:rPr>
        <w:t>et al</w:t>
      </w:r>
      <w:r>
        <w:rPr>
          <w:rFonts w:ascii="Arial Narrow" w:hAnsi="Arial Narrow"/>
        </w:rPr>
        <w:t xml:space="preserve">, 2025).   </w:t>
      </w:r>
    </w:p>
    <w:p w14:paraId="2B28297F" w14:textId="77777777" w:rsidR="006250B1" w:rsidRPr="00152BAA" w:rsidRDefault="006250B1" w:rsidP="006250B1">
      <w:pPr>
        <w:tabs>
          <w:tab w:val="left" w:pos="7382"/>
        </w:tabs>
        <w:rPr>
          <w:rFonts w:ascii="Arial Narrow" w:hAnsi="Arial Narrow"/>
          <w:i/>
          <w:iCs/>
          <w:u w:val="single"/>
        </w:rPr>
      </w:pPr>
      <w:r w:rsidRPr="00152BAA">
        <w:rPr>
          <w:rFonts w:ascii="Arial Narrow" w:hAnsi="Arial Narrow"/>
          <w:i/>
          <w:iCs/>
          <w:u w:val="single"/>
        </w:rPr>
        <w:t>C</w:t>
      </w:r>
      <w:r>
        <w:rPr>
          <w:rFonts w:ascii="Arial Narrow" w:hAnsi="Arial Narrow"/>
          <w:i/>
          <w:iCs/>
          <w:u w:val="single"/>
        </w:rPr>
        <w:t>ognitive health and intellectual stimulation</w:t>
      </w:r>
    </w:p>
    <w:p w14:paraId="3ECCBD89" w14:textId="77777777" w:rsidR="006250B1" w:rsidRDefault="006250B1" w:rsidP="006250B1">
      <w:pPr>
        <w:tabs>
          <w:tab w:val="left" w:pos="7382"/>
        </w:tabs>
        <w:rPr>
          <w:rFonts w:ascii="Arial Narrow" w:hAnsi="Arial Narrow"/>
        </w:rPr>
      </w:pPr>
      <w:r w:rsidRPr="002D49B8">
        <w:rPr>
          <w:rFonts w:ascii="Arial Narrow" w:hAnsi="Arial Narrow"/>
        </w:rPr>
        <w:lastRenderedPageBreak/>
        <w:t>A</w:t>
      </w:r>
      <w:r>
        <w:rPr>
          <w:rFonts w:ascii="Arial Narrow" w:hAnsi="Arial Narrow"/>
        </w:rPr>
        <w:t xml:space="preserve">s stated above cognitive health, general health and wellbeing rely on social determinants that can be modified to lessen the degree of impact and risk. Stern (2012) discovered a phenomenon known as cognitive reserve brought about by the brain’s capability to develop a reserve of thinking ability that can cope with life’s challenges and protects the person from brain damage, ageing and disease. It reflects how one’s brain can utilise skills drawn from a lifetime of education. Further autopsy research found changes to the brain consistent with Alzheimer’s disease, but when alive, the person was symptom free; the brain had developed cognitive reserve sufficient to stave off other brain diseases (Pettigrew and Solden, 2021) and was drawn from intellectual simulation across the lifespan  as supported by longitudinal studies that support the view stimulating intellectual activities that promote good cognitive skills in later years. (Richards and Dreary, 2005). Intellectual activity and learning from early childhood, formal teaching that continues into higher educational settings, through to learning new hobbies, completing puzzles, quizzes, knitting, etc, in short, any activity that uses brain power can help sustain cognitive health (Chey &amp; Kwak, 2023). It should be noted however that the efficacy of higher </w:t>
      </w:r>
      <w:proofErr w:type="gramStart"/>
      <w:r>
        <w:rPr>
          <w:rFonts w:ascii="Arial Narrow" w:hAnsi="Arial Narrow"/>
        </w:rPr>
        <w:t>education  preventing</w:t>
      </w:r>
      <w:proofErr w:type="gramEnd"/>
      <w:r>
        <w:rPr>
          <w:rFonts w:ascii="Arial Narrow" w:hAnsi="Arial Narrow"/>
        </w:rPr>
        <w:t xml:space="preserve"> cognitive decline is disputed since the individual only gains a few years advantage (Rodriguez, Aranda </w:t>
      </w:r>
      <w:r w:rsidRPr="003306BF">
        <w:rPr>
          <w:rFonts w:ascii="Arial Narrow" w:hAnsi="Arial Narrow"/>
          <w:i/>
          <w:iCs/>
        </w:rPr>
        <w:t>et al</w:t>
      </w:r>
      <w:r>
        <w:rPr>
          <w:rFonts w:ascii="Arial Narrow" w:hAnsi="Arial Narrow"/>
        </w:rPr>
        <w:t xml:space="preserve">, 2018). The life-course approach illustrates how intellectual stimulation plays its part in working life. High mental demands in challenging roles and those positions that require a good deal of information </w:t>
      </w:r>
      <w:proofErr w:type="gramStart"/>
      <w:r>
        <w:rPr>
          <w:rFonts w:ascii="Arial Narrow" w:hAnsi="Arial Narrow"/>
        </w:rPr>
        <w:t>processing  routinely</w:t>
      </w:r>
      <w:proofErr w:type="gramEnd"/>
      <w:r>
        <w:rPr>
          <w:rFonts w:ascii="Arial Narrow" w:hAnsi="Arial Narrow"/>
        </w:rPr>
        <w:t xml:space="preserve"> result in slower cognitive decline and a lowered risk of dementia. This does not appear to be the case where manual and more mundane jobs are considered (Rodriguez, 2021).</w:t>
      </w:r>
    </w:p>
    <w:p w14:paraId="4F9006C9" w14:textId="77777777" w:rsidR="006250B1" w:rsidRDefault="006250B1" w:rsidP="006250B1">
      <w:pPr>
        <w:tabs>
          <w:tab w:val="left" w:pos="7382"/>
        </w:tabs>
        <w:rPr>
          <w:rFonts w:ascii="Arial Narrow" w:hAnsi="Arial Narrow"/>
        </w:rPr>
      </w:pPr>
      <w:r>
        <w:rPr>
          <w:rFonts w:ascii="Arial Narrow" w:hAnsi="Arial Narrow"/>
        </w:rPr>
        <w:t xml:space="preserve">Mixed research results might indicate that some may benefit from intellectual stimulation while others may not </w:t>
      </w:r>
      <w:proofErr w:type="gramStart"/>
      <w:r>
        <w:rPr>
          <w:rFonts w:ascii="Arial Narrow" w:hAnsi="Arial Narrow"/>
        </w:rPr>
        <w:t>depending</w:t>
      </w:r>
      <w:proofErr w:type="gramEnd"/>
      <w:r>
        <w:rPr>
          <w:rFonts w:ascii="Arial Narrow" w:hAnsi="Arial Narrow"/>
        </w:rPr>
        <w:t xml:space="preserve"> on life stage or social situation. Where intellectual stimulation is successful it supports the aims of the life-course approach.</w:t>
      </w:r>
    </w:p>
    <w:p w14:paraId="63613AF0" w14:textId="77777777" w:rsidR="006250B1" w:rsidRDefault="006250B1" w:rsidP="006250B1">
      <w:pPr>
        <w:tabs>
          <w:tab w:val="left" w:pos="7382"/>
        </w:tabs>
        <w:rPr>
          <w:rFonts w:ascii="Arial Narrow" w:hAnsi="Arial Narrow"/>
        </w:rPr>
      </w:pPr>
    </w:p>
    <w:p w14:paraId="241EF4F0" w14:textId="77777777" w:rsidR="006250B1" w:rsidRPr="003F6DFF" w:rsidRDefault="006250B1" w:rsidP="006250B1">
      <w:pPr>
        <w:tabs>
          <w:tab w:val="left" w:pos="7382"/>
        </w:tabs>
        <w:rPr>
          <w:rFonts w:ascii="Arial Narrow" w:hAnsi="Arial Narrow"/>
          <w:b/>
          <w:bCs/>
          <w:sz w:val="28"/>
          <w:szCs w:val="28"/>
          <w:u w:val="single"/>
        </w:rPr>
      </w:pPr>
      <w:r w:rsidRPr="003F6DFF">
        <w:rPr>
          <w:rFonts w:ascii="Arial Narrow" w:hAnsi="Arial Narrow"/>
          <w:b/>
          <w:bCs/>
          <w:sz w:val="28"/>
          <w:szCs w:val="28"/>
          <w:u w:val="single"/>
        </w:rPr>
        <w:t>C</w:t>
      </w:r>
      <w:r>
        <w:rPr>
          <w:rFonts w:ascii="Arial Narrow" w:hAnsi="Arial Narrow"/>
          <w:b/>
          <w:bCs/>
          <w:sz w:val="28"/>
          <w:szCs w:val="28"/>
          <w:u w:val="single"/>
        </w:rPr>
        <w:t>ONCLUSION</w:t>
      </w:r>
    </w:p>
    <w:p w14:paraId="52A7564E" w14:textId="77777777" w:rsidR="006250B1" w:rsidRDefault="006250B1" w:rsidP="006250B1">
      <w:pPr>
        <w:tabs>
          <w:tab w:val="left" w:pos="7382"/>
        </w:tabs>
        <w:rPr>
          <w:rFonts w:ascii="Arial Narrow" w:hAnsi="Arial Narrow"/>
        </w:rPr>
      </w:pPr>
      <w:r>
        <w:rPr>
          <w:rFonts w:ascii="Arial Narrow" w:hAnsi="Arial Narrow"/>
        </w:rPr>
        <w:t>Ageing is unavoidable and the desire to remain cognitively competent is paramount. To sustain this active prevention needs to be enacted throughout the life span, assisted by others when necessary and individually when possible. Research findings suggest intellectual stimulation as part of the life-course approach can play its part be it through education, in the workplace, at leisure or in any other social setting. Since prevention measures can strengthen resilience on a personal level as in the cases of cognitive reserve and brain management it might be advantageous to produce life-course action plans designed for the individual but financial restraints could prove prohibitive in this. A person-centred, exclusive intervention plan could offer benefits that outweigh the eventual cost of unfettered cognitive decline and dementia care.</w:t>
      </w:r>
    </w:p>
    <w:p w14:paraId="78A6D43C" w14:textId="77777777" w:rsidR="00CB110E" w:rsidRDefault="00CB110E" w:rsidP="006250B1">
      <w:pPr>
        <w:tabs>
          <w:tab w:val="left" w:pos="7382"/>
        </w:tabs>
        <w:rPr>
          <w:rFonts w:ascii="Arial Narrow" w:hAnsi="Arial Narrow"/>
        </w:rPr>
      </w:pPr>
    </w:p>
    <w:p w14:paraId="33290333" w14:textId="77777777" w:rsidR="00CB110E" w:rsidRPr="00CB110E" w:rsidRDefault="00CB110E" w:rsidP="006250B1">
      <w:pPr>
        <w:tabs>
          <w:tab w:val="left" w:pos="7382"/>
        </w:tabs>
        <w:rPr>
          <w:rFonts w:ascii="Arial Narrow" w:hAnsi="Arial Narrow"/>
          <w:b/>
          <w:bCs/>
          <w:sz w:val="28"/>
          <w:szCs w:val="28"/>
          <w:u w:val="single"/>
        </w:rPr>
      </w:pPr>
      <w:r w:rsidRPr="00CB110E">
        <w:rPr>
          <w:rFonts w:ascii="Arial Narrow" w:hAnsi="Arial Narrow"/>
          <w:b/>
          <w:bCs/>
          <w:sz w:val="28"/>
          <w:szCs w:val="28"/>
          <w:u w:val="single"/>
        </w:rPr>
        <w:t xml:space="preserve">Recommendations </w:t>
      </w:r>
    </w:p>
    <w:p w14:paraId="476C89AD" w14:textId="77777777" w:rsidR="00CB110E" w:rsidRPr="00CB110E" w:rsidRDefault="00CB110E" w:rsidP="00CB110E">
      <w:pPr>
        <w:pStyle w:val="ListParagraph"/>
        <w:numPr>
          <w:ilvl w:val="0"/>
          <w:numId w:val="1"/>
        </w:numPr>
        <w:tabs>
          <w:tab w:val="left" w:pos="7382"/>
        </w:tabs>
        <w:rPr>
          <w:rFonts w:ascii="Arial Narrow" w:hAnsi="Arial Narrow"/>
          <w:u w:val="single"/>
        </w:rPr>
      </w:pPr>
      <w:r>
        <w:rPr>
          <w:rFonts w:ascii="Arial Narrow" w:hAnsi="Arial Narrow"/>
        </w:rPr>
        <w:t xml:space="preserve">Research into early interventions in Dementia care and how it can greatly impact on a person’s cognitive decline. </w:t>
      </w:r>
    </w:p>
    <w:p w14:paraId="29EA9CFF" w14:textId="77777777" w:rsidR="00CB110E" w:rsidRPr="00A13493" w:rsidRDefault="00CB110E" w:rsidP="00CB110E">
      <w:pPr>
        <w:pStyle w:val="ListParagraph"/>
        <w:numPr>
          <w:ilvl w:val="0"/>
          <w:numId w:val="1"/>
        </w:numPr>
        <w:tabs>
          <w:tab w:val="left" w:pos="7382"/>
        </w:tabs>
        <w:rPr>
          <w:rFonts w:ascii="Arial Narrow" w:hAnsi="Arial Narrow"/>
          <w:u w:val="single"/>
        </w:rPr>
      </w:pPr>
      <w:r>
        <w:rPr>
          <w:rFonts w:ascii="Arial Narrow" w:hAnsi="Arial Narrow"/>
        </w:rPr>
        <w:t xml:space="preserve">Patients should utilise mental health charities such as ‘Alzheimer’s society’ for information and support with their diagnosis and treatment. </w:t>
      </w:r>
    </w:p>
    <w:p w14:paraId="2895B2BD" w14:textId="77777777" w:rsidR="00A13493" w:rsidRDefault="00A13493" w:rsidP="00A13493">
      <w:pPr>
        <w:tabs>
          <w:tab w:val="left" w:pos="7382"/>
        </w:tabs>
        <w:rPr>
          <w:rFonts w:ascii="Arial Narrow" w:hAnsi="Arial Narrow"/>
          <w:u w:val="single"/>
        </w:rPr>
      </w:pPr>
    </w:p>
    <w:p w14:paraId="11F6B6CF" w14:textId="77777777" w:rsidR="00A13493" w:rsidRDefault="00A13493" w:rsidP="00A13493">
      <w:pPr>
        <w:tabs>
          <w:tab w:val="left" w:pos="7382"/>
        </w:tabs>
        <w:rPr>
          <w:rFonts w:ascii="Arial Narrow" w:hAnsi="Arial Narrow"/>
          <w:b/>
          <w:bCs/>
          <w:sz w:val="32"/>
          <w:szCs w:val="32"/>
          <w:u w:val="single"/>
        </w:rPr>
      </w:pPr>
      <w:r>
        <w:rPr>
          <w:rFonts w:ascii="Arial Narrow" w:hAnsi="Arial Narrow"/>
          <w:b/>
          <w:bCs/>
          <w:sz w:val="32"/>
          <w:szCs w:val="32"/>
          <w:u w:val="single"/>
        </w:rPr>
        <w:lastRenderedPageBreak/>
        <w:t xml:space="preserve">References </w:t>
      </w:r>
    </w:p>
    <w:p w14:paraId="40CFD4E1" w14:textId="77777777" w:rsidR="00A66E00" w:rsidRPr="000D5493" w:rsidRDefault="00A66E00" w:rsidP="00A66E00">
      <w:pPr>
        <w:pStyle w:val="NormalWeb"/>
        <w:spacing w:before="0" w:beforeAutospacing="0" w:after="240" w:afterAutospacing="0" w:line="360" w:lineRule="atLeast"/>
        <w:rPr>
          <w:rFonts w:ascii="Arial" w:hAnsi="Arial" w:cs="Arial"/>
          <w:color w:val="000000"/>
        </w:rPr>
      </w:pPr>
      <w:r w:rsidRPr="000D5493">
        <w:rPr>
          <w:rFonts w:ascii="Arial" w:hAnsi="Arial" w:cs="Arial"/>
          <w:color w:val="000000"/>
        </w:rPr>
        <w:t>Cadar, D. (2017).</w:t>
      </w:r>
      <w:r w:rsidRPr="000D5493">
        <w:rPr>
          <w:rStyle w:val="apple-converted-space"/>
          <w:rFonts w:ascii="Arial" w:eastAsiaTheme="majorEastAsia" w:hAnsi="Arial" w:cs="Arial"/>
          <w:color w:val="000000"/>
        </w:rPr>
        <w:t> </w:t>
      </w:r>
      <w:r w:rsidRPr="000D5493">
        <w:rPr>
          <w:rFonts w:ascii="Arial" w:hAnsi="Arial" w:cs="Arial"/>
          <w:i/>
          <w:iCs/>
          <w:color w:val="000000"/>
        </w:rPr>
        <w:t>A Life Course Approach to Dementia Prevention</w:t>
      </w:r>
      <w:r w:rsidRPr="000D5493">
        <w:rPr>
          <w:rFonts w:ascii="Arial" w:hAnsi="Arial" w:cs="Arial"/>
          <w:color w:val="000000"/>
        </w:rPr>
        <w:t xml:space="preserve">. discovery.ucl.ac.uk. Available at: https://discovery.ucl.ac.uk/id/eprint/1558926/1/a-life-course-approach-to-dementia-prevention-6hOR.pdf </w:t>
      </w:r>
      <w:r w:rsidRPr="000D5493">
        <w:rPr>
          <w:rFonts w:ascii="Arial" w:hAnsi="Arial" w:cs="Arial"/>
          <w:color w:val="000000"/>
        </w:rPr>
        <w:t>(</w:t>
      </w:r>
      <w:r w:rsidRPr="000D5493">
        <w:rPr>
          <w:rFonts w:ascii="Arial" w:hAnsi="Arial" w:cs="Arial"/>
          <w:color w:val="000000"/>
        </w:rPr>
        <w:t>Accessed 23</w:t>
      </w:r>
      <w:r w:rsidRPr="000D5493">
        <w:rPr>
          <w:rFonts w:ascii="Arial" w:hAnsi="Arial" w:cs="Arial"/>
          <w:color w:val="000000"/>
        </w:rPr>
        <w:t>/04/</w:t>
      </w:r>
      <w:r w:rsidRPr="000D5493">
        <w:rPr>
          <w:rFonts w:ascii="Arial" w:hAnsi="Arial" w:cs="Arial"/>
          <w:color w:val="000000"/>
        </w:rPr>
        <w:t>2025</w:t>
      </w:r>
      <w:r w:rsidRPr="000D5493">
        <w:rPr>
          <w:rFonts w:ascii="Arial" w:hAnsi="Arial" w:cs="Arial"/>
          <w:color w:val="000000"/>
        </w:rPr>
        <w:t>)</w:t>
      </w:r>
      <w:r w:rsidRPr="000D5493">
        <w:rPr>
          <w:rFonts w:ascii="Arial" w:hAnsi="Arial" w:cs="Arial"/>
          <w:color w:val="000000"/>
        </w:rPr>
        <w:t>.</w:t>
      </w:r>
    </w:p>
    <w:p w14:paraId="00267FA1" w14:textId="77777777" w:rsidR="00A66E00" w:rsidRPr="000D5493" w:rsidRDefault="00A66E00" w:rsidP="00A66E00">
      <w:pPr>
        <w:pStyle w:val="NormalWeb"/>
        <w:spacing w:before="0" w:beforeAutospacing="0" w:after="240" w:afterAutospacing="0" w:line="360" w:lineRule="atLeast"/>
        <w:rPr>
          <w:rFonts w:ascii="Arial" w:hAnsi="Arial" w:cs="Arial"/>
          <w:color w:val="000000"/>
        </w:rPr>
      </w:pPr>
      <w:r w:rsidRPr="000D5493">
        <w:rPr>
          <w:rFonts w:ascii="Arial" w:hAnsi="Arial" w:cs="Arial"/>
          <w:color w:val="000000"/>
        </w:rPr>
        <w:t>Carol </w:t>
      </w:r>
      <w:proofErr w:type="spellStart"/>
      <w:r w:rsidRPr="000D5493">
        <w:rPr>
          <w:rFonts w:ascii="Arial" w:hAnsi="Arial" w:cs="Arial"/>
          <w:color w:val="000000"/>
        </w:rPr>
        <w:t>Brayne</w:t>
      </w:r>
      <w:proofErr w:type="spellEnd"/>
      <w:r w:rsidRPr="000D5493">
        <w:rPr>
          <w:rFonts w:ascii="Arial" w:hAnsi="Arial" w:cs="Arial"/>
          <w:color w:val="000000"/>
        </w:rPr>
        <w:t>: a life-course approach to prevent dementia. (2018).</w:t>
      </w:r>
      <w:r w:rsidRPr="000D5493">
        <w:rPr>
          <w:rStyle w:val="apple-converted-space"/>
          <w:rFonts w:ascii="Arial" w:eastAsiaTheme="majorEastAsia" w:hAnsi="Arial" w:cs="Arial"/>
          <w:color w:val="000000"/>
        </w:rPr>
        <w:t> </w:t>
      </w:r>
      <w:r w:rsidRPr="000D5493">
        <w:rPr>
          <w:rFonts w:ascii="Arial" w:hAnsi="Arial" w:cs="Arial"/>
          <w:i/>
          <w:iCs/>
          <w:color w:val="000000"/>
        </w:rPr>
        <w:t>Bulletin of the World Health Organization</w:t>
      </w:r>
      <w:r w:rsidRPr="000D5493">
        <w:rPr>
          <w:rFonts w:ascii="Arial" w:hAnsi="Arial" w:cs="Arial"/>
          <w:color w:val="000000"/>
        </w:rPr>
        <w:t xml:space="preserve">, 96(3), pp.153–154. </w:t>
      </w:r>
      <w:proofErr w:type="spellStart"/>
      <w:proofErr w:type="gramStart"/>
      <w:r w:rsidRPr="000D5493">
        <w:rPr>
          <w:rFonts w:ascii="Arial" w:hAnsi="Arial" w:cs="Arial"/>
          <w:color w:val="000000"/>
        </w:rPr>
        <w:t>doi:https</w:t>
      </w:r>
      <w:proofErr w:type="spellEnd"/>
      <w:r w:rsidRPr="000D5493">
        <w:rPr>
          <w:rFonts w:ascii="Arial" w:hAnsi="Arial" w:cs="Arial"/>
          <w:color w:val="000000"/>
        </w:rPr>
        <w:t>://doi.org/10.2471/blt.18.030318</w:t>
      </w:r>
      <w:proofErr w:type="gramEnd"/>
      <w:r w:rsidRPr="000D5493">
        <w:rPr>
          <w:rFonts w:ascii="Arial" w:hAnsi="Arial" w:cs="Arial"/>
          <w:color w:val="000000"/>
        </w:rPr>
        <w:t>.</w:t>
      </w:r>
      <w:r w:rsidRPr="000D5493">
        <w:rPr>
          <w:rFonts w:ascii="Arial" w:hAnsi="Arial" w:cs="Arial"/>
          <w:color w:val="000000"/>
        </w:rPr>
        <w:t xml:space="preserve"> (Accessed 23/04/2025).</w:t>
      </w:r>
    </w:p>
    <w:p w14:paraId="5FFAE654" w14:textId="77777777" w:rsidR="00A66E00" w:rsidRPr="000D5493" w:rsidRDefault="00A66E00" w:rsidP="00A66E00">
      <w:pPr>
        <w:pStyle w:val="NormalWeb"/>
        <w:spacing w:before="0" w:beforeAutospacing="0" w:after="240" w:afterAutospacing="0" w:line="360" w:lineRule="atLeast"/>
        <w:rPr>
          <w:rFonts w:ascii="Arial" w:hAnsi="Arial" w:cs="Arial"/>
          <w:color w:val="000000"/>
        </w:rPr>
      </w:pPr>
      <w:r w:rsidRPr="000D5493">
        <w:rPr>
          <w:rFonts w:ascii="Arial" w:hAnsi="Arial" w:cs="Arial"/>
          <w:color w:val="000000"/>
        </w:rPr>
        <w:t>Chey, J. and Kwak, S. (2023). The Life Course Approach to Cognitive Aging and Dementia.</w:t>
      </w:r>
      <w:r w:rsidRPr="000D5493">
        <w:rPr>
          <w:rStyle w:val="apple-converted-space"/>
          <w:rFonts w:ascii="Arial" w:eastAsiaTheme="majorEastAsia" w:hAnsi="Arial" w:cs="Arial"/>
          <w:color w:val="000000"/>
        </w:rPr>
        <w:t> </w:t>
      </w:r>
      <w:r w:rsidRPr="000D5493">
        <w:rPr>
          <w:rFonts w:ascii="Arial" w:hAnsi="Arial" w:cs="Arial"/>
          <w:i/>
          <w:iCs/>
          <w:color w:val="000000"/>
        </w:rPr>
        <w:t>Society within the Brain</w:t>
      </w:r>
      <w:r w:rsidRPr="000D5493">
        <w:rPr>
          <w:rFonts w:ascii="Arial" w:hAnsi="Arial" w:cs="Arial"/>
          <w:color w:val="000000"/>
        </w:rPr>
        <w:t xml:space="preserve">, pp.119–140. </w:t>
      </w:r>
      <w:proofErr w:type="spellStart"/>
      <w:proofErr w:type="gramStart"/>
      <w:r w:rsidRPr="000D5493">
        <w:rPr>
          <w:rFonts w:ascii="Arial" w:hAnsi="Arial" w:cs="Arial"/>
          <w:color w:val="000000"/>
        </w:rPr>
        <w:t>doi:https</w:t>
      </w:r>
      <w:proofErr w:type="spellEnd"/>
      <w:r w:rsidRPr="000D5493">
        <w:rPr>
          <w:rFonts w:ascii="Arial" w:hAnsi="Arial" w:cs="Arial"/>
          <w:color w:val="000000"/>
        </w:rPr>
        <w:t>://doi.org/10.1017/9781108974325.009</w:t>
      </w:r>
      <w:proofErr w:type="gramEnd"/>
      <w:r w:rsidRPr="000D5493">
        <w:rPr>
          <w:rFonts w:ascii="Arial" w:hAnsi="Arial" w:cs="Arial"/>
          <w:color w:val="000000"/>
        </w:rPr>
        <w:t>.</w:t>
      </w:r>
      <w:r w:rsidRPr="000D5493">
        <w:rPr>
          <w:rFonts w:ascii="Arial" w:hAnsi="Arial" w:cs="Arial"/>
          <w:color w:val="000000"/>
        </w:rPr>
        <w:t xml:space="preserve"> (Accessed 24/04/2025)</w:t>
      </w:r>
    </w:p>
    <w:p w14:paraId="3763101D" w14:textId="77777777" w:rsidR="00A66E00" w:rsidRPr="000D5493" w:rsidRDefault="00A66E00" w:rsidP="00A66E00">
      <w:pPr>
        <w:pStyle w:val="NormalWeb"/>
        <w:spacing w:before="0" w:beforeAutospacing="0" w:after="240" w:afterAutospacing="0" w:line="360" w:lineRule="atLeast"/>
        <w:rPr>
          <w:rFonts w:ascii="Arial" w:hAnsi="Arial" w:cs="Arial"/>
          <w:color w:val="000000"/>
        </w:rPr>
      </w:pPr>
      <w:r w:rsidRPr="000D5493">
        <w:rPr>
          <w:rFonts w:ascii="Arial" w:hAnsi="Arial" w:cs="Arial"/>
          <w:color w:val="000000"/>
        </w:rPr>
        <w:t>Europe, W.H.O.R.O. for (2011). Health at key stages of life: the life-course approach to public health.</w:t>
      </w:r>
      <w:r w:rsidRPr="000D5493">
        <w:rPr>
          <w:rStyle w:val="apple-converted-space"/>
          <w:rFonts w:ascii="Arial" w:eastAsiaTheme="majorEastAsia" w:hAnsi="Arial" w:cs="Arial"/>
          <w:color w:val="000000"/>
        </w:rPr>
        <w:t> </w:t>
      </w:r>
      <w:r w:rsidRPr="000D5493">
        <w:rPr>
          <w:rFonts w:ascii="Arial" w:hAnsi="Arial" w:cs="Arial"/>
          <w:i/>
          <w:iCs/>
          <w:color w:val="000000"/>
        </w:rPr>
        <w:t>iris.who.int</w:t>
      </w:r>
      <w:r w:rsidRPr="000D5493">
        <w:rPr>
          <w:rFonts w:ascii="Arial" w:hAnsi="Arial" w:cs="Arial"/>
          <w:color w:val="000000"/>
        </w:rPr>
        <w:t xml:space="preserve">. Available at: https://iris.who.int/handle/10665/349932 </w:t>
      </w:r>
      <w:r w:rsidRPr="000D5493">
        <w:rPr>
          <w:rFonts w:ascii="Arial" w:hAnsi="Arial" w:cs="Arial"/>
          <w:color w:val="000000"/>
        </w:rPr>
        <w:t>(</w:t>
      </w:r>
      <w:r w:rsidRPr="000D5493">
        <w:rPr>
          <w:rFonts w:ascii="Arial" w:hAnsi="Arial" w:cs="Arial"/>
          <w:color w:val="000000"/>
        </w:rPr>
        <w:t>Accessed 29</w:t>
      </w:r>
      <w:r w:rsidRPr="000D5493">
        <w:rPr>
          <w:rFonts w:ascii="Arial" w:hAnsi="Arial" w:cs="Arial"/>
          <w:color w:val="000000"/>
        </w:rPr>
        <w:t>/04/</w:t>
      </w:r>
      <w:r w:rsidRPr="000D5493">
        <w:rPr>
          <w:rFonts w:ascii="Arial" w:hAnsi="Arial" w:cs="Arial"/>
          <w:color w:val="000000"/>
        </w:rPr>
        <w:t>2025</w:t>
      </w:r>
      <w:r w:rsidRPr="000D5493">
        <w:rPr>
          <w:rFonts w:ascii="Arial" w:hAnsi="Arial" w:cs="Arial"/>
          <w:color w:val="000000"/>
        </w:rPr>
        <w:t>)</w:t>
      </w:r>
      <w:r w:rsidRPr="000D5493">
        <w:rPr>
          <w:rFonts w:ascii="Arial" w:hAnsi="Arial" w:cs="Arial"/>
          <w:color w:val="000000"/>
        </w:rPr>
        <w:t>.</w:t>
      </w:r>
    </w:p>
    <w:p w14:paraId="6E6E0A77" w14:textId="77777777" w:rsidR="00A66E00" w:rsidRPr="000D5493" w:rsidRDefault="00A66E00" w:rsidP="00A66E00">
      <w:pPr>
        <w:pStyle w:val="NormalWeb"/>
        <w:spacing w:before="0" w:beforeAutospacing="0" w:after="240" w:afterAutospacing="0" w:line="360" w:lineRule="atLeast"/>
        <w:rPr>
          <w:rFonts w:ascii="Arial" w:hAnsi="Arial" w:cs="Arial"/>
          <w:color w:val="000000"/>
        </w:rPr>
      </w:pPr>
      <w:r w:rsidRPr="000D5493">
        <w:rPr>
          <w:rFonts w:ascii="Arial" w:hAnsi="Arial" w:cs="Arial"/>
          <w:color w:val="000000"/>
        </w:rPr>
        <w:t>GBD 2019 Dementia Forecasting Collaborators (2022). Estimation of the Global Prevalence of Dementia in 2019 and Forecasted Prevalence in 2050: an Analysis for the Global Burden of Disease Study 2019.</w:t>
      </w:r>
      <w:r w:rsidRPr="000D5493">
        <w:rPr>
          <w:rStyle w:val="apple-converted-space"/>
          <w:rFonts w:ascii="Arial" w:eastAsiaTheme="majorEastAsia" w:hAnsi="Arial" w:cs="Arial"/>
          <w:color w:val="000000"/>
        </w:rPr>
        <w:t> </w:t>
      </w:r>
      <w:r w:rsidRPr="000D5493">
        <w:rPr>
          <w:rFonts w:ascii="Arial" w:hAnsi="Arial" w:cs="Arial"/>
          <w:i/>
          <w:iCs/>
          <w:color w:val="000000"/>
        </w:rPr>
        <w:t>The Lancet Public Health</w:t>
      </w:r>
      <w:r w:rsidRPr="000D5493">
        <w:rPr>
          <w:rFonts w:ascii="Arial" w:hAnsi="Arial" w:cs="Arial"/>
          <w:color w:val="000000"/>
        </w:rPr>
        <w:t xml:space="preserve">, 7(2). </w:t>
      </w:r>
      <w:proofErr w:type="spellStart"/>
      <w:proofErr w:type="gramStart"/>
      <w:r w:rsidRPr="000D5493">
        <w:rPr>
          <w:rFonts w:ascii="Arial" w:hAnsi="Arial" w:cs="Arial"/>
          <w:color w:val="000000"/>
        </w:rPr>
        <w:t>doi:https</w:t>
      </w:r>
      <w:proofErr w:type="spellEnd"/>
      <w:r w:rsidRPr="000D5493">
        <w:rPr>
          <w:rFonts w:ascii="Arial" w:hAnsi="Arial" w:cs="Arial"/>
          <w:color w:val="000000"/>
        </w:rPr>
        <w:t>://doi.org/10.1016/s2468-2667(21)00249-8</w:t>
      </w:r>
      <w:proofErr w:type="gramEnd"/>
      <w:r w:rsidRPr="000D5493">
        <w:rPr>
          <w:rFonts w:ascii="Arial" w:hAnsi="Arial" w:cs="Arial"/>
          <w:color w:val="000000"/>
        </w:rPr>
        <w:t>.</w:t>
      </w:r>
      <w:r w:rsidRPr="000D5493">
        <w:rPr>
          <w:rFonts w:ascii="Arial" w:hAnsi="Arial" w:cs="Arial"/>
          <w:color w:val="000000"/>
        </w:rPr>
        <w:t xml:space="preserve"> (Accessed 01/05/2025).</w:t>
      </w:r>
    </w:p>
    <w:p w14:paraId="0E946095" w14:textId="77777777" w:rsidR="00A66E00" w:rsidRPr="000D5493" w:rsidRDefault="00A66E00" w:rsidP="00A66E00">
      <w:pPr>
        <w:pStyle w:val="NormalWeb"/>
        <w:spacing w:before="0" w:beforeAutospacing="0" w:after="240" w:afterAutospacing="0" w:line="360" w:lineRule="atLeast"/>
        <w:rPr>
          <w:rFonts w:ascii="Arial" w:hAnsi="Arial" w:cs="Arial"/>
          <w:color w:val="000000"/>
        </w:rPr>
      </w:pPr>
      <w:r w:rsidRPr="000D5493">
        <w:rPr>
          <w:rFonts w:ascii="Arial" w:hAnsi="Arial" w:cs="Arial"/>
          <w:color w:val="000000"/>
        </w:rPr>
        <w:t>Li, J.M., Boustani, M.A. and French, D.D. (2023). Social Determinants of Health in Community-Dwelling Dementia Patients Aged 65 and Over: Analysis of the 2019 National Health Interview Survey.</w:t>
      </w:r>
      <w:r w:rsidRPr="000D5493">
        <w:rPr>
          <w:rStyle w:val="apple-converted-space"/>
          <w:rFonts w:ascii="Arial" w:eastAsiaTheme="majorEastAsia" w:hAnsi="Arial" w:cs="Arial"/>
          <w:color w:val="000000"/>
        </w:rPr>
        <w:t> </w:t>
      </w:r>
      <w:r w:rsidRPr="000D5493">
        <w:rPr>
          <w:rFonts w:ascii="Arial" w:hAnsi="Arial" w:cs="Arial"/>
          <w:i/>
          <w:iCs/>
          <w:color w:val="000000"/>
        </w:rPr>
        <w:t>Gerontology and Geriatric Medicine</w:t>
      </w:r>
      <w:r w:rsidRPr="000D5493">
        <w:rPr>
          <w:rFonts w:ascii="Arial" w:hAnsi="Arial" w:cs="Arial"/>
          <w:color w:val="000000"/>
        </w:rPr>
        <w:t xml:space="preserve">, 9, p.23337214231190244. </w:t>
      </w:r>
      <w:proofErr w:type="spellStart"/>
      <w:proofErr w:type="gramStart"/>
      <w:r w:rsidRPr="000D5493">
        <w:rPr>
          <w:rFonts w:ascii="Arial" w:hAnsi="Arial" w:cs="Arial"/>
          <w:color w:val="000000"/>
        </w:rPr>
        <w:t>doi:https</w:t>
      </w:r>
      <w:proofErr w:type="spellEnd"/>
      <w:r w:rsidRPr="000D5493">
        <w:rPr>
          <w:rFonts w:ascii="Arial" w:hAnsi="Arial" w:cs="Arial"/>
          <w:color w:val="000000"/>
        </w:rPr>
        <w:t>://doi.org/10.1177/23337214231190244</w:t>
      </w:r>
      <w:proofErr w:type="gramEnd"/>
      <w:r w:rsidRPr="000D5493">
        <w:rPr>
          <w:rFonts w:ascii="Arial" w:hAnsi="Arial" w:cs="Arial"/>
          <w:color w:val="000000"/>
        </w:rPr>
        <w:t>.</w:t>
      </w:r>
      <w:r w:rsidRPr="000D5493">
        <w:rPr>
          <w:rFonts w:ascii="Arial" w:hAnsi="Arial" w:cs="Arial"/>
          <w:color w:val="000000"/>
        </w:rPr>
        <w:t xml:space="preserve"> (Accessed 02/05/2025).</w:t>
      </w:r>
    </w:p>
    <w:p w14:paraId="6D49F670" w14:textId="77777777" w:rsidR="00A66E00" w:rsidRPr="000D5493" w:rsidRDefault="00A66E00" w:rsidP="00A66E00">
      <w:pPr>
        <w:pStyle w:val="NormalWeb"/>
        <w:spacing w:before="0" w:beforeAutospacing="0" w:after="240" w:afterAutospacing="0" w:line="360" w:lineRule="atLeast"/>
        <w:rPr>
          <w:rFonts w:ascii="Arial" w:hAnsi="Arial" w:cs="Arial"/>
          <w:color w:val="000000"/>
        </w:rPr>
      </w:pPr>
      <w:r w:rsidRPr="000D5493">
        <w:rPr>
          <w:rFonts w:ascii="Arial" w:hAnsi="Arial" w:cs="Arial"/>
          <w:color w:val="000000"/>
        </w:rPr>
        <w:t xml:space="preserve">Livingston, G., Huntley, J., Liu, K.Y., </w:t>
      </w:r>
      <w:proofErr w:type="spellStart"/>
      <w:r w:rsidRPr="000D5493">
        <w:rPr>
          <w:rFonts w:ascii="Arial" w:hAnsi="Arial" w:cs="Arial"/>
          <w:color w:val="000000"/>
        </w:rPr>
        <w:t>Costafreda</w:t>
      </w:r>
      <w:proofErr w:type="spellEnd"/>
      <w:r w:rsidRPr="000D5493">
        <w:rPr>
          <w:rFonts w:ascii="Arial" w:hAnsi="Arial" w:cs="Arial"/>
          <w:color w:val="000000"/>
        </w:rPr>
        <w:t xml:space="preserve">, S.G., </w:t>
      </w:r>
      <w:proofErr w:type="spellStart"/>
      <w:r w:rsidRPr="000D5493">
        <w:rPr>
          <w:rFonts w:ascii="Arial" w:hAnsi="Arial" w:cs="Arial"/>
          <w:color w:val="000000"/>
        </w:rPr>
        <w:t>Selbæk</w:t>
      </w:r>
      <w:proofErr w:type="spellEnd"/>
      <w:r w:rsidRPr="000D5493">
        <w:rPr>
          <w:rFonts w:ascii="Arial" w:hAnsi="Arial" w:cs="Arial"/>
          <w:color w:val="000000"/>
        </w:rPr>
        <w:t xml:space="preserve">, G., Alladi, S., Ames, D., Banerjee, S., Burns, A., </w:t>
      </w:r>
      <w:proofErr w:type="spellStart"/>
      <w:r w:rsidRPr="000D5493">
        <w:rPr>
          <w:rFonts w:ascii="Arial" w:hAnsi="Arial" w:cs="Arial"/>
          <w:color w:val="000000"/>
        </w:rPr>
        <w:t>Brayne</w:t>
      </w:r>
      <w:proofErr w:type="spellEnd"/>
      <w:r w:rsidRPr="000D5493">
        <w:rPr>
          <w:rFonts w:ascii="Arial" w:hAnsi="Arial" w:cs="Arial"/>
          <w:color w:val="000000"/>
        </w:rPr>
        <w:t xml:space="preserve">, C., Fox, N.C., Ferri, C.P., Gitlin, L.N., Howard, R., Kales, H.C., Kivimäki, M., Larson, E.B., </w:t>
      </w:r>
      <w:proofErr w:type="spellStart"/>
      <w:r w:rsidRPr="000D5493">
        <w:rPr>
          <w:rFonts w:ascii="Arial" w:hAnsi="Arial" w:cs="Arial"/>
          <w:color w:val="000000"/>
        </w:rPr>
        <w:t>Nakasujja</w:t>
      </w:r>
      <w:proofErr w:type="spellEnd"/>
      <w:r w:rsidRPr="000D5493">
        <w:rPr>
          <w:rFonts w:ascii="Arial" w:hAnsi="Arial" w:cs="Arial"/>
          <w:color w:val="000000"/>
        </w:rPr>
        <w:t>, N., Rockwood, K. and Samus, Q. (2024). Dementia prevention, intervention, and care: 2024 report of the Lancet standing Commission.</w:t>
      </w:r>
      <w:r w:rsidRPr="000D5493">
        <w:rPr>
          <w:rStyle w:val="apple-converted-space"/>
          <w:rFonts w:ascii="Arial" w:eastAsiaTheme="majorEastAsia" w:hAnsi="Arial" w:cs="Arial"/>
          <w:color w:val="000000"/>
        </w:rPr>
        <w:t> </w:t>
      </w:r>
      <w:r w:rsidRPr="000D5493">
        <w:rPr>
          <w:rFonts w:ascii="Arial" w:hAnsi="Arial" w:cs="Arial"/>
          <w:i/>
          <w:iCs/>
          <w:color w:val="000000"/>
        </w:rPr>
        <w:t>The Lancet</w:t>
      </w:r>
      <w:r w:rsidRPr="000D5493">
        <w:rPr>
          <w:rFonts w:ascii="Arial" w:hAnsi="Arial" w:cs="Arial"/>
          <w:color w:val="000000"/>
        </w:rPr>
        <w:t xml:space="preserve">, 404(10452), pp.572–628. </w:t>
      </w:r>
      <w:proofErr w:type="spellStart"/>
      <w:proofErr w:type="gramStart"/>
      <w:r w:rsidRPr="000D5493">
        <w:rPr>
          <w:rFonts w:ascii="Arial" w:hAnsi="Arial" w:cs="Arial"/>
          <w:color w:val="000000"/>
        </w:rPr>
        <w:t>doi:https</w:t>
      </w:r>
      <w:proofErr w:type="spellEnd"/>
      <w:r w:rsidRPr="000D5493">
        <w:rPr>
          <w:rFonts w:ascii="Arial" w:hAnsi="Arial" w:cs="Arial"/>
          <w:color w:val="000000"/>
        </w:rPr>
        <w:t>://doi.org/10.1016/s0140-6736(24)01296-0</w:t>
      </w:r>
      <w:proofErr w:type="gramEnd"/>
      <w:r w:rsidRPr="000D5493">
        <w:rPr>
          <w:rFonts w:ascii="Arial" w:hAnsi="Arial" w:cs="Arial"/>
          <w:color w:val="000000"/>
        </w:rPr>
        <w:t>.</w:t>
      </w:r>
      <w:r w:rsidRPr="000D5493">
        <w:rPr>
          <w:rFonts w:ascii="Arial" w:hAnsi="Arial" w:cs="Arial"/>
          <w:color w:val="000000"/>
        </w:rPr>
        <w:t xml:space="preserve"> (Accessed 29/04/2025).</w:t>
      </w:r>
    </w:p>
    <w:p w14:paraId="49801D60" w14:textId="77777777" w:rsidR="00A66E00" w:rsidRPr="000D5493" w:rsidRDefault="00A66E00" w:rsidP="00A66E00">
      <w:pPr>
        <w:pStyle w:val="NormalWeb"/>
        <w:spacing w:before="0" w:beforeAutospacing="0" w:after="240" w:afterAutospacing="0" w:line="360" w:lineRule="atLeast"/>
        <w:rPr>
          <w:rFonts w:ascii="Arial" w:hAnsi="Arial" w:cs="Arial"/>
          <w:color w:val="000000"/>
        </w:rPr>
      </w:pPr>
      <w:r w:rsidRPr="000D5493">
        <w:rPr>
          <w:rFonts w:ascii="Arial" w:hAnsi="Arial" w:cs="Arial"/>
          <w:color w:val="000000"/>
        </w:rPr>
        <w:t xml:space="preserve">Petersen, R.C., Caracciolo, B., </w:t>
      </w:r>
      <w:proofErr w:type="spellStart"/>
      <w:r w:rsidRPr="000D5493">
        <w:rPr>
          <w:rFonts w:ascii="Arial" w:hAnsi="Arial" w:cs="Arial"/>
          <w:color w:val="000000"/>
        </w:rPr>
        <w:t>Brayne</w:t>
      </w:r>
      <w:proofErr w:type="spellEnd"/>
      <w:r w:rsidRPr="000D5493">
        <w:rPr>
          <w:rFonts w:ascii="Arial" w:hAnsi="Arial" w:cs="Arial"/>
          <w:color w:val="000000"/>
        </w:rPr>
        <w:t xml:space="preserve">, C., Gauthier, S., Jelic, V. and </w:t>
      </w:r>
      <w:proofErr w:type="spellStart"/>
      <w:r w:rsidRPr="000D5493">
        <w:rPr>
          <w:rFonts w:ascii="Arial" w:hAnsi="Arial" w:cs="Arial"/>
          <w:color w:val="000000"/>
        </w:rPr>
        <w:t>Fratiglioni</w:t>
      </w:r>
      <w:proofErr w:type="spellEnd"/>
      <w:r w:rsidRPr="000D5493">
        <w:rPr>
          <w:rFonts w:ascii="Arial" w:hAnsi="Arial" w:cs="Arial"/>
          <w:color w:val="000000"/>
        </w:rPr>
        <w:t>, L. (2014). Mild cognitive impairment: a concept in evolution.</w:t>
      </w:r>
      <w:r w:rsidRPr="000D5493">
        <w:rPr>
          <w:rStyle w:val="apple-converted-space"/>
          <w:rFonts w:ascii="Arial" w:eastAsiaTheme="majorEastAsia" w:hAnsi="Arial" w:cs="Arial"/>
          <w:color w:val="000000"/>
        </w:rPr>
        <w:t> </w:t>
      </w:r>
      <w:r w:rsidRPr="000D5493">
        <w:rPr>
          <w:rFonts w:ascii="Arial" w:hAnsi="Arial" w:cs="Arial"/>
          <w:i/>
          <w:iCs/>
          <w:color w:val="000000"/>
        </w:rPr>
        <w:t>Journal of Internal Medicine</w:t>
      </w:r>
      <w:r w:rsidRPr="000D5493">
        <w:rPr>
          <w:rFonts w:ascii="Arial" w:hAnsi="Arial" w:cs="Arial"/>
          <w:color w:val="000000"/>
        </w:rPr>
        <w:t xml:space="preserve">, 275(3), pp.214–228. </w:t>
      </w:r>
      <w:proofErr w:type="spellStart"/>
      <w:proofErr w:type="gramStart"/>
      <w:r w:rsidRPr="000D5493">
        <w:rPr>
          <w:rFonts w:ascii="Arial" w:hAnsi="Arial" w:cs="Arial"/>
          <w:color w:val="000000"/>
        </w:rPr>
        <w:t>doi:https</w:t>
      </w:r>
      <w:proofErr w:type="spellEnd"/>
      <w:r w:rsidRPr="000D5493">
        <w:rPr>
          <w:rFonts w:ascii="Arial" w:hAnsi="Arial" w:cs="Arial"/>
          <w:color w:val="000000"/>
        </w:rPr>
        <w:t>://doi.org/10.1111/joim.12190</w:t>
      </w:r>
      <w:proofErr w:type="gramEnd"/>
      <w:r w:rsidRPr="000D5493">
        <w:rPr>
          <w:rFonts w:ascii="Arial" w:hAnsi="Arial" w:cs="Arial"/>
          <w:color w:val="000000"/>
        </w:rPr>
        <w:t>.</w:t>
      </w:r>
      <w:r w:rsidRPr="000D5493">
        <w:rPr>
          <w:rFonts w:ascii="Arial" w:hAnsi="Arial" w:cs="Arial"/>
          <w:color w:val="000000"/>
        </w:rPr>
        <w:t xml:space="preserve"> (Accessed 28/04/2025).</w:t>
      </w:r>
    </w:p>
    <w:p w14:paraId="52F3BAEC" w14:textId="77777777" w:rsidR="00A66E00" w:rsidRPr="000D5493" w:rsidRDefault="00A66E00" w:rsidP="00A66E00">
      <w:pPr>
        <w:pStyle w:val="NormalWeb"/>
        <w:spacing w:before="0" w:beforeAutospacing="0" w:after="240" w:afterAutospacing="0" w:line="360" w:lineRule="atLeast"/>
        <w:rPr>
          <w:rFonts w:ascii="Arial" w:hAnsi="Arial" w:cs="Arial"/>
          <w:color w:val="000000"/>
        </w:rPr>
      </w:pPr>
      <w:r w:rsidRPr="000D5493">
        <w:rPr>
          <w:rFonts w:ascii="Arial" w:hAnsi="Arial" w:cs="Arial"/>
          <w:color w:val="000000"/>
        </w:rPr>
        <w:lastRenderedPageBreak/>
        <w:t>Pettigrew, C. and Soldan, A. (2019). Defining Cognitive Reserve and Implications for Cognitive Aging.</w:t>
      </w:r>
      <w:r w:rsidRPr="000D5493">
        <w:rPr>
          <w:rStyle w:val="apple-converted-space"/>
          <w:rFonts w:ascii="Arial" w:eastAsiaTheme="majorEastAsia" w:hAnsi="Arial" w:cs="Arial"/>
          <w:color w:val="000000"/>
        </w:rPr>
        <w:t> </w:t>
      </w:r>
      <w:r w:rsidRPr="000D5493">
        <w:rPr>
          <w:rFonts w:ascii="Arial" w:hAnsi="Arial" w:cs="Arial"/>
          <w:i/>
          <w:iCs/>
          <w:color w:val="000000"/>
        </w:rPr>
        <w:t>Current Neurology and Neuroscience Reports</w:t>
      </w:r>
      <w:r w:rsidRPr="000D5493">
        <w:rPr>
          <w:rFonts w:ascii="Arial" w:hAnsi="Arial" w:cs="Arial"/>
          <w:color w:val="000000"/>
        </w:rPr>
        <w:t xml:space="preserve">, 19(1). </w:t>
      </w:r>
      <w:proofErr w:type="spellStart"/>
      <w:proofErr w:type="gramStart"/>
      <w:r w:rsidRPr="000D5493">
        <w:rPr>
          <w:rFonts w:ascii="Arial" w:hAnsi="Arial" w:cs="Arial"/>
          <w:color w:val="000000"/>
        </w:rPr>
        <w:t>doi:https</w:t>
      </w:r>
      <w:proofErr w:type="spellEnd"/>
      <w:r w:rsidRPr="000D5493">
        <w:rPr>
          <w:rFonts w:ascii="Arial" w:hAnsi="Arial" w:cs="Arial"/>
          <w:color w:val="000000"/>
        </w:rPr>
        <w:t>://doi.org/10.1007/s11910-019-0917-z</w:t>
      </w:r>
      <w:proofErr w:type="gramEnd"/>
      <w:r w:rsidRPr="000D5493">
        <w:rPr>
          <w:rFonts w:ascii="Arial" w:hAnsi="Arial" w:cs="Arial"/>
          <w:color w:val="000000"/>
        </w:rPr>
        <w:t>.</w:t>
      </w:r>
      <w:r w:rsidRPr="000D5493">
        <w:rPr>
          <w:rFonts w:ascii="Arial" w:hAnsi="Arial" w:cs="Arial"/>
          <w:color w:val="000000"/>
        </w:rPr>
        <w:t xml:space="preserve"> (Accessed 26/04/2025).</w:t>
      </w:r>
    </w:p>
    <w:p w14:paraId="6B56E1C6" w14:textId="77777777" w:rsidR="00A66E00" w:rsidRPr="000D5493" w:rsidRDefault="00A66E00" w:rsidP="00A66E00">
      <w:pPr>
        <w:pStyle w:val="NormalWeb"/>
        <w:spacing w:before="0" w:beforeAutospacing="0" w:after="240" w:afterAutospacing="0" w:line="360" w:lineRule="atLeast"/>
        <w:rPr>
          <w:rFonts w:ascii="Arial" w:hAnsi="Arial" w:cs="Arial"/>
          <w:color w:val="000000"/>
        </w:rPr>
      </w:pPr>
      <w:proofErr w:type="spellStart"/>
      <w:r w:rsidRPr="000D5493">
        <w:rPr>
          <w:rFonts w:ascii="Arial" w:hAnsi="Arial" w:cs="Arial"/>
          <w:color w:val="000000"/>
        </w:rPr>
        <w:t>Rashbrook</w:t>
      </w:r>
      <w:proofErr w:type="spellEnd"/>
      <w:r w:rsidRPr="000D5493">
        <w:rPr>
          <w:rFonts w:ascii="Arial" w:hAnsi="Arial" w:cs="Arial"/>
          <w:color w:val="000000"/>
        </w:rPr>
        <w:t>, E. (2019).</w:t>
      </w:r>
      <w:r w:rsidRPr="000D5493">
        <w:rPr>
          <w:rStyle w:val="apple-converted-space"/>
          <w:rFonts w:ascii="Arial" w:eastAsiaTheme="majorEastAsia" w:hAnsi="Arial" w:cs="Arial"/>
          <w:color w:val="000000"/>
        </w:rPr>
        <w:t> </w:t>
      </w:r>
      <w:r w:rsidRPr="000D5493">
        <w:rPr>
          <w:rFonts w:ascii="Arial" w:hAnsi="Arial" w:cs="Arial"/>
          <w:i/>
          <w:iCs/>
          <w:color w:val="000000"/>
        </w:rPr>
        <w:t>Health Matters: Prevention - A Life Course Approach - UK Health Security Agency</w:t>
      </w:r>
      <w:r w:rsidRPr="000D5493">
        <w:rPr>
          <w:rFonts w:ascii="Arial" w:hAnsi="Arial" w:cs="Arial"/>
          <w:color w:val="000000"/>
        </w:rPr>
        <w:t xml:space="preserve">. ukhsa.blog.gov.uk. Available at: https://ukhsa.blog.gov.uk/2019/05/23/health-matters-prevention-a-life-course-approach/ </w:t>
      </w:r>
      <w:r w:rsidRPr="000D5493">
        <w:rPr>
          <w:rFonts w:ascii="Arial" w:hAnsi="Arial" w:cs="Arial"/>
          <w:color w:val="000000"/>
        </w:rPr>
        <w:t>(</w:t>
      </w:r>
      <w:r w:rsidRPr="000D5493">
        <w:rPr>
          <w:rFonts w:ascii="Arial" w:hAnsi="Arial" w:cs="Arial"/>
          <w:color w:val="000000"/>
        </w:rPr>
        <w:t>Accessed 28</w:t>
      </w:r>
      <w:r w:rsidRPr="000D5493">
        <w:rPr>
          <w:rFonts w:ascii="Arial" w:hAnsi="Arial" w:cs="Arial"/>
          <w:color w:val="000000"/>
        </w:rPr>
        <w:t>/04/</w:t>
      </w:r>
      <w:r w:rsidRPr="000D5493">
        <w:rPr>
          <w:rFonts w:ascii="Arial" w:hAnsi="Arial" w:cs="Arial"/>
          <w:color w:val="000000"/>
        </w:rPr>
        <w:t>2025</w:t>
      </w:r>
      <w:r w:rsidRPr="000D5493">
        <w:rPr>
          <w:rFonts w:ascii="Arial" w:hAnsi="Arial" w:cs="Arial"/>
          <w:color w:val="000000"/>
        </w:rPr>
        <w:t>)</w:t>
      </w:r>
      <w:r w:rsidRPr="000D5493">
        <w:rPr>
          <w:rFonts w:ascii="Arial" w:hAnsi="Arial" w:cs="Arial"/>
          <w:color w:val="000000"/>
        </w:rPr>
        <w:t>.</w:t>
      </w:r>
    </w:p>
    <w:p w14:paraId="7F20544C" w14:textId="77777777" w:rsidR="00A66E00" w:rsidRPr="000D5493" w:rsidRDefault="00A66E00" w:rsidP="00A66E00">
      <w:pPr>
        <w:pStyle w:val="NormalWeb"/>
        <w:spacing w:before="0" w:beforeAutospacing="0" w:after="240" w:afterAutospacing="0" w:line="360" w:lineRule="atLeast"/>
        <w:rPr>
          <w:rFonts w:ascii="Arial" w:hAnsi="Arial" w:cs="Arial"/>
          <w:color w:val="000000"/>
        </w:rPr>
      </w:pPr>
      <w:r w:rsidRPr="000D5493">
        <w:rPr>
          <w:rFonts w:ascii="Arial" w:hAnsi="Arial" w:cs="Arial"/>
          <w:color w:val="000000"/>
        </w:rPr>
        <w:t>Richards, M. and Deary, I.J. (2005). A life course approach to cognitive reserve: A model for cognitive aging and development?</w:t>
      </w:r>
      <w:r w:rsidRPr="000D5493">
        <w:rPr>
          <w:rStyle w:val="apple-converted-space"/>
          <w:rFonts w:ascii="Arial" w:eastAsiaTheme="majorEastAsia" w:hAnsi="Arial" w:cs="Arial"/>
          <w:color w:val="000000"/>
        </w:rPr>
        <w:t> </w:t>
      </w:r>
      <w:r w:rsidRPr="000D5493">
        <w:rPr>
          <w:rFonts w:ascii="Arial" w:hAnsi="Arial" w:cs="Arial"/>
          <w:i/>
          <w:iCs/>
          <w:color w:val="000000"/>
        </w:rPr>
        <w:t>Annals of Neurology</w:t>
      </w:r>
      <w:r w:rsidRPr="000D5493">
        <w:rPr>
          <w:rFonts w:ascii="Arial" w:hAnsi="Arial" w:cs="Arial"/>
          <w:color w:val="000000"/>
        </w:rPr>
        <w:t xml:space="preserve">, 58(4), pp.617–622. </w:t>
      </w:r>
      <w:proofErr w:type="spellStart"/>
      <w:proofErr w:type="gramStart"/>
      <w:r w:rsidRPr="000D5493">
        <w:rPr>
          <w:rFonts w:ascii="Arial" w:hAnsi="Arial" w:cs="Arial"/>
          <w:color w:val="000000"/>
        </w:rPr>
        <w:t>doi:https</w:t>
      </w:r>
      <w:proofErr w:type="spellEnd"/>
      <w:r w:rsidRPr="000D5493">
        <w:rPr>
          <w:rFonts w:ascii="Arial" w:hAnsi="Arial" w:cs="Arial"/>
          <w:color w:val="000000"/>
        </w:rPr>
        <w:t>://doi.org/10.1002/ana.20637</w:t>
      </w:r>
      <w:proofErr w:type="gramEnd"/>
      <w:r w:rsidRPr="000D5493">
        <w:rPr>
          <w:rFonts w:ascii="Arial" w:hAnsi="Arial" w:cs="Arial"/>
          <w:color w:val="000000"/>
        </w:rPr>
        <w:t>.</w:t>
      </w:r>
      <w:r w:rsidRPr="000D5493">
        <w:rPr>
          <w:rFonts w:ascii="Arial" w:hAnsi="Arial" w:cs="Arial"/>
          <w:color w:val="000000"/>
        </w:rPr>
        <w:t xml:space="preserve"> (Accessed </w:t>
      </w:r>
      <w:r w:rsidR="00136C87" w:rsidRPr="000D5493">
        <w:rPr>
          <w:rFonts w:ascii="Arial" w:hAnsi="Arial" w:cs="Arial"/>
          <w:color w:val="000000"/>
        </w:rPr>
        <w:t>27/04/2025).</w:t>
      </w:r>
    </w:p>
    <w:p w14:paraId="164EF30E" w14:textId="77777777" w:rsidR="00A66E00" w:rsidRPr="000D5493" w:rsidRDefault="00A66E00" w:rsidP="00A66E00">
      <w:pPr>
        <w:pStyle w:val="NormalWeb"/>
        <w:spacing w:before="0" w:beforeAutospacing="0" w:after="240" w:afterAutospacing="0" w:line="360" w:lineRule="atLeast"/>
        <w:rPr>
          <w:rFonts w:ascii="Arial" w:hAnsi="Arial" w:cs="Arial"/>
          <w:color w:val="000000"/>
        </w:rPr>
      </w:pPr>
      <w:r w:rsidRPr="000D5493">
        <w:rPr>
          <w:rFonts w:ascii="Arial" w:hAnsi="Arial" w:cs="Arial"/>
          <w:color w:val="000000"/>
        </w:rPr>
        <w:t>Rodriguez, F.S. (2021). Life-Course Pathways to Cognitive Aging: The Significance of Intellectual Stimulation in the Form of Education and Occupation for Public Policy and Prevention Plans.</w:t>
      </w:r>
      <w:r w:rsidRPr="000D5493">
        <w:rPr>
          <w:rStyle w:val="apple-converted-space"/>
          <w:rFonts w:ascii="Arial" w:eastAsiaTheme="majorEastAsia" w:hAnsi="Arial" w:cs="Arial"/>
          <w:color w:val="000000"/>
        </w:rPr>
        <w:t> </w:t>
      </w:r>
      <w:r w:rsidRPr="000D5493">
        <w:rPr>
          <w:rFonts w:ascii="Arial" w:hAnsi="Arial" w:cs="Arial"/>
          <w:i/>
          <w:iCs/>
          <w:color w:val="000000"/>
        </w:rPr>
        <w:t>Frontiers in Psychiatry</w:t>
      </w:r>
      <w:r w:rsidRPr="000D5493">
        <w:rPr>
          <w:rFonts w:ascii="Arial" w:hAnsi="Arial" w:cs="Arial"/>
          <w:color w:val="000000"/>
        </w:rPr>
        <w:t xml:space="preserve">, 12. </w:t>
      </w:r>
      <w:proofErr w:type="spellStart"/>
      <w:proofErr w:type="gramStart"/>
      <w:r w:rsidRPr="000D5493">
        <w:rPr>
          <w:rFonts w:ascii="Arial" w:hAnsi="Arial" w:cs="Arial"/>
          <w:color w:val="000000"/>
        </w:rPr>
        <w:t>doi:https</w:t>
      </w:r>
      <w:proofErr w:type="spellEnd"/>
      <w:r w:rsidRPr="000D5493">
        <w:rPr>
          <w:rFonts w:ascii="Arial" w:hAnsi="Arial" w:cs="Arial"/>
          <w:color w:val="000000"/>
        </w:rPr>
        <w:t>://doi.org/10.3389/fpsyt.2021.719609</w:t>
      </w:r>
      <w:proofErr w:type="gramEnd"/>
      <w:r w:rsidRPr="000D5493">
        <w:rPr>
          <w:rFonts w:ascii="Arial" w:hAnsi="Arial" w:cs="Arial"/>
          <w:color w:val="000000"/>
        </w:rPr>
        <w:t>.</w:t>
      </w:r>
      <w:r w:rsidR="00136C87" w:rsidRPr="000D5493">
        <w:rPr>
          <w:rFonts w:ascii="Arial" w:hAnsi="Arial" w:cs="Arial"/>
          <w:color w:val="000000"/>
        </w:rPr>
        <w:t xml:space="preserve"> (Accessed 01/05/2025).</w:t>
      </w:r>
    </w:p>
    <w:p w14:paraId="6DCF14E8" w14:textId="77777777" w:rsidR="00A66E00" w:rsidRPr="000D5493" w:rsidRDefault="00A66E00" w:rsidP="00A66E00">
      <w:pPr>
        <w:pStyle w:val="NormalWeb"/>
        <w:spacing w:before="0" w:beforeAutospacing="0" w:after="240" w:afterAutospacing="0" w:line="360" w:lineRule="atLeast"/>
        <w:rPr>
          <w:rFonts w:ascii="Arial" w:hAnsi="Arial" w:cs="Arial"/>
          <w:color w:val="000000"/>
        </w:rPr>
      </w:pPr>
      <w:r w:rsidRPr="000D5493">
        <w:rPr>
          <w:rFonts w:ascii="Arial" w:hAnsi="Arial" w:cs="Arial"/>
          <w:color w:val="000000"/>
        </w:rPr>
        <w:t>Stern, Y. (2012). Cognitive Reserve in Ageing and Alzheimer’s Disease.</w:t>
      </w:r>
      <w:r w:rsidRPr="000D5493">
        <w:rPr>
          <w:rStyle w:val="apple-converted-space"/>
          <w:rFonts w:ascii="Arial" w:eastAsiaTheme="majorEastAsia" w:hAnsi="Arial" w:cs="Arial"/>
          <w:color w:val="000000"/>
        </w:rPr>
        <w:t> </w:t>
      </w:r>
      <w:r w:rsidRPr="000D5493">
        <w:rPr>
          <w:rFonts w:ascii="Arial" w:hAnsi="Arial" w:cs="Arial"/>
          <w:i/>
          <w:iCs/>
          <w:color w:val="000000"/>
        </w:rPr>
        <w:t>The Lancet Neurology</w:t>
      </w:r>
      <w:r w:rsidRPr="000D5493">
        <w:rPr>
          <w:rFonts w:ascii="Arial" w:hAnsi="Arial" w:cs="Arial"/>
          <w:color w:val="000000"/>
        </w:rPr>
        <w:t xml:space="preserve">, 11(11), pp.1006–1012. </w:t>
      </w:r>
      <w:proofErr w:type="spellStart"/>
      <w:proofErr w:type="gramStart"/>
      <w:r w:rsidRPr="000D5493">
        <w:rPr>
          <w:rFonts w:ascii="Arial" w:hAnsi="Arial" w:cs="Arial"/>
          <w:color w:val="000000"/>
        </w:rPr>
        <w:t>doi:https</w:t>
      </w:r>
      <w:proofErr w:type="spellEnd"/>
      <w:r w:rsidRPr="000D5493">
        <w:rPr>
          <w:rFonts w:ascii="Arial" w:hAnsi="Arial" w:cs="Arial"/>
          <w:color w:val="000000"/>
        </w:rPr>
        <w:t>://doi.org/10.1016/s1474-4422(12)70191-6</w:t>
      </w:r>
      <w:proofErr w:type="gramEnd"/>
      <w:r w:rsidRPr="000D5493">
        <w:rPr>
          <w:rFonts w:ascii="Arial" w:hAnsi="Arial" w:cs="Arial"/>
          <w:color w:val="000000"/>
        </w:rPr>
        <w:t>.</w:t>
      </w:r>
      <w:r w:rsidR="00136C87" w:rsidRPr="000D5493">
        <w:rPr>
          <w:rFonts w:ascii="Arial" w:hAnsi="Arial" w:cs="Arial"/>
          <w:color w:val="000000"/>
        </w:rPr>
        <w:t xml:space="preserve"> (Accessed 01/05/2025).</w:t>
      </w:r>
    </w:p>
    <w:p w14:paraId="3C620AA8" w14:textId="77777777" w:rsidR="00A66E00" w:rsidRPr="000D5493" w:rsidRDefault="00A66E00" w:rsidP="00A66E00">
      <w:pPr>
        <w:pStyle w:val="NormalWeb"/>
        <w:spacing w:before="0" w:beforeAutospacing="0" w:after="240" w:afterAutospacing="0" w:line="360" w:lineRule="atLeast"/>
        <w:rPr>
          <w:rFonts w:ascii="Arial" w:hAnsi="Arial" w:cs="Arial"/>
          <w:color w:val="000000"/>
        </w:rPr>
      </w:pPr>
      <w:r w:rsidRPr="000D5493">
        <w:rPr>
          <w:rFonts w:ascii="Arial" w:hAnsi="Arial" w:cs="Arial"/>
          <w:color w:val="000000"/>
        </w:rPr>
        <w:t>WHO (2024).</w:t>
      </w:r>
      <w:r w:rsidRPr="000D5493">
        <w:rPr>
          <w:rStyle w:val="apple-converted-space"/>
          <w:rFonts w:ascii="Arial" w:eastAsiaTheme="majorEastAsia" w:hAnsi="Arial" w:cs="Arial"/>
          <w:color w:val="000000"/>
        </w:rPr>
        <w:t> </w:t>
      </w:r>
      <w:r w:rsidRPr="000D5493">
        <w:rPr>
          <w:rFonts w:ascii="Arial" w:hAnsi="Arial" w:cs="Arial"/>
          <w:i/>
          <w:iCs/>
          <w:color w:val="000000"/>
        </w:rPr>
        <w:t>Determinants of Health</w:t>
      </w:r>
      <w:r w:rsidRPr="000D5493">
        <w:rPr>
          <w:rFonts w:ascii="Arial" w:hAnsi="Arial" w:cs="Arial"/>
          <w:color w:val="000000"/>
        </w:rPr>
        <w:t xml:space="preserve">. World Health Organisation. Available at: https://www.who.int/news-room/questions-and-answers/item/determinants-of-health </w:t>
      </w:r>
      <w:r w:rsidRPr="000D5493">
        <w:rPr>
          <w:rFonts w:ascii="Arial" w:hAnsi="Arial" w:cs="Arial"/>
          <w:color w:val="000000"/>
        </w:rPr>
        <w:t>(</w:t>
      </w:r>
      <w:r w:rsidRPr="000D5493">
        <w:rPr>
          <w:rFonts w:ascii="Arial" w:hAnsi="Arial" w:cs="Arial"/>
          <w:color w:val="000000"/>
        </w:rPr>
        <w:t>Accessed 23</w:t>
      </w:r>
      <w:r w:rsidR="00136C87" w:rsidRPr="000D5493">
        <w:rPr>
          <w:rFonts w:ascii="Arial" w:hAnsi="Arial" w:cs="Arial"/>
          <w:color w:val="000000"/>
        </w:rPr>
        <w:t>/04/</w:t>
      </w:r>
      <w:r w:rsidRPr="000D5493">
        <w:rPr>
          <w:rFonts w:ascii="Arial" w:hAnsi="Arial" w:cs="Arial"/>
          <w:color w:val="000000"/>
        </w:rPr>
        <w:t>2025</w:t>
      </w:r>
      <w:r w:rsidRPr="000D5493">
        <w:rPr>
          <w:rFonts w:ascii="Arial" w:hAnsi="Arial" w:cs="Arial"/>
          <w:color w:val="000000"/>
        </w:rPr>
        <w:t>)</w:t>
      </w:r>
      <w:r w:rsidRPr="000D5493">
        <w:rPr>
          <w:rFonts w:ascii="Arial" w:hAnsi="Arial" w:cs="Arial"/>
          <w:color w:val="000000"/>
        </w:rPr>
        <w:t>.</w:t>
      </w:r>
    </w:p>
    <w:p w14:paraId="183FAAF9" w14:textId="77777777" w:rsidR="00A66E00" w:rsidRPr="000D5493" w:rsidRDefault="00A66E00" w:rsidP="00A66E00">
      <w:pPr>
        <w:pStyle w:val="NormalWeb"/>
        <w:spacing w:before="0" w:beforeAutospacing="0" w:after="240" w:afterAutospacing="0" w:line="360" w:lineRule="atLeast"/>
        <w:rPr>
          <w:rFonts w:ascii="Arial" w:hAnsi="Arial" w:cs="Arial"/>
          <w:color w:val="000000"/>
        </w:rPr>
      </w:pPr>
      <w:r w:rsidRPr="000D5493">
        <w:rPr>
          <w:rFonts w:ascii="Arial" w:hAnsi="Arial" w:cs="Arial"/>
          <w:color w:val="000000"/>
        </w:rPr>
        <w:t>World Health Organization (2020).</w:t>
      </w:r>
      <w:r w:rsidRPr="000D5493">
        <w:rPr>
          <w:rStyle w:val="apple-converted-space"/>
          <w:rFonts w:ascii="Arial" w:eastAsiaTheme="majorEastAsia" w:hAnsi="Arial" w:cs="Arial"/>
          <w:color w:val="000000"/>
        </w:rPr>
        <w:t> </w:t>
      </w:r>
      <w:r w:rsidRPr="000D5493">
        <w:rPr>
          <w:rFonts w:ascii="Arial" w:hAnsi="Arial" w:cs="Arial"/>
          <w:i/>
          <w:iCs/>
          <w:color w:val="000000"/>
        </w:rPr>
        <w:t>Healthy ageing and functional ability</w:t>
      </w:r>
      <w:r w:rsidRPr="000D5493">
        <w:rPr>
          <w:rFonts w:ascii="Arial" w:hAnsi="Arial" w:cs="Arial"/>
          <w:color w:val="000000"/>
        </w:rPr>
        <w:t xml:space="preserve">. World Health Organisation. Available at: https://www.who.int/news-room/questions-and-answers/item/healthy-ageing-and-functional-ability </w:t>
      </w:r>
      <w:r w:rsidRPr="000D5493">
        <w:rPr>
          <w:rFonts w:ascii="Arial" w:hAnsi="Arial" w:cs="Arial"/>
          <w:color w:val="000000"/>
        </w:rPr>
        <w:t>(</w:t>
      </w:r>
      <w:r w:rsidRPr="000D5493">
        <w:rPr>
          <w:rFonts w:ascii="Arial" w:hAnsi="Arial" w:cs="Arial"/>
          <w:color w:val="000000"/>
        </w:rPr>
        <w:t xml:space="preserve">Accessed </w:t>
      </w:r>
      <w:r w:rsidR="00136C87" w:rsidRPr="000D5493">
        <w:rPr>
          <w:rFonts w:ascii="Arial" w:hAnsi="Arial" w:cs="Arial"/>
          <w:color w:val="000000"/>
        </w:rPr>
        <w:t>02/05/</w:t>
      </w:r>
      <w:r w:rsidRPr="000D5493">
        <w:rPr>
          <w:rFonts w:ascii="Arial" w:hAnsi="Arial" w:cs="Arial"/>
          <w:color w:val="000000"/>
        </w:rPr>
        <w:t>2025</w:t>
      </w:r>
      <w:r w:rsidRPr="000D5493">
        <w:rPr>
          <w:rFonts w:ascii="Arial" w:hAnsi="Arial" w:cs="Arial"/>
          <w:color w:val="000000"/>
        </w:rPr>
        <w:t>).</w:t>
      </w:r>
    </w:p>
    <w:p w14:paraId="5D8EC110" w14:textId="77777777" w:rsidR="00A66E00" w:rsidRPr="000D5493" w:rsidRDefault="00A66E00" w:rsidP="00A66E00">
      <w:pPr>
        <w:pStyle w:val="NormalWeb"/>
        <w:spacing w:before="0" w:beforeAutospacing="0" w:after="240" w:afterAutospacing="0" w:line="360" w:lineRule="atLeast"/>
        <w:rPr>
          <w:rFonts w:ascii="Arial" w:hAnsi="Arial" w:cs="Arial"/>
          <w:color w:val="000000"/>
        </w:rPr>
      </w:pPr>
      <w:proofErr w:type="spellStart"/>
      <w:r w:rsidRPr="000D5493">
        <w:rPr>
          <w:rFonts w:ascii="Arial" w:hAnsi="Arial" w:cs="Arial"/>
          <w:color w:val="000000"/>
        </w:rPr>
        <w:t>Yunglin</w:t>
      </w:r>
      <w:proofErr w:type="spellEnd"/>
      <w:r w:rsidRPr="000D5493">
        <w:rPr>
          <w:rFonts w:ascii="Arial" w:hAnsi="Arial" w:cs="Arial"/>
          <w:color w:val="000000"/>
        </w:rPr>
        <w:t xml:space="preserve"> Gazes, Lee, S., Fang, Z., Mensing, A., Diala </w:t>
      </w:r>
      <w:proofErr w:type="spellStart"/>
      <w:r w:rsidRPr="000D5493">
        <w:rPr>
          <w:rFonts w:ascii="Arial" w:hAnsi="Arial" w:cs="Arial"/>
          <w:color w:val="000000"/>
        </w:rPr>
        <w:t>Noofoory</w:t>
      </w:r>
      <w:proofErr w:type="spellEnd"/>
      <w:r w:rsidRPr="000D5493">
        <w:rPr>
          <w:rFonts w:ascii="Arial" w:hAnsi="Arial" w:cs="Arial"/>
          <w:color w:val="000000"/>
        </w:rPr>
        <w:t xml:space="preserve">, Geneva Hidalgo Nazario, Reshma </w:t>
      </w:r>
      <w:proofErr w:type="spellStart"/>
      <w:r w:rsidRPr="000D5493">
        <w:rPr>
          <w:rFonts w:ascii="Arial" w:hAnsi="Arial" w:cs="Arial"/>
          <w:color w:val="000000"/>
        </w:rPr>
        <w:t>Babukutty</w:t>
      </w:r>
      <w:proofErr w:type="spellEnd"/>
      <w:r w:rsidRPr="000D5493">
        <w:rPr>
          <w:rFonts w:ascii="Arial" w:hAnsi="Arial" w:cs="Arial"/>
          <w:color w:val="000000"/>
        </w:rPr>
        <w:t>, Chen, B.B., Habeck, C. and Stern, Y. (2023). Effects of Brain Maintenance and Cognitive Reserve on Age-Related Decline in Three Cognitive Abilities.</w:t>
      </w:r>
      <w:r w:rsidRPr="000D5493">
        <w:rPr>
          <w:rStyle w:val="apple-converted-space"/>
          <w:rFonts w:ascii="Arial" w:eastAsiaTheme="majorEastAsia" w:hAnsi="Arial" w:cs="Arial"/>
          <w:color w:val="000000"/>
        </w:rPr>
        <w:t> </w:t>
      </w:r>
      <w:r w:rsidRPr="000D5493">
        <w:rPr>
          <w:rFonts w:ascii="Arial" w:hAnsi="Arial" w:cs="Arial"/>
          <w:i/>
          <w:iCs/>
          <w:color w:val="000000"/>
        </w:rPr>
        <w:t>The Journals of Gerontology Series B</w:t>
      </w:r>
      <w:r w:rsidRPr="000D5493">
        <w:rPr>
          <w:rFonts w:ascii="Arial" w:hAnsi="Arial" w:cs="Arial"/>
          <w:color w:val="000000"/>
        </w:rPr>
        <w:t xml:space="preserve">, 78(8), pp.1284–1293. </w:t>
      </w:r>
      <w:proofErr w:type="spellStart"/>
      <w:proofErr w:type="gramStart"/>
      <w:r w:rsidRPr="000D5493">
        <w:rPr>
          <w:rFonts w:ascii="Arial" w:hAnsi="Arial" w:cs="Arial"/>
          <w:color w:val="000000"/>
        </w:rPr>
        <w:t>doi:https</w:t>
      </w:r>
      <w:proofErr w:type="spellEnd"/>
      <w:r w:rsidRPr="000D5493">
        <w:rPr>
          <w:rFonts w:ascii="Arial" w:hAnsi="Arial" w:cs="Arial"/>
          <w:color w:val="000000"/>
        </w:rPr>
        <w:t>://doi.org/10.1093/</w:t>
      </w:r>
      <w:proofErr w:type="spellStart"/>
      <w:r w:rsidRPr="000D5493">
        <w:rPr>
          <w:rFonts w:ascii="Arial" w:hAnsi="Arial" w:cs="Arial"/>
          <w:color w:val="000000"/>
        </w:rPr>
        <w:t>geronb</w:t>
      </w:r>
      <w:proofErr w:type="spellEnd"/>
      <w:r w:rsidRPr="000D5493">
        <w:rPr>
          <w:rFonts w:ascii="Arial" w:hAnsi="Arial" w:cs="Arial"/>
          <w:color w:val="000000"/>
        </w:rPr>
        <w:t>/gbad044</w:t>
      </w:r>
      <w:proofErr w:type="gramEnd"/>
      <w:r w:rsidRPr="000D5493">
        <w:rPr>
          <w:rFonts w:ascii="Arial" w:hAnsi="Arial" w:cs="Arial"/>
          <w:color w:val="000000"/>
        </w:rPr>
        <w:t>.</w:t>
      </w:r>
      <w:r w:rsidR="00136C87" w:rsidRPr="000D5493">
        <w:rPr>
          <w:rFonts w:ascii="Arial" w:hAnsi="Arial" w:cs="Arial"/>
          <w:color w:val="000000"/>
        </w:rPr>
        <w:t xml:space="preserve"> (Accessed 02/05/2025).</w:t>
      </w:r>
    </w:p>
    <w:p w14:paraId="48915BE7" w14:textId="77777777" w:rsidR="00A66E00" w:rsidRPr="000D5493" w:rsidRDefault="00A66E00" w:rsidP="00A66E00">
      <w:pPr>
        <w:pStyle w:val="NormalWeb"/>
        <w:spacing w:before="0" w:beforeAutospacing="0" w:after="240" w:afterAutospacing="0" w:line="360" w:lineRule="atLeast"/>
        <w:rPr>
          <w:rFonts w:ascii="Arial" w:hAnsi="Arial" w:cs="Arial"/>
          <w:color w:val="000000"/>
        </w:rPr>
      </w:pPr>
      <w:proofErr w:type="spellStart"/>
      <w:r w:rsidRPr="000D5493">
        <w:rPr>
          <w:rFonts w:ascii="Arial" w:hAnsi="Arial" w:cs="Arial"/>
          <w:color w:val="000000"/>
        </w:rPr>
        <w:t>Zwieten</w:t>
      </w:r>
      <w:proofErr w:type="spellEnd"/>
      <w:r w:rsidRPr="000D5493">
        <w:rPr>
          <w:rFonts w:ascii="Arial" w:hAnsi="Arial" w:cs="Arial"/>
          <w:color w:val="000000"/>
        </w:rPr>
        <w:t xml:space="preserve">, A. van, Samtani, S., Sawan, M., Occhipinti, J.-A., Miranda, J.J. and Saman </w:t>
      </w:r>
      <w:proofErr w:type="spellStart"/>
      <w:r w:rsidRPr="000D5493">
        <w:rPr>
          <w:rFonts w:ascii="Arial" w:hAnsi="Arial" w:cs="Arial"/>
          <w:color w:val="000000"/>
        </w:rPr>
        <w:t>Khalatbari</w:t>
      </w:r>
      <w:proofErr w:type="spellEnd"/>
      <w:r w:rsidRPr="000D5493">
        <w:rPr>
          <w:rFonts w:ascii="Arial" w:hAnsi="Arial" w:cs="Arial"/>
          <w:color w:val="000000"/>
        </w:rPr>
        <w:t>-Soltani (2025). Life-course approaches are needed to foster equitable healthy aging.</w:t>
      </w:r>
      <w:r w:rsidRPr="000D5493">
        <w:rPr>
          <w:rStyle w:val="apple-converted-space"/>
          <w:rFonts w:ascii="Arial" w:eastAsiaTheme="majorEastAsia" w:hAnsi="Arial" w:cs="Arial"/>
          <w:color w:val="000000"/>
        </w:rPr>
        <w:t> </w:t>
      </w:r>
      <w:r w:rsidRPr="000D5493">
        <w:rPr>
          <w:rFonts w:ascii="Arial" w:hAnsi="Arial" w:cs="Arial"/>
          <w:i/>
          <w:iCs/>
          <w:color w:val="000000"/>
        </w:rPr>
        <w:t>Nature Aging</w:t>
      </w:r>
      <w:r w:rsidRPr="000D5493">
        <w:rPr>
          <w:rFonts w:ascii="Arial" w:hAnsi="Arial" w:cs="Arial"/>
          <w:color w:val="000000"/>
        </w:rPr>
        <w:t xml:space="preserve">. </w:t>
      </w:r>
      <w:proofErr w:type="spellStart"/>
      <w:proofErr w:type="gramStart"/>
      <w:r w:rsidRPr="000D5493">
        <w:rPr>
          <w:rFonts w:ascii="Arial" w:hAnsi="Arial" w:cs="Arial"/>
          <w:color w:val="000000"/>
        </w:rPr>
        <w:t>doi:https</w:t>
      </w:r>
      <w:proofErr w:type="spellEnd"/>
      <w:r w:rsidRPr="000D5493">
        <w:rPr>
          <w:rFonts w:ascii="Arial" w:hAnsi="Arial" w:cs="Arial"/>
          <w:color w:val="000000"/>
        </w:rPr>
        <w:t>://doi.org/10.1038/s43587-025-00875-5</w:t>
      </w:r>
      <w:proofErr w:type="gramEnd"/>
      <w:r w:rsidRPr="000D5493">
        <w:rPr>
          <w:rFonts w:ascii="Arial" w:hAnsi="Arial" w:cs="Arial"/>
          <w:color w:val="000000"/>
        </w:rPr>
        <w:t>.</w:t>
      </w:r>
      <w:r w:rsidR="00136C87" w:rsidRPr="000D5493">
        <w:rPr>
          <w:rFonts w:ascii="Arial" w:hAnsi="Arial" w:cs="Arial"/>
          <w:color w:val="000000"/>
        </w:rPr>
        <w:t xml:space="preserve"> (Accessed 29/04/2025).</w:t>
      </w:r>
    </w:p>
    <w:p w14:paraId="0B7F85A3" w14:textId="77777777" w:rsidR="00A13493" w:rsidRPr="000D5493" w:rsidRDefault="00A13493" w:rsidP="00A13493">
      <w:pPr>
        <w:tabs>
          <w:tab w:val="left" w:pos="7382"/>
        </w:tabs>
        <w:rPr>
          <w:rFonts w:ascii="Arial" w:hAnsi="Arial" w:cs="Arial"/>
        </w:rPr>
      </w:pPr>
    </w:p>
    <w:p w14:paraId="36367417" w14:textId="77777777" w:rsidR="00A13493" w:rsidRDefault="00A13493"/>
    <w:p w14:paraId="621060D5" w14:textId="77777777" w:rsidR="00A13493" w:rsidRDefault="00A13493">
      <w:pPr>
        <w:spacing w:after="0" w:line="240" w:lineRule="auto"/>
      </w:pPr>
      <w:r>
        <w:br w:type="page"/>
      </w:r>
    </w:p>
    <w:p w14:paraId="295FBA59" w14:textId="77777777" w:rsidR="00182C6F" w:rsidRDefault="00182C6F"/>
    <w:sectPr w:rsidR="00182C6F" w:rsidSect="006250B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B4286"/>
    <w:multiLevelType w:val="hybridMultilevel"/>
    <w:tmpl w:val="A8266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76353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0B1"/>
    <w:rsid w:val="000D5493"/>
    <w:rsid w:val="00136C87"/>
    <w:rsid w:val="00157F91"/>
    <w:rsid w:val="00182C6F"/>
    <w:rsid w:val="001D5876"/>
    <w:rsid w:val="002E48B2"/>
    <w:rsid w:val="006250B1"/>
    <w:rsid w:val="00941BD0"/>
    <w:rsid w:val="0094255B"/>
    <w:rsid w:val="00A13493"/>
    <w:rsid w:val="00A66E00"/>
    <w:rsid w:val="00CB1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06155"/>
  <w15:chartTrackingRefBased/>
  <w15:docId w15:val="{67EB3D3C-5CD5-4D4F-B937-A4E70D46A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50B1"/>
    <w:pPr>
      <w:spacing w:after="160" w:line="278" w:lineRule="auto"/>
    </w:pPr>
  </w:style>
  <w:style w:type="paragraph" w:styleId="Heading1">
    <w:name w:val="heading 1"/>
    <w:basedOn w:val="Normal"/>
    <w:next w:val="Normal"/>
    <w:link w:val="Heading1Char"/>
    <w:uiPriority w:val="9"/>
    <w:qFormat/>
    <w:rsid w:val="006250B1"/>
    <w:pPr>
      <w:keepNext/>
      <w:keepLines/>
      <w:spacing w:before="360" w:after="80" w:line="240"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50B1"/>
    <w:pPr>
      <w:keepNext/>
      <w:keepLines/>
      <w:spacing w:before="160" w:after="8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50B1"/>
    <w:pPr>
      <w:keepNext/>
      <w:keepLines/>
      <w:spacing w:before="160" w:after="80" w:line="240"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50B1"/>
    <w:pPr>
      <w:keepNext/>
      <w:keepLines/>
      <w:spacing w:before="80" w:after="40" w:line="240"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50B1"/>
    <w:pPr>
      <w:keepNext/>
      <w:keepLines/>
      <w:spacing w:before="80" w:after="40" w:line="240"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50B1"/>
    <w:pPr>
      <w:keepNext/>
      <w:keepLines/>
      <w:spacing w:before="40" w:after="0" w:line="240"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50B1"/>
    <w:pPr>
      <w:keepNext/>
      <w:keepLines/>
      <w:spacing w:before="40" w:after="0" w:line="240"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50B1"/>
    <w:pPr>
      <w:keepNext/>
      <w:keepLines/>
      <w:spacing w:after="0" w:line="240"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50B1"/>
    <w:pPr>
      <w:keepNext/>
      <w:keepLines/>
      <w:spacing w:after="0" w:line="240"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50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50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50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50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50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50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50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50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50B1"/>
    <w:rPr>
      <w:rFonts w:eastAsiaTheme="majorEastAsia" w:cstheme="majorBidi"/>
      <w:color w:val="272727" w:themeColor="text1" w:themeTint="D8"/>
    </w:rPr>
  </w:style>
  <w:style w:type="paragraph" w:styleId="Title">
    <w:name w:val="Title"/>
    <w:basedOn w:val="Normal"/>
    <w:next w:val="Normal"/>
    <w:link w:val="TitleChar"/>
    <w:uiPriority w:val="10"/>
    <w:qFormat/>
    <w:rsid w:val="006250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50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50B1"/>
    <w:pPr>
      <w:numPr>
        <w:ilvl w:val="1"/>
      </w:numPr>
      <w:spacing w:line="240"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50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50B1"/>
    <w:pPr>
      <w:spacing w:before="160" w:line="240" w:lineRule="auto"/>
      <w:jc w:val="center"/>
    </w:pPr>
    <w:rPr>
      <w:i/>
      <w:iCs/>
      <w:color w:val="404040" w:themeColor="text1" w:themeTint="BF"/>
    </w:rPr>
  </w:style>
  <w:style w:type="character" w:customStyle="1" w:styleId="QuoteChar">
    <w:name w:val="Quote Char"/>
    <w:basedOn w:val="DefaultParagraphFont"/>
    <w:link w:val="Quote"/>
    <w:uiPriority w:val="29"/>
    <w:rsid w:val="006250B1"/>
    <w:rPr>
      <w:i/>
      <w:iCs/>
      <w:color w:val="404040" w:themeColor="text1" w:themeTint="BF"/>
    </w:rPr>
  </w:style>
  <w:style w:type="paragraph" w:styleId="ListParagraph">
    <w:name w:val="List Paragraph"/>
    <w:basedOn w:val="Normal"/>
    <w:uiPriority w:val="34"/>
    <w:qFormat/>
    <w:rsid w:val="006250B1"/>
    <w:pPr>
      <w:spacing w:after="0" w:line="240" w:lineRule="auto"/>
      <w:ind w:left="720"/>
      <w:contextualSpacing/>
    </w:pPr>
  </w:style>
  <w:style w:type="character" w:styleId="IntenseEmphasis">
    <w:name w:val="Intense Emphasis"/>
    <w:basedOn w:val="DefaultParagraphFont"/>
    <w:uiPriority w:val="21"/>
    <w:qFormat/>
    <w:rsid w:val="006250B1"/>
    <w:rPr>
      <w:i/>
      <w:iCs/>
      <w:color w:val="0F4761" w:themeColor="accent1" w:themeShade="BF"/>
    </w:rPr>
  </w:style>
  <w:style w:type="paragraph" w:styleId="IntenseQuote">
    <w:name w:val="Intense Quote"/>
    <w:basedOn w:val="Normal"/>
    <w:next w:val="Normal"/>
    <w:link w:val="IntenseQuoteChar"/>
    <w:uiPriority w:val="30"/>
    <w:qFormat/>
    <w:rsid w:val="006250B1"/>
    <w:pPr>
      <w:pBdr>
        <w:top w:val="single" w:sz="4" w:space="10" w:color="0F4761" w:themeColor="accent1" w:themeShade="BF"/>
        <w:bottom w:val="single" w:sz="4" w:space="10" w:color="0F4761" w:themeColor="accent1" w:themeShade="BF"/>
      </w:pBdr>
      <w:spacing w:before="360" w:after="360" w:line="240"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50B1"/>
    <w:rPr>
      <w:i/>
      <w:iCs/>
      <w:color w:val="0F4761" w:themeColor="accent1" w:themeShade="BF"/>
    </w:rPr>
  </w:style>
  <w:style w:type="character" w:styleId="IntenseReference">
    <w:name w:val="Intense Reference"/>
    <w:basedOn w:val="DefaultParagraphFont"/>
    <w:uiPriority w:val="32"/>
    <w:qFormat/>
    <w:rsid w:val="006250B1"/>
    <w:rPr>
      <w:b/>
      <w:bCs/>
      <w:smallCaps/>
      <w:color w:val="0F4761" w:themeColor="accent1" w:themeShade="BF"/>
      <w:spacing w:val="5"/>
    </w:rPr>
  </w:style>
  <w:style w:type="paragraph" w:styleId="NoSpacing">
    <w:name w:val="No Spacing"/>
    <w:link w:val="NoSpacingChar"/>
    <w:uiPriority w:val="1"/>
    <w:qFormat/>
    <w:rsid w:val="006250B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250B1"/>
    <w:rPr>
      <w:rFonts w:eastAsiaTheme="minorEastAsia"/>
      <w:kern w:val="0"/>
      <w:sz w:val="22"/>
      <w:szCs w:val="22"/>
      <w:lang w:val="en-US" w:eastAsia="zh-CN"/>
      <w14:ligatures w14:val="none"/>
    </w:rPr>
  </w:style>
  <w:style w:type="paragraph" w:styleId="NormalWeb">
    <w:name w:val="Normal (Web)"/>
    <w:basedOn w:val="Normal"/>
    <w:uiPriority w:val="99"/>
    <w:semiHidden/>
    <w:unhideWhenUsed/>
    <w:rsid w:val="00A66E0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66E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1358248">
      <w:bodyDiv w:val="1"/>
      <w:marLeft w:val="0"/>
      <w:marRight w:val="0"/>
      <w:marTop w:val="0"/>
      <w:marBottom w:val="0"/>
      <w:divBdr>
        <w:top w:val="none" w:sz="0" w:space="0" w:color="auto"/>
        <w:left w:val="none" w:sz="0" w:space="0" w:color="auto"/>
        <w:bottom w:val="none" w:sz="0" w:space="0" w:color="auto"/>
        <w:right w:val="none" w:sz="0" w:space="0" w:color="auto"/>
      </w:divBdr>
      <w:divsChild>
        <w:div w:id="662195859">
          <w:marLeft w:val="0"/>
          <w:marRight w:val="0"/>
          <w:marTop w:val="0"/>
          <w:marBottom w:val="0"/>
          <w:divBdr>
            <w:top w:val="none" w:sz="0" w:space="0" w:color="auto"/>
            <w:left w:val="none" w:sz="0" w:space="0" w:color="auto"/>
            <w:bottom w:val="none" w:sz="0" w:space="0" w:color="auto"/>
            <w:right w:val="none" w:sz="0" w:space="0" w:color="auto"/>
          </w:divBdr>
        </w:div>
      </w:divsChild>
    </w:div>
    <w:div w:id="376011156">
      <w:bodyDiv w:val="1"/>
      <w:marLeft w:val="0"/>
      <w:marRight w:val="0"/>
      <w:marTop w:val="0"/>
      <w:marBottom w:val="0"/>
      <w:divBdr>
        <w:top w:val="none" w:sz="0" w:space="0" w:color="auto"/>
        <w:left w:val="none" w:sz="0" w:space="0" w:color="auto"/>
        <w:bottom w:val="none" w:sz="0" w:space="0" w:color="auto"/>
        <w:right w:val="none" w:sz="0" w:space="0" w:color="auto"/>
      </w:divBdr>
      <w:divsChild>
        <w:div w:id="1732650688">
          <w:marLeft w:val="0"/>
          <w:marRight w:val="0"/>
          <w:marTop w:val="0"/>
          <w:marBottom w:val="0"/>
          <w:divBdr>
            <w:top w:val="none" w:sz="0" w:space="0" w:color="auto"/>
            <w:left w:val="none" w:sz="0" w:space="0" w:color="auto"/>
            <w:bottom w:val="none" w:sz="0" w:space="0" w:color="auto"/>
            <w:right w:val="none" w:sz="0" w:space="0" w:color="auto"/>
          </w:divBdr>
        </w:div>
      </w:divsChild>
    </w:div>
    <w:div w:id="420954199">
      <w:bodyDiv w:val="1"/>
      <w:marLeft w:val="0"/>
      <w:marRight w:val="0"/>
      <w:marTop w:val="0"/>
      <w:marBottom w:val="0"/>
      <w:divBdr>
        <w:top w:val="none" w:sz="0" w:space="0" w:color="auto"/>
        <w:left w:val="none" w:sz="0" w:space="0" w:color="auto"/>
        <w:bottom w:val="none" w:sz="0" w:space="0" w:color="auto"/>
        <w:right w:val="none" w:sz="0" w:space="0" w:color="auto"/>
      </w:divBdr>
      <w:divsChild>
        <w:div w:id="1784809206">
          <w:marLeft w:val="0"/>
          <w:marRight w:val="0"/>
          <w:marTop w:val="0"/>
          <w:marBottom w:val="0"/>
          <w:divBdr>
            <w:top w:val="none" w:sz="0" w:space="0" w:color="auto"/>
            <w:left w:val="none" w:sz="0" w:space="0" w:color="auto"/>
            <w:bottom w:val="none" w:sz="0" w:space="0" w:color="auto"/>
            <w:right w:val="none" w:sz="0" w:space="0" w:color="auto"/>
          </w:divBdr>
        </w:div>
      </w:divsChild>
    </w:div>
    <w:div w:id="427694990">
      <w:bodyDiv w:val="1"/>
      <w:marLeft w:val="0"/>
      <w:marRight w:val="0"/>
      <w:marTop w:val="0"/>
      <w:marBottom w:val="0"/>
      <w:divBdr>
        <w:top w:val="none" w:sz="0" w:space="0" w:color="auto"/>
        <w:left w:val="none" w:sz="0" w:space="0" w:color="auto"/>
        <w:bottom w:val="none" w:sz="0" w:space="0" w:color="auto"/>
        <w:right w:val="none" w:sz="0" w:space="0" w:color="auto"/>
      </w:divBdr>
      <w:divsChild>
        <w:div w:id="749619946">
          <w:marLeft w:val="0"/>
          <w:marRight w:val="0"/>
          <w:marTop w:val="0"/>
          <w:marBottom w:val="0"/>
          <w:divBdr>
            <w:top w:val="none" w:sz="0" w:space="0" w:color="auto"/>
            <w:left w:val="none" w:sz="0" w:space="0" w:color="auto"/>
            <w:bottom w:val="none" w:sz="0" w:space="0" w:color="auto"/>
            <w:right w:val="none" w:sz="0" w:space="0" w:color="auto"/>
          </w:divBdr>
        </w:div>
      </w:divsChild>
    </w:div>
    <w:div w:id="493108481">
      <w:bodyDiv w:val="1"/>
      <w:marLeft w:val="0"/>
      <w:marRight w:val="0"/>
      <w:marTop w:val="0"/>
      <w:marBottom w:val="0"/>
      <w:divBdr>
        <w:top w:val="none" w:sz="0" w:space="0" w:color="auto"/>
        <w:left w:val="none" w:sz="0" w:space="0" w:color="auto"/>
        <w:bottom w:val="none" w:sz="0" w:space="0" w:color="auto"/>
        <w:right w:val="none" w:sz="0" w:space="0" w:color="auto"/>
      </w:divBdr>
      <w:divsChild>
        <w:div w:id="1419256315">
          <w:marLeft w:val="0"/>
          <w:marRight w:val="0"/>
          <w:marTop w:val="0"/>
          <w:marBottom w:val="0"/>
          <w:divBdr>
            <w:top w:val="none" w:sz="0" w:space="0" w:color="auto"/>
            <w:left w:val="none" w:sz="0" w:space="0" w:color="auto"/>
            <w:bottom w:val="none" w:sz="0" w:space="0" w:color="auto"/>
            <w:right w:val="none" w:sz="0" w:space="0" w:color="auto"/>
          </w:divBdr>
        </w:div>
      </w:divsChild>
    </w:div>
    <w:div w:id="637609529">
      <w:bodyDiv w:val="1"/>
      <w:marLeft w:val="0"/>
      <w:marRight w:val="0"/>
      <w:marTop w:val="0"/>
      <w:marBottom w:val="0"/>
      <w:divBdr>
        <w:top w:val="none" w:sz="0" w:space="0" w:color="auto"/>
        <w:left w:val="none" w:sz="0" w:space="0" w:color="auto"/>
        <w:bottom w:val="none" w:sz="0" w:space="0" w:color="auto"/>
        <w:right w:val="none" w:sz="0" w:space="0" w:color="auto"/>
      </w:divBdr>
      <w:divsChild>
        <w:div w:id="2091193546">
          <w:marLeft w:val="0"/>
          <w:marRight w:val="0"/>
          <w:marTop w:val="0"/>
          <w:marBottom w:val="0"/>
          <w:divBdr>
            <w:top w:val="none" w:sz="0" w:space="0" w:color="auto"/>
            <w:left w:val="none" w:sz="0" w:space="0" w:color="auto"/>
            <w:bottom w:val="none" w:sz="0" w:space="0" w:color="auto"/>
            <w:right w:val="none" w:sz="0" w:space="0" w:color="auto"/>
          </w:divBdr>
        </w:div>
      </w:divsChild>
    </w:div>
    <w:div w:id="927426716">
      <w:bodyDiv w:val="1"/>
      <w:marLeft w:val="0"/>
      <w:marRight w:val="0"/>
      <w:marTop w:val="0"/>
      <w:marBottom w:val="0"/>
      <w:divBdr>
        <w:top w:val="none" w:sz="0" w:space="0" w:color="auto"/>
        <w:left w:val="none" w:sz="0" w:space="0" w:color="auto"/>
        <w:bottom w:val="none" w:sz="0" w:space="0" w:color="auto"/>
        <w:right w:val="none" w:sz="0" w:space="0" w:color="auto"/>
      </w:divBdr>
      <w:divsChild>
        <w:div w:id="1430856761">
          <w:marLeft w:val="0"/>
          <w:marRight w:val="0"/>
          <w:marTop w:val="0"/>
          <w:marBottom w:val="0"/>
          <w:divBdr>
            <w:top w:val="none" w:sz="0" w:space="0" w:color="auto"/>
            <w:left w:val="none" w:sz="0" w:space="0" w:color="auto"/>
            <w:bottom w:val="none" w:sz="0" w:space="0" w:color="auto"/>
            <w:right w:val="none" w:sz="0" w:space="0" w:color="auto"/>
          </w:divBdr>
        </w:div>
      </w:divsChild>
    </w:div>
    <w:div w:id="946423157">
      <w:bodyDiv w:val="1"/>
      <w:marLeft w:val="0"/>
      <w:marRight w:val="0"/>
      <w:marTop w:val="0"/>
      <w:marBottom w:val="0"/>
      <w:divBdr>
        <w:top w:val="none" w:sz="0" w:space="0" w:color="auto"/>
        <w:left w:val="none" w:sz="0" w:space="0" w:color="auto"/>
        <w:bottom w:val="none" w:sz="0" w:space="0" w:color="auto"/>
        <w:right w:val="none" w:sz="0" w:space="0" w:color="auto"/>
      </w:divBdr>
      <w:divsChild>
        <w:div w:id="924925094">
          <w:marLeft w:val="0"/>
          <w:marRight w:val="0"/>
          <w:marTop w:val="0"/>
          <w:marBottom w:val="0"/>
          <w:divBdr>
            <w:top w:val="none" w:sz="0" w:space="0" w:color="auto"/>
            <w:left w:val="none" w:sz="0" w:space="0" w:color="auto"/>
            <w:bottom w:val="none" w:sz="0" w:space="0" w:color="auto"/>
            <w:right w:val="none" w:sz="0" w:space="0" w:color="auto"/>
          </w:divBdr>
        </w:div>
      </w:divsChild>
    </w:div>
    <w:div w:id="963464866">
      <w:bodyDiv w:val="1"/>
      <w:marLeft w:val="0"/>
      <w:marRight w:val="0"/>
      <w:marTop w:val="0"/>
      <w:marBottom w:val="0"/>
      <w:divBdr>
        <w:top w:val="none" w:sz="0" w:space="0" w:color="auto"/>
        <w:left w:val="none" w:sz="0" w:space="0" w:color="auto"/>
        <w:bottom w:val="none" w:sz="0" w:space="0" w:color="auto"/>
        <w:right w:val="none" w:sz="0" w:space="0" w:color="auto"/>
      </w:divBdr>
      <w:divsChild>
        <w:div w:id="1388450752">
          <w:marLeft w:val="0"/>
          <w:marRight w:val="0"/>
          <w:marTop w:val="0"/>
          <w:marBottom w:val="0"/>
          <w:divBdr>
            <w:top w:val="none" w:sz="0" w:space="0" w:color="auto"/>
            <w:left w:val="none" w:sz="0" w:space="0" w:color="auto"/>
            <w:bottom w:val="none" w:sz="0" w:space="0" w:color="auto"/>
            <w:right w:val="none" w:sz="0" w:space="0" w:color="auto"/>
          </w:divBdr>
        </w:div>
      </w:divsChild>
    </w:div>
    <w:div w:id="1270090785">
      <w:bodyDiv w:val="1"/>
      <w:marLeft w:val="0"/>
      <w:marRight w:val="0"/>
      <w:marTop w:val="0"/>
      <w:marBottom w:val="0"/>
      <w:divBdr>
        <w:top w:val="none" w:sz="0" w:space="0" w:color="auto"/>
        <w:left w:val="none" w:sz="0" w:space="0" w:color="auto"/>
        <w:bottom w:val="none" w:sz="0" w:space="0" w:color="auto"/>
        <w:right w:val="none" w:sz="0" w:space="0" w:color="auto"/>
      </w:divBdr>
      <w:divsChild>
        <w:div w:id="155272142">
          <w:marLeft w:val="0"/>
          <w:marRight w:val="0"/>
          <w:marTop w:val="0"/>
          <w:marBottom w:val="0"/>
          <w:divBdr>
            <w:top w:val="none" w:sz="0" w:space="0" w:color="auto"/>
            <w:left w:val="none" w:sz="0" w:space="0" w:color="auto"/>
            <w:bottom w:val="none" w:sz="0" w:space="0" w:color="auto"/>
            <w:right w:val="none" w:sz="0" w:space="0" w:color="auto"/>
          </w:divBdr>
        </w:div>
      </w:divsChild>
    </w:div>
    <w:div w:id="1391072754">
      <w:bodyDiv w:val="1"/>
      <w:marLeft w:val="0"/>
      <w:marRight w:val="0"/>
      <w:marTop w:val="0"/>
      <w:marBottom w:val="0"/>
      <w:divBdr>
        <w:top w:val="none" w:sz="0" w:space="0" w:color="auto"/>
        <w:left w:val="none" w:sz="0" w:space="0" w:color="auto"/>
        <w:bottom w:val="none" w:sz="0" w:space="0" w:color="auto"/>
        <w:right w:val="none" w:sz="0" w:space="0" w:color="auto"/>
      </w:divBdr>
      <w:divsChild>
        <w:div w:id="1740253626">
          <w:marLeft w:val="0"/>
          <w:marRight w:val="0"/>
          <w:marTop w:val="0"/>
          <w:marBottom w:val="0"/>
          <w:divBdr>
            <w:top w:val="none" w:sz="0" w:space="0" w:color="auto"/>
            <w:left w:val="none" w:sz="0" w:space="0" w:color="auto"/>
            <w:bottom w:val="none" w:sz="0" w:space="0" w:color="auto"/>
            <w:right w:val="none" w:sz="0" w:space="0" w:color="auto"/>
          </w:divBdr>
        </w:div>
      </w:divsChild>
    </w:div>
    <w:div w:id="1493057214">
      <w:bodyDiv w:val="1"/>
      <w:marLeft w:val="0"/>
      <w:marRight w:val="0"/>
      <w:marTop w:val="0"/>
      <w:marBottom w:val="0"/>
      <w:divBdr>
        <w:top w:val="none" w:sz="0" w:space="0" w:color="auto"/>
        <w:left w:val="none" w:sz="0" w:space="0" w:color="auto"/>
        <w:bottom w:val="none" w:sz="0" w:space="0" w:color="auto"/>
        <w:right w:val="none" w:sz="0" w:space="0" w:color="auto"/>
      </w:divBdr>
      <w:divsChild>
        <w:div w:id="2073313497">
          <w:marLeft w:val="0"/>
          <w:marRight w:val="0"/>
          <w:marTop w:val="0"/>
          <w:marBottom w:val="0"/>
          <w:divBdr>
            <w:top w:val="none" w:sz="0" w:space="0" w:color="auto"/>
            <w:left w:val="none" w:sz="0" w:space="0" w:color="auto"/>
            <w:bottom w:val="none" w:sz="0" w:space="0" w:color="auto"/>
            <w:right w:val="none" w:sz="0" w:space="0" w:color="auto"/>
          </w:divBdr>
        </w:div>
      </w:divsChild>
    </w:div>
    <w:div w:id="1594163222">
      <w:bodyDiv w:val="1"/>
      <w:marLeft w:val="0"/>
      <w:marRight w:val="0"/>
      <w:marTop w:val="0"/>
      <w:marBottom w:val="0"/>
      <w:divBdr>
        <w:top w:val="none" w:sz="0" w:space="0" w:color="auto"/>
        <w:left w:val="none" w:sz="0" w:space="0" w:color="auto"/>
        <w:bottom w:val="none" w:sz="0" w:space="0" w:color="auto"/>
        <w:right w:val="none" w:sz="0" w:space="0" w:color="auto"/>
      </w:divBdr>
      <w:divsChild>
        <w:div w:id="713508905">
          <w:marLeft w:val="0"/>
          <w:marRight w:val="0"/>
          <w:marTop w:val="0"/>
          <w:marBottom w:val="0"/>
          <w:divBdr>
            <w:top w:val="none" w:sz="0" w:space="0" w:color="auto"/>
            <w:left w:val="none" w:sz="0" w:space="0" w:color="auto"/>
            <w:bottom w:val="none" w:sz="0" w:space="0" w:color="auto"/>
            <w:right w:val="none" w:sz="0" w:space="0" w:color="auto"/>
          </w:divBdr>
        </w:div>
      </w:divsChild>
    </w:div>
    <w:div w:id="1714236491">
      <w:bodyDiv w:val="1"/>
      <w:marLeft w:val="0"/>
      <w:marRight w:val="0"/>
      <w:marTop w:val="0"/>
      <w:marBottom w:val="0"/>
      <w:divBdr>
        <w:top w:val="none" w:sz="0" w:space="0" w:color="auto"/>
        <w:left w:val="none" w:sz="0" w:space="0" w:color="auto"/>
        <w:bottom w:val="none" w:sz="0" w:space="0" w:color="auto"/>
        <w:right w:val="none" w:sz="0" w:space="0" w:color="auto"/>
      </w:divBdr>
      <w:divsChild>
        <w:div w:id="1157258062">
          <w:marLeft w:val="0"/>
          <w:marRight w:val="0"/>
          <w:marTop w:val="0"/>
          <w:marBottom w:val="0"/>
          <w:divBdr>
            <w:top w:val="none" w:sz="0" w:space="0" w:color="auto"/>
            <w:left w:val="none" w:sz="0" w:space="0" w:color="auto"/>
            <w:bottom w:val="none" w:sz="0" w:space="0" w:color="auto"/>
            <w:right w:val="none" w:sz="0" w:space="0" w:color="auto"/>
          </w:divBdr>
        </w:div>
      </w:divsChild>
    </w:div>
    <w:div w:id="1795513367">
      <w:bodyDiv w:val="1"/>
      <w:marLeft w:val="0"/>
      <w:marRight w:val="0"/>
      <w:marTop w:val="0"/>
      <w:marBottom w:val="0"/>
      <w:divBdr>
        <w:top w:val="none" w:sz="0" w:space="0" w:color="auto"/>
        <w:left w:val="none" w:sz="0" w:space="0" w:color="auto"/>
        <w:bottom w:val="none" w:sz="0" w:space="0" w:color="auto"/>
        <w:right w:val="none" w:sz="0" w:space="0" w:color="auto"/>
      </w:divBdr>
      <w:divsChild>
        <w:div w:id="174152193">
          <w:marLeft w:val="0"/>
          <w:marRight w:val="0"/>
          <w:marTop w:val="0"/>
          <w:marBottom w:val="0"/>
          <w:divBdr>
            <w:top w:val="none" w:sz="0" w:space="0" w:color="auto"/>
            <w:left w:val="none" w:sz="0" w:space="0" w:color="auto"/>
            <w:bottom w:val="none" w:sz="0" w:space="0" w:color="auto"/>
            <w:right w:val="none" w:sz="0" w:space="0" w:color="auto"/>
          </w:divBdr>
        </w:div>
      </w:divsChild>
    </w:div>
    <w:div w:id="1799958742">
      <w:bodyDiv w:val="1"/>
      <w:marLeft w:val="0"/>
      <w:marRight w:val="0"/>
      <w:marTop w:val="0"/>
      <w:marBottom w:val="0"/>
      <w:divBdr>
        <w:top w:val="none" w:sz="0" w:space="0" w:color="auto"/>
        <w:left w:val="none" w:sz="0" w:space="0" w:color="auto"/>
        <w:bottom w:val="none" w:sz="0" w:space="0" w:color="auto"/>
        <w:right w:val="none" w:sz="0" w:space="0" w:color="auto"/>
      </w:divBdr>
      <w:divsChild>
        <w:div w:id="471406116">
          <w:marLeft w:val="0"/>
          <w:marRight w:val="0"/>
          <w:marTop w:val="0"/>
          <w:marBottom w:val="0"/>
          <w:divBdr>
            <w:top w:val="none" w:sz="0" w:space="0" w:color="auto"/>
            <w:left w:val="none" w:sz="0" w:space="0" w:color="auto"/>
            <w:bottom w:val="none" w:sz="0" w:space="0" w:color="auto"/>
            <w:right w:val="none" w:sz="0" w:space="0" w:color="auto"/>
          </w:divBdr>
        </w:div>
      </w:divsChild>
    </w:div>
    <w:div w:id="1987051924">
      <w:bodyDiv w:val="1"/>
      <w:marLeft w:val="0"/>
      <w:marRight w:val="0"/>
      <w:marTop w:val="0"/>
      <w:marBottom w:val="0"/>
      <w:divBdr>
        <w:top w:val="none" w:sz="0" w:space="0" w:color="auto"/>
        <w:left w:val="none" w:sz="0" w:space="0" w:color="auto"/>
        <w:bottom w:val="none" w:sz="0" w:space="0" w:color="auto"/>
        <w:right w:val="none" w:sz="0" w:space="0" w:color="auto"/>
      </w:divBdr>
      <w:divsChild>
        <w:div w:id="20928471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TotalTime>
  <Pages>8</Pages>
  <Words>2152</Words>
  <Characters>12269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life course approach</dc:title>
  <dc:subject>The mental health impact</dc:subject>
  <dc:creator>Llinos Price (2409062)</dc:creator>
  <cp:keywords/>
  <dc:description/>
  <cp:lastModifiedBy>Llinos Price (2409062)</cp:lastModifiedBy>
  <cp:revision>2</cp:revision>
  <dcterms:created xsi:type="dcterms:W3CDTF">2025-05-09T17:22:00Z</dcterms:created>
  <dcterms:modified xsi:type="dcterms:W3CDTF">2025-05-09T18:31:00Z</dcterms:modified>
</cp:coreProperties>
</file>