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F7B99" w:rsidRPr="007F7B99" w:rsidRDefault="007F7B99" w:rsidP="00F47F4C">
      <w:pPr>
        <w:tabs>
          <w:tab w:val="center" w:pos="4513"/>
        </w:tabs>
        <w:suppressAutoHyphens/>
        <w:spacing w:line="240" w:lineRule="atLeast"/>
        <w:jc w:val="both"/>
        <w:rPr>
          <w:rFonts w:ascii="Calibri" w:hAnsi="Calibri"/>
          <w:spacing w:val="-3"/>
          <w:sz w:val="24"/>
          <w:szCs w:val="24"/>
        </w:rPr>
      </w:pPr>
      <w:r w:rsidRPr="007F7B99">
        <w:rPr>
          <w:rFonts w:ascii="Calibri" w:hAnsi="Calibri"/>
          <w:b/>
          <w:bCs/>
          <w:spacing w:val="-3"/>
          <w:sz w:val="24"/>
          <w:szCs w:val="24"/>
        </w:rPr>
        <w:t>ASSESSMENT 2</w:t>
      </w:r>
    </w:p>
    <w:p w:rsidR="007F7B99" w:rsidRPr="007F7B99" w:rsidRDefault="007F7B99" w:rsidP="00F47F4C">
      <w:pPr>
        <w:tabs>
          <w:tab w:val="center" w:pos="4513"/>
        </w:tabs>
        <w:suppressAutoHyphens/>
        <w:spacing w:line="240" w:lineRule="atLeast"/>
        <w:jc w:val="both"/>
        <w:rPr>
          <w:rFonts w:ascii="Calibri" w:hAnsi="Calibri"/>
          <w:bCs/>
          <w:i/>
          <w:spacing w:val="-3"/>
          <w:sz w:val="24"/>
          <w:szCs w:val="24"/>
        </w:rPr>
      </w:pPr>
    </w:p>
    <w:p w:rsidR="007F7B99" w:rsidRPr="007F7B99" w:rsidRDefault="007F7B99" w:rsidP="00F47F4C">
      <w:pPr>
        <w:tabs>
          <w:tab w:val="center" w:pos="4513"/>
        </w:tabs>
        <w:suppressAutoHyphens/>
        <w:spacing w:line="240" w:lineRule="atLeast"/>
        <w:jc w:val="both"/>
        <w:rPr>
          <w:rFonts w:ascii="Calibri" w:hAnsi="Calibri"/>
          <w:bCs/>
          <w:i/>
          <w:spacing w:val="-3"/>
          <w:sz w:val="24"/>
          <w:szCs w:val="24"/>
        </w:rPr>
      </w:pPr>
      <w:r w:rsidRPr="007F7B99">
        <w:rPr>
          <w:rFonts w:ascii="Calibri" w:hAnsi="Calibri"/>
          <w:bCs/>
          <w:i/>
          <w:spacing w:val="-3"/>
          <w:sz w:val="24"/>
          <w:szCs w:val="24"/>
        </w:rPr>
        <w:t>Deadline: 19 January 2018</w:t>
      </w:r>
      <w:r w:rsidRPr="007F7B99">
        <w:rPr>
          <w:rFonts w:ascii="Calibri" w:hAnsi="Calibri"/>
          <w:b/>
          <w:bCs/>
          <w:i/>
          <w:spacing w:val="-3"/>
          <w:sz w:val="24"/>
          <w:szCs w:val="24"/>
        </w:rPr>
        <w:t>(Now 26</w:t>
      </w:r>
      <w:r w:rsidRPr="007F7B99">
        <w:rPr>
          <w:rFonts w:ascii="Calibri" w:hAnsi="Calibri"/>
          <w:b/>
          <w:bCs/>
          <w:i/>
          <w:spacing w:val="-3"/>
          <w:sz w:val="24"/>
          <w:szCs w:val="24"/>
          <w:vertAlign w:val="superscript"/>
        </w:rPr>
        <w:t>th</w:t>
      </w:r>
      <w:r w:rsidRPr="007F7B99">
        <w:rPr>
          <w:rFonts w:ascii="Calibri" w:hAnsi="Calibri"/>
          <w:b/>
          <w:bCs/>
          <w:i/>
          <w:spacing w:val="-3"/>
          <w:sz w:val="24"/>
          <w:szCs w:val="24"/>
        </w:rPr>
        <w:t xml:space="preserve"> January 2018</w:t>
      </w:r>
      <w:r w:rsidRPr="007F7B99">
        <w:rPr>
          <w:rFonts w:ascii="Calibri" w:hAnsi="Calibri"/>
          <w:bCs/>
          <w:i/>
          <w:spacing w:val="-3"/>
          <w:sz w:val="24"/>
          <w:szCs w:val="24"/>
        </w:rPr>
        <w:t xml:space="preserve"> with differentiated deadline)</w:t>
      </w:r>
    </w:p>
    <w:p w:rsidR="007F7B99" w:rsidRPr="007F7B99" w:rsidRDefault="007F7B99" w:rsidP="00F47F4C">
      <w:pPr>
        <w:pStyle w:val="NormalWeb"/>
        <w:spacing w:before="0" w:beforeAutospacing="0" w:after="0" w:afterAutospacing="0"/>
        <w:ind w:left="720" w:hanging="720"/>
        <w:jc w:val="both"/>
        <w:rPr>
          <w:rFonts w:ascii="Calibri" w:hAnsi="Calibri"/>
          <w:b/>
        </w:rPr>
      </w:pPr>
    </w:p>
    <w:p w:rsidR="007F7B99" w:rsidRPr="007F7B99" w:rsidRDefault="007F7B99" w:rsidP="00F47F4C">
      <w:pPr>
        <w:pStyle w:val="NormalWeb"/>
        <w:spacing w:before="0" w:beforeAutospacing="0" w:after="0" w:afterAutospacing="0"/>
        <w:ind w:left="720" w:hanging="720"/>
        <w:jc w:val="both"/>
        <w:rPr>
          <w:rFonts w:ascii="Calibri" w:hAnsi="Calibri"/>
          <w:b/>
        </w:rPr>
      </w:pPr>
    </w:p>
    <w:p w:rsidR="007F7B99" w:rsidRPr="007F7B99" w:rsidRDefault="007F7B99" w:rsidP="00F47F4C">
      <w:pPr>
        <w:pStyle w:val="NormalWeb"/>
        <w:spacing w:before="0" w:beforeAutospacing="0" w:after="0" w:afterAutospacing="0"/>
        <w:ind w:left="720" w:hanging="720"/>
        <w:jc w:val="both"/>
        <w:rPr>
          <w:rFonts w:ascii="Calibri" w:hAnsi="Calibri"/>
          <w:b/>
        </w:rPr>
      </w:pPr>
      <w:r w:rsidRPr="007F7B99">
        <w:rPr>
          <w:rFonts w:ascii="Calibri" w:hAnsi="Calibri"/>
          <w:b/>
        </w:rPr>
        <w:t>Write one essay of 3000 words (worth 50%)</w:t>
      </w:r>
    </w:p>
    <w:p w:rsidR="007F7B99" w:rsidRPr="007F7B99" w:rsidRDefault="007F7B99" w:rsidP="00F47F4C">
      <w:pPr>
        <w:jc w:val="both"/>
        <w:rPr>
          <w:sz w:val="24"/>
          <w:szCs w:val="24"/>
        </w:rPr>
      </w:pPr>
    </w:p>
    <w:p w:rsidR="007F7B99" w:rsidRDefault="007F7B99" w:rsidP="00F47F4C">
      <w:pPr>
        <w:ind w:left="360"/>
        <w:contextualSpacing/>
        <w:jc w:val="both"/>
        <w:rPr>
          <w:rFonts w:ascii="Calibri" w:hAnsi="Calibri" w:cs="Calibri"/>
          <w:b/>
          <w:sz w:val="24"/>
          <w:szCs w:val="24"/>
        </w:rPr>
      </w:pPr>
      <w:r w:rsidRPr="007F7B99">
        <w:rPr>
          <w:rFonts w:ascii="Calibri" w:hAnsi="Calibri" w:cs="Calibri"/>
          <w:b/>
          <w:sz w:val="24"/>
          <w:szCs w:val="24"/>
        </w:rPr>
        <w:t>To what extent were the Normans united by a shared sense of identity?</w:t>
      </w:r>
    </w:p>
    <w:p w:rsidR="007F7B99" w:rsidRDefault="007F7B99" w:rsidP="00F47F4C">
      <w:pPr>
        <w:ind w:left="360"/>
        <w:contextualSpacing/>
        <w:jc w:val="both"/>
        <w:rPr>
          <w:rFonts w:ascii="Calibri" w:hAnsi="Calibri" w:cs="Calibri"/>
          <w:b/>
          <w:sz w:val="24"/>
          <w:szCs w:val="24"/>
        </w:rPr>
      </w:pPr>
    </w:p>
    <w:p w:rsidR="00D62AAA" w:rsidRDefault="00D62AAA" w:rsidP="00F47F4C">
      <w:pPr>
        <w:ind w:left="360"/>
        <w:contextualSpacing/>
        <w:jc w:val="both"/>
      </w:pPr>
    </w:p>
    <w:p w:rsidR="00D62AAA" w:rsidRDefault="00D62AAA" w:rsidP="00F47F4C">
      <w:pPr>
        <w:jc w:val="both"/>
      </w:pPr>
      <w:r>
        <w:br w:type="page"/>
      </w:r>
    </w:p>
    <w:p w:rsidR="007F7B99" w:rsidRDefault="00D62AAA" w:rsidP="00F47F4C">
      <w:pPr>
        <w:ind w:left="360"/>
        <w:contextualSpacing/>
        <w:jc w:val="both"/>
      </w:pPr>
      <w:r>
        <w:lastRenderedPageBreak/>
        <w:t>When it comes to the study of the Normans within the context of modern scholarship, a question that has arisen often is that of their identity – specifically, were the Normans ever united by a shared sense of identity? Or is this concept a product (or more precisely a myth) of notions expressed in both primary source material and modern scholarship? The answer, in short, is that both of these ideas are correct to an extent</w:t>
      </w:r>
      <w:r w:rsidR="00F47F4C">
        <w:t xml:space="preserve"> that some shared sense of identity did exist within the Norman consciousness, albeit for a relatively short period of time – and that the loss of this identity, therefore, occurred just as swiftly as it had emerged</w:t>
      </w:r>
      <w:r w:rsidR="009C6C27">
        <w:t xml:space="preserve"> in the mid-tenth century</w:t>
      </w:r>
      <w:r w:rsidR="00F47F4C">
        <w:t>.</w:t>
      </w:r>
      <w:r w:rsidR="00834703">
        <w:rPr>
          <w:rStyle w:val="FootnoteReference"/>
        </w:rPr>
        <w:footnoteReference w:id="1"/>
      </w:r>
      <w:r w:rsidR="00DC0C54">
        <w:t xml:space="preserve"> Conversely, it is important to discuss that the concept of being “Norman” is a product of circumstance rather than shared ideals, in the sense that it was a response to the political crisis (and a continuation of policy) within Normandy that followed the assassination of William Longsword </w:t>
      </w:r>
      <w:r w:rsidR="00E3748B">
        <w:t xml:space="preserve">(r. 927 – 942) </w:t>
      </w:r>
      <w:r w:rsidR="00DC0C54">
        <w:t>in 942</w:t>
      </w:r>
      <w:r w:rsidR="001A26EA">
        <w:t xml:space="preserve"> at the hands of Arnulf of Flanders</w:t>
      </w:r>
      <w:r w:rsidR="00DC0C54">
        <w:t>.</w:t>
      </w:r>
      <w:r w:rsidR="00DC0C54">
        <w:rPr>
          <w:rStyle w:val="FootnoteReference"/>
        </w:rPr>
        <w:footnoteReference w:id="2"/>
      </w:r>
      <w:r w:rsidR="00DC0C54">
        <w:t xml:space="preserve"> </w:t>
      </w:r>
      <w:r w:rsidR="007723F9">
        <w:t xml:space="preserve"> The scope of this investigation, as such, will focus not only on tracing as to when the rise and fall of this identity occurred, but also the characteristics that make up “Normannitas” – namely emigration, integration, faith, and the notion of </w:t>
      </w:r>
      <w:r w:rsidR="00AF4086">
        <w:t>the</w:t>
      </w:r>
      <w:r w:rsidR="007723F9">
        <w:t xml:space="preserve"> “warrior culture”. </w:t>
      </w:r>
    </w:p>
    <w:p w:rsidR="00F4688F" w:rsidRDefault="00F4688F" w:rsidP="00F47F4C">
      <w:pPr>
        <w:ind w:left="360"/>
        <w:contextualSpacing/>
        <w:jc w:val="both"/>
      </w:pPr>
    </w:p>
    <w:p w:rsidR="007659B0" w:rsidRPr="008322EC" w:rsidRDefault="00F4688F" w:rsidP="007659B0">
      <w:pPr>
        <w:ind w:left="360"/>
        <w:contextualSpacing/>
        <w:jc w:val="both"/>
      </w:pPr>
      <w:r>
        <w:t xml:space="preserve">In order to begin this investigation, attention should therefore first be turned to developments within Normandy during the tenth century – specifically those of Richard I </w:t>
      </w:r>
      <w:r w:rsidR="001275E0">
        <w:t>[the Fearless]</w:t>
      </w:r>
      <w:r w:rsidR="00833138">
        <w:t xml:space="preserve"> of Normandy</w:t>
      </w:r>
      <w:r w:rsidR="00E3748B">
        <w:t xml:space="preserve"> (r. 942</w:t>
      </w:r>
      <w:r w:rsidR="00833138">
        <w:t xml:space="preserve"> – 996).</w:t>
      </w:r>
      <w:r w:rsidR="004D2A78">
        <w:rPr>
          <w:rStyle w:val="FootnoteReference"/>
        </w:rPr>
        <w:footnoteReference w:id="3"/>
      </w:r>
      <w:r w:rsidR="000C5843">
        <w:t xml:space="preserve"> </w:t>
      </w:r>
      <w:r w:rsidR="00D52BE3">
        <w:t xml:space="preserve"> Although </w:t>
      </w:r>
      <w:r w:rsidR="00E3748B">
        <w:t>the process of assimilation had already begun under the regimes of Rollo (r. 911 – 927)</w:t>
      </w:r>
      <w:r w:rsidR="0020765C">
        <w:t xml:space="preserve"> and William Longsword, the policies</w:t>
      </w:r>
      <w:r w:rsidR="00EE1224">
        <w:t xml:space="preserve"> that were</w:t>
      </w:r>
      <w:r w:rsidR="0020765C">
        <w:t xml:space="preserve"> put</w:t>
      </w:r>
      <w:r w:rsidR="00C55375">
        <w:t xml:space="preserve"> into effect during this </w:t>
      </w:r>
      <w:r w:rsidR="00EE1224">
        <w:t>period, such as the arranged marriages of William to Luitgarde of Vermandois (daughter of Hubert II), and of his sister Gerloc-Ad</w:t>
      </w:r>
      <w:r w:rsidR="00EE1224">
        <w:rPr>
          <w:rFonts w:cstheme="minorHAnsi"/>
        </w:rPr>
        <w:t>è</w:t>
      </w:r>
      <w:r w:rsidR="00EE1224">
        <w:t>le</w:t>
      </w:r>
      <w:r w:rsidR="00052161">
        <w:t xml:space="preserve"> to William Towhead of Aquitaine </w:t>
      </w:r>
      <w:r w:rsidR="00463CA9">
        <w:t>in 935 were not intended to create an identity, but rather to build connections and further integrate Normandy into the political sphere that was Western Francia.</w:t>
      </w:r>
      <w:r w:rsidR="00463CA9">
        <w:rPr>
          <w:rStyle w:val="FootnoteReference"/>
        </w:rPr>
        <w:footnoteReference w:id="4"/>
      </w:r>
      <w:r w:rsidR="005947E9">
        <w:t xml:space="preserve">  These developments were based more on convenience – given the instability that had arisen from the ongoing war between Louis d’Outremer and Hugh the Great – and as such were pragmatic in nature.</w:t>
      </w:r>
      <w:r w:rsidR="005947E9">
        <w:rPr>
          <w:rStyle w:val="FootnoteReference"/>
        </w:rPr>
        <w:footnoteReference w:id="5"/>
      </w:r>
      <w:r w:rsidR="005947E9">
        <w:t xml:space="preserve"> </w:t>
      </w:r>
      <w:r w:rsidR="00DB5EF2">
        <w:t>It is not until the crises of 942 – 966 and the reign of Richard that one can there</w:t>
      </w:r>
      <w:r w:rsidR="000E5A9C">
        <w:t xml:space="preserve">fore observe any serious attempt to build a </w:t>
      </w:r>
      <w:r w:rsidR="00F55052">
        <w:t xml:space="preserve">society centred on the notion of a </w:t>
      </w:r>
      <w:r w:rsidR="000E5A9C">
        <w:t>shared ethnic</w:t>
      </w:r>
      <w:r w:rsidR="00F55052">
        <w:t xml:space="preserve"> </w:t>
      </w:r>
      <w:r w:rsidR="00016E64">
        <w:t>identity; though originally a product of circumstance, these changes would soon become essential tools of ducal authority and the basis of Normandy’s long-term aim of being a major power.</w:t>
      </w:r>
      <w:r w:rsidR="00432CFF">
        <w:rPr>
          <w:rStyle w:val="FootnoteReference"/>
        </w:rPr>
        <w:footnoteReference w:id="6"/>
      </w:r>
      <w:r w:rsidR="005127D4">
        <w:t xml:space="preserve"> This principle implemented into practice on two fronts: the co-option of what was essentially the Carolingian </w:t>
      </w:r>
      <w:r w:rsidR="00432CFF">
        <w:t>language of authority (</w:t>
      </w:r>
      <w:r w:rsidR="00432CFF">
        <w:rPr>
          <w:i/>
        </w:rPr>
        <w:t>lingua franca</w:t>
      </w:r>
      <w:r w:rsidR="00432CFF">
        <w:t>) and th</w:t>
      </w:r>
      <w:r w:rsidR="008322EC">
        <w:t xml:space="preserve">e structures that came with it, along with the shrewd use of Dudo of Saint Quentin’s </w:t>
      </w:r>
      <w:r w:rsidR="008322EC">
        <w:rPr>
          <w:i/>
        </w:rPr>
        <w:t>Gesta Normanorrum</w:t>
      </w:r>
      <w:r w:rsidR="007659B0">
        <w:t>.</w:t>
      </w:r>
      <w:r w:rsidR="00FC74D2">
        <w:rPr>
          <w:rStyle w:val="FootnoteReference"/>
        </w:rPr>
        <w:footnoteReference w:id="7"/>
      </w:r>
      <w:r w:rsidR="007659B0">
        <w:t xml:space="preserve"> </w:t>
      </w:r>
      <w:r w:rsidR="008322EC">
        <w:t xml:space="preserve"> </w:t>
      </w:r>
      <w:r w:rsidR="00EC1D85">
        <w:t>Such deliberate use</w:t>
      </w:r>
      <w:r w:rsidR="007659B0">
        <w:t xml:space="preserve"> was </w:t>
      </w:r>
      <w:r w:rsidR="008322EC">
        <w:t>to not only</w:t>
      </w:r>
      <w:r w:rsidR="005E315B">
        <w:t xml:space="preserve"> to</w:t>
      </w:r>
      <w:r w:rsidR="008322EC">
        <w:t xml:space="preserve"> control the narrative of their past, but also their present – and to therefore create an identity </w:t>
      </w:r>
      <w:r w:rsidR="007659B0">
        <w:t>(</w:t>
      </w:r>
      <w:r w:rsidR="008322EC">
        <w:t xml:space="preserve">albeit </w:t>
      </w:r>
      <w:r w:rsidR="007659B0">
        <w:t xml:space="preserve">an </w:t>
      </w:r>
      <w:r w:rsidR="008322EC">
        <w:t>artificial</w:t>
      </w:r>
      <w:r w:rsidR="007659B0">
        <w:t xml:space="preserve"> one) for an entirely new audience.</w:t>
      </w:r>
    </w:p>
    <w:p w:rsidR="00EC1D85" w:rsidRDefault="00EC1D85">
      <w:pPr>
        <w:ind w:left="360"/>
        <w:contextualSpacing/>
        <w:jc w:val="both"/>
      </w:pPr>
    </w:p>
    <w:p w:rsidR="0095675C" w:rsidRDefault="00DF28C1" w:rsidP="00C87134">
      <w:pPr>
        <w:spacing w:before="240"/>
        <w:ind w:left="360"/>
        <w:contextualSpacing/>
        <w:jc w:val="both"/>
      </w:pPr>
      <w:r>
        <w:lastRenderedPageBreak/>
        <w:t xml:space="preserve">The former can be seen Richard’s self-investment as “Count of Rouen” on the death of his father – as traceable to William’s </w:t>
      </w:r>
      <w:r>
        <w:rPr>
          <w:i/>
        </w:rPr>
        <w:t>Planctus</w:t>
      </w:r>
      <w:r w:rsidR="00C87134">
        <w:t xml:space="preserve"> (a poem of mourning, a memento mori</w:t>
      </w:r>
      <w:r w:rsidR="00180F38">
        <w:t xml:space="preserve">; </w:t>
      </w:r>
      <w:r w:rsidR="00C87134">
        <w:t xml:space="preserve">only two eleventh century reproductions of the original manuscript </w:t>
      </w:r>
      <w:r w:rsidR="00BF4FCA">
        <w:t>survive). This example is a significant text within Normandy’s historical canon as it is the earliest recorded instance of the term’s usage in a manuscript that has been explicitly commissioned by a patron of the Rolloid dynasty – and as such shows the willingness to co-opt it for their own use.</w:t>
      </w:r>
      <w:r w:rsidR="00301A26">
        <w:rPr>
          <w:rStyle w:val="FootnoteReference"/>
        </w:rPr>
        <w:footnoteReference w:id="8"/>
      </w:r>
      <w:r w:rsidR="005E315B">
        <w:t xml:space="preserve"> And more importantly, how the court at Rouen saw itself as Carolingian in culture, a Frankish satellite that in turn now had the right to demand to be treated as </w:t>
      </w:r>
      <w:r w:rsidR="00FD3C32">
        <w:t xml:space="preserve">equals by their peers. </w:t>
      </w:r>
      <w:r w:rsidR="002E74D5">
        <w:t xml:space="preserve"> To put this into perspective, one has to consider that there is no evidence for the usage of the term “Count” to describe any aristocrats within the general area of Rouen before Rollo’s landing in Neustria at the end of the ninth century, or before William’s Planctus </w:t>
      </w:r>
      <w:r w:rsidR="009F272C">
        <w:t>of 942.</w:t>
      </w:r>
      <w:r w:rsidR="00A44B59">
        <w:rPr>
          <w:rStyle w:val="FootnoteReference"/>
        </w:rPr>
        <w:footnoteReference w:id="9"/>
      </w:r>
      <w:r w:rsidR="009F272C">
        <w:t xml:space="preserve"> T</w:t>
      </w:r>
      <w:r w:rsidR="00F32242">
        <w:t>hough there exists evidence of a Carolingian count administering Rouen in the charters of Charles the Simple (dated to c. 905), a supposed “Odilard”</w:t>
      </w:r>
      <w:r w:rsidR="000A7F08">
        <w:t>, it</w:t>
      </w:r>
      <w:r w:rsidR="009F272C">
        <w:t xml:space="preserve"> is important to note that this does not necessarily point to him being count of Rouen – seeing as he is far more likely to be</w:t>
      </w:r>
      <w:r w:rsidR="00E756EF">
        <w:t xml:space="preserve"> from Laon, and that Rouen may merely have fallen into the borders of his land grant.</w:t>
      </w:r>
      <w:r w:rsidR="005B50F7">
        <w:rPr>
          <w:rStyle w:val="FootnoteReference"/>
        </w:rPr>
        <w:footnoteReference w:id="10"/>
      </w:r>
      <w:r w:rsidR="00E756EF">
        <w:t xml:space="preserve"> </w:t>
      </w:r>
      <w:r w:rsidR="000A7F08">
        <w:t xml:space="preserve"> </w:t>
      </w:r>
      <w:r w:rsidR="00D767F3">
        <w:t>This is also present within the range of source material</w:t>
      </w:r>
      <w:r w:rsidR="00675835">
        <w:t xml:space="preserve"> (such as the </w:t>
      </w:r>
      <w:r w:rsidR="00675835">
        <w:rPr>
          <w:i/>
        </w:rPr>
        <w:t xml:space="preserve">Les Anales de </w:t>
      </w:r>
      <w:r w:rsidR="00675835" w:rsidRPr="00675835">
        <w:rPr>
          <w:i/>
        </w:rPr>
        <w:t>Flodoard</w:t>
      </w:r>
      <w:r w:rsidR="00675835" w:rsidRPr="00675835">
        <w:t>)</w:t>
      </w:r>
      <w:r w:rsidR="00675835">
        <w:rPr>
          <w:i/>
        </w:rPr>
        <w:t xml:space="preserve"> </w:t>
      </w:r>
      <w:r w:rsidR="00D767F3" w:rsidRPr="00675835">
        <w:t>that</w:t>
      </w:r>
      <w:r w:rsidR="00D767F3">
        <w:t xml:space="preserve"> refers to Norman existence during the period of 911 – 942, where </w:t>
      </w:r>
      <w:r w:rsidR="00675835">
        <w:t xml:space="preserve">their rulers are listed rather simply at face value as just that: rulers of Normandy (or </w:t>
      </w:r>
      <w:r w:rsidR="00675835">
        <w:rPr>
          <w:i/>
        </w:rPr>
        <w:t>Princeps Normannorum</w:t>
      </w:r>
      <w:r w:rsidR="00675835">
        <w:t>).</w:t>
      </w:r>
      <w:r w:rsidR="00675835">
        <w:rPr>
          <w:rStyle w:val="FootnoteReference"/>
        </w:rPr>
        <w:footnoteReference w:id="11"/>
      </w:r>
      <w:r w:rsidR="00675835">
        <w:t xml:space="preserve">  The purpose of such co-option is two-fold on the part of Richard, </w:t>
      </w:r>
      <w:r w:rsidR="001A26EA">
        <w:t>as it provided him with both the clout and dignity required to gain support from the Frankish elements still present within Normandy – and a justification for as to why he should re-conquer the territories lost in the free-for-all that had arose on the death of his father.</w:t>
      </w:r>
      <w:r w:rsidR="00981116">
        <w:rPr>
          <w:rStyle w:val="FootnoteReference"/>
        </w:rPr>
        <w:footnoteReference w:id="12"/>
      </w:r>
      <w:r w:rsidR="001A26EA">
        <w:t xml:space="preserve">  </w:t>
      </w:r>
      <w:r w:rsidR="00D25BAA">
        <w:t xml:space="preserve"> Conversely, this allowed him to build a </w:t>
      </w:r>
      <w:r w:rsidR="009A1BF9">
        <w:t xml:space="preserve">Norman state with those who subscribed to Carolingian (and therefore Christian) notions of authority regardless of their own respective background – an identity of ideals as opposed to one of </w:t>
      </w:r>
      <w:r w:rsidR="009A1BF9">
        <w:rPr>
          <w:i/>
        </w:rPr>
        <w:t>gens</w:t>
      </w:r>
      <w:r w:rsidR="009A1BF9">
        <w:t xml:space="preserve"> or ethnicity.</w:t>
      </w:r>
      <w:r w:rsidR="00981116">
        <w:rPr>
          <w:rStyle w:val="FootnoteReference"/>
        </w:rPr>
        <w:footnoteReference w:id="13"/>
      </w:r>
    </w:p>
    <w:p w:rsidR="00981116" w:rsidRDefault="00981116" w:rsidP="00C87134">
      <w:pPr>
        <w:spacing w:before="240"/>
        <w:ind w:left="360"/>
        <w:contextualSpacing/>
        <w:jc w:val="both"/>
      </w:pPr>
    </w:p>
    <w:p w:rsidR="00D53E1F" w:rsidRDefault="009F40DD" w:rsidP="00D81282">
      <w:pPr>
        <w:spacing w:before="240"/>
        <w:ind w:left="360"/>
        <w:contextualSpacing/>
        <w:jc w:val="both"/>
      </w:pPr>
      <w:r>
        <w:t>The latter, Richard’s use of Dudo of Saint Quentin is arguably a far more advanced act of social engineering on his part – in particular how it was designed to unite all elements of society into a brand new identity that was based on not only on shared ideals, but more importantly locality.</w:t>
      </w:r>
      <w:r w:rsidR="00D17ACD">
        <w:rPr>
          <w:rStyle w:val="FootnoteReference"/>
        </w:rPr>
        <w:footnoteReference w:id="14"/>
      </w:r>
      <w:r>
        <w:t xml:space="preserve"> This is especially evident in how Dudo chose to treat Richard’s chief allies in his struggle against </w:t>
      </w:r>
      <w:r w:rsidR="00C1244B">
        <w:t>Theobald I, count o</w:t>
      </w:r>
      <w:r w:rsidR="00F85343">
        <w:t>f Blois [the Trickster] during the Norman War of 960 – 966, and had defended Rouen from invasion twice (both from Theobald, and from Louis D’Outre</w:t>
      </w:r>
      <w:r w:rsidR="00DF1BF0">
        <w:t xml:space="preserve">mer in 946): the Pagan Vikings </w:t>
      </w:r>
      <w:r w:rsidR="00F85343">
        <w:t xml:space="preserve">who had emigrated to Normandy and then-independent </w:t>
      </w:r>
      <w:r w:rsidR="00F85343" w:rsidRPr="00F85343">
        <w:t>Évrecin</w:t>
      </w:r>
      <w:r w:rsidR="008C01D1">
        <w:t>.</w:t>
      </w:r>
      <w:r w:rsidR="00154AEB">
        <w:rPr>
          <w:rStyle w:val="FootnoteReference"/>
        </w:rPr>
        <w:footnoteReference w:id="15"/>
      </w:r>
      <w:r w:rsidR="008C01D1">
        <w:t xml:space="preserve"> </w:t>
      </w:r>
      <w:r w:rsidR="00DF1BF0">
        <w:t xml:space="preserve"> In reward for their service to Richard (by helping him retake Evreux), Dudo integrates these men into the new Norman society through conversion to Christianity, </w:t>
      </w:r>
      <w:r w:rsidR="005E1600">
        <w:t>as if doing so was to them the ultimate path to salvation – and that by re-inventing themselves they are to somehow find kinship among their peers in a way they could not do so beforehand.</w:t>
      </w:r>
      <w:r w:rsidR="00A27114">
        <w:rPr>
          <w:rStyle w:val="FootnoteReference"/>
        </w:rPr>
        <w:footnoteReference w:id="16"/>
      </w:r>
      <w:r w:rsidR="005E1600">
        <w:t xml:space="preserve"> Dudo also offers the illusion of choice, as those who cannot accept Christ, and therefore his representative in the shape of Richard are </w:t>
      </w:r>
      <w:r w:rsidR="005E1600">
        <w:lastRenderedPageBreak/>
        <w:t>expelled from Normandy – as they are not willing to submit.</w:t>
      </w:r>
      <w:r w:rsidR="00EF3E2A">
        <w:rPr>
          <w:rStyle w:val="FootnoteReference"/>
        </w:rPr>
        <w:footnoteReference w:id="17"/>
      </w:r>
      <w:r w:rsidR="005E1600">
        <w:t xml:space="preserve">  Although some academics (</w:t>
      </w:r>
      <w:r w:rsidR="00D17ACD">
        <w:t xml:space="preserve">such as Eleanor Searle) disagree with the idea of this new wave of Viking immigrants being pagan, the inclusion of this passage in the </w:t>
      </w:r>
      <w:r w:rsidR="00D17ACD">
        <w:rPr>
          <w:i/>
        </w:rPr>
        <w:t>Gesta Normannorum</w:t>
      </w:r>
      <w:r w:rsidR="00D17ACD">
        <w:t xml:space="preserve"> points would mean that these men had to have been Pagan in the first place, otherwise its presence is purely unnecessary.</w:t>
      </w:r>
      <w:r w:rsidR="00776A3F">
        <w:rPr>
          <w:rStyle w:val="FootnoteReference"/>
        </w:rPr>
        <w:footnoteReference w:id="18"/>
      </w:r>
      <w:r w:rsidR="00D17ACD">
        <w:t xml:space="preserve"> </w:t>
      </w:r>
      <w:r w:rsidR="00D47EDB">
        <w:t>Assimilation into Normandy was process that was relatively swift for these new arrivals, just as it was for those who had emigrated to East Danelaw.</w:t>
      </w:r>
      <w:r w:rsidR="00214B5E">
        <w:rPr>
          <w:rStyle w:val="FootnoteReference"/>
        </w:rPr>
        <w:footnoteReference w:id="19"/>
      </w:r>
      <w:r w:rsidR="00D47EDB">
        <w:t xml:space="preserve"> </w:t>
      </w:r>
      <w:r w:rsidR="00C06D8A">
        <w:t xml:space="preserve"> Conversely, Dudo’s portrayal as Normandy as an empty slate, a land of opportunity before its settlement (as much as this was far from reality) by the Norse made the acceptance of a new identity far more palatable for this new wave of immigrants – as they only had to recognise </w:t>
      </w:r>
      <w:r w:rsidR="009F60D5">
        <w:t>Norman notions of authority.</w:t>
      </w:r>
      <w:r w:rsidR="00C06D8A">
        <w:t xml:space="preserve"> </w:t>
      </w:r>
      <w:r w:rsidR="00D81282">
        <w:t xml:space="preserve"> </w:t>
      </w:r>
      <w:r w:rsidR="00C06D8A">
        <w:t xml:space="preserve">Dudo, therefore, provided an additional means to which to appease those who did not subscribe to nor agree to recognize the Carolingian language of </w:t>
      </w:r>
      <w:r w:rsidR="00D81282">
        <w:t>authority that the County held itself on – but were still willing to integrate otherwise.</w:t>
      </w:r>
      <w:r w:rsidR="00214B5E">
        <w:rPr>
          <w:rStyle w:val="FootnoteReference"/>
        </w:rPr>
        <w:footnoteReference w:id="20"/>
      </w:r>
      <w:r w:rsidR="00D81282">
        <w:t xml:space="preserve"> </w:t>
      </w:r>
      <w:r w:rsidR="002B716A">
        <w:t xml:space="preserve"> </w:t>
      </w:r>
    </w:p>
    <w:p w:rsidR="00D53E1F" w:rsidRDefault="00D53E1F" w:rsidP="00D81282">
      <w:pPr>
        <w:spacing w:before="240"/>
        <w:ind w:left="360"/>
        <w:contextualSpacing/>
        <w:jc w:val="both"/>
      </w:pPr>
    </w:p>
    <w:p w:rsidR="00981116" w:rsidRDefault="002B716A" w:rsidP="00D81282">
      <w:pPr>
        <w:spacing w:before="240"/>
        <w:ind w:left="360"/>
        <w:contextualSpacing/>
        <w:jc w:val="both"/>
      </w:pPr>
      <w:r>
        <w:t>To briefly return to the criticism of Searle, this was supposedly an act of “pandering” on Dudo’s part, an afterthought that is somehow merely intended to make sure that all parties involved were</w:t>
      </w:r>
      <w:r w:rsidR="00A66F05">
        <w:t xml:space="preserve"> catered to </w:t>
      </w:r>
      <w:r>
        <w:t>– and that, as it were, Dudo would in turn avoid punishment or reprisals at the hands of Richard or his court at Rouen.</w:t>
      </w:r>
      <w:r w:rsidR="00A6298B">
        <w:rPr>
          <w:rStyle w:val="FootnoteReference"/>
        </w:rPr>
        <w:footnoteReference w:id="21"/>
      </w:r>
      <w:r>
        <w:t xml:space="preserve"> </w:t>
      </w:r>
      <w:r w:rsidR="00A66F05">
        <w:t xml:space="preserve"> But if one was to purely take the perspective that this was an act of pandering however, they surely fail to see how calculated this move in fact was; by appeasing the respective tastes of each demographic Dudo could find common ground, and therefore use this to create a new identity that was based on shared ideals. </w:t>
      </w:r>
      <w:r w:rsidR="00D53E1F">
        <w:t xml:space="preserve"> Instead of allowing this identity to develop organically, Dudo could engineer a new identity that would be </w:t>
      </w:r>
      <w:r w:rsidR="00D53E1F">
        <w:rPr>
          <w:i/>
        </w:rPr>
        <w:t>readily available</w:t>
      </w:r>
      <w:r w:rsidR="00D53E1F">
        <w:t xml:space="preserve"> for those to assimilate into upon arrival. </w:t>
      </w:r>
    </w:p>
    <w:p w:rsidR="007E6D9D" w:rsidRPr="00D53E1F" w:rsidRDefault="007E6D9D" w:rsidP="00D81282">
      <w:pPr>
        <w:spacing w:before="240"/>
        <w:ind w:left="360"/>
        <w:contextualSpacing/>
        <w:jc w:val="both"/>
      </w:pPr>
    </w:p>
    <w:p w:rsidR="00D767F3" w:rsidRDefault="007E6D9D" w:rsidP="00C87134">
      <w:pPr>
        <w:spacing w:before="240"/>
        <w:ind w:left="360"/>
        <w:contextualSpacing/>
        <w:jc w:val="both"/>
      </w:pPr>
      <w:r>
        <w:t>If assimilation into Normandy by these groups was to create a new Norman identity in the mid-tenth century, what would the prospective results be once this group decides to emigrate – and in doing so project itself elsewhere? Although there is a wide range of examples that would clearly fit well into this discussion, t</w:t>
      </w:r>
      <w:r w:rsidR="0005534B">
        <w:t>he most fitting of these is the migration to Sicily</w:t>
      </w:r>
      <w:r w:rsidR="00193EB4">
        <w:t xml:space="preserve"> and Calabria</w:t>
      </w:r>
      <w:r w:rsidR="0005534B">
        <w:t xml:space="preserve"> from Normandy – during the period of 1010 – 1100.</w:t>
      </w:r>
      <w:r w:rsidR="00017B1A">
        <w:rPr>
          <w:rStyle w:val="FootnoteReference"/>
        </w:rPr>
        <w:footnoteReference w:id="22"/>
      </w:r>
      <w:r w:rsidR="0005534B">
        <w:t xml:space="preserve"> </w:t>
      </w:r>
      <w:r w:rsidR="00193EB4">
        <w:t xml:space="preserve"> This is because one gets to witness immigration (and assimilation) on a varying scale, in addition to seeing how ‘Normanization’ works in a truly multicultural society – Sicily, being the centre of the Mediterranean, was host not only to Orthodox </w:t>
      </w:r>
      <w:r w:rsidR="00017B1A">
        <w:t xml:space="preserve">Christianity, but also Islam (with the island being a centre of both Islamic and Byzantine </w:t>
      </w:r>
      <w:r w:rsidR="00A545C8">
        <w:t>strongholds</w:t>
      </w:r>
      <w:r w:rsidR="00017B1A">
        <w:t>) and Judaism – cultures which held just as much influence in the Island’s affairs as its Latin counterpart.</w:t>
      </w:r>
      <w:r w:rsidR="009C4049">
        <w:rPr>
          <w:rStyle w:val="FootnoteReference"/>
        </w:rPr>
        <w:footnoteReference w:id="23"/>
      </w:r>
    </w:p>
    <w:p w:rsidR="003829DD" w:rsidRDefault="003829DD" w:rsidP="00C87134">
      <w:pPr>
        <w:spacing w:before="240"/>
        <w:ind w:left="360"/>
        <w:contextualSpacing/>
        <w:jc w:val="both"/>
      </w:pPr>
    </w:p>
    <w:p w:rsidR="003829DD" w:rsidRDefault="003829DD" w:rsidP="00C87134">
      <w:pPr>
        <w:spacing w:before="240"/>
        <w:ind w:left="360"/>
        <w:contextualSpacing/>
        <w:jc w:val="both"/>
      </w:pPr>
      <w:r>
        <w:t>To open this example, one must consider the words of Charles Homer Haskins, in particular as to how assimilation, and in turn losing oneself in a new culture was a Norman characteristic in and of itself.</w:t>
      </w:r>
      <w:r>
        <w:rPr>
          <w:rStyle w:val="FootnoteReference"/>
        </w:rPr>
        <w:footnoteReference w:id="24"/>
      </w:r>
    </w:p>
    <w:p w:rsidR="009F03AD" w:rsidRDefault="009F03AD" w:rsidP="00C87134">
      <w:pPr>
        <w:spacing w:before="240"/>
        <w:ind w:left="360"/>
        <w:contextualSpacing/>
        <w:jc w:val="both"/>
      </w:pPr>
    </w:p>
    <w:p w:rsidR="009F03AD" w:rsidRDefault="009F03AD" w:rsidP="00C87134">
      <w:pPr>
        <w:spacing w:before="240"/>
        <w:ind w:left="360"/>
        <w:contextualSpacing/>
        <w:jc w:val="both"/>
        <w:rPr>
          <w:u w:val="single"/>
        </w:rPr>
      </w:pPr>
      <w:r w:rsidRPr="009F03AD">
        <w:rPr>
          <w:u w:val="single"/>
        </w:rPr>
        <w:lastRenderedPageBreak/>
        <w:t>Bibliography</w:t>
      </w:r>
    </w:p>
    <w:p w:rsidR="009F03AD" w:rsidRDefault="009F03AD" w:rsidP="00C87134">
      <w:pPr>
        <w:spacing w:before="240"/>
        <w:ind w:left="360"/>
        <w:contextualSpacing/>
        <w:jc w:val="both"/>
        <w:rPr>
          <w:u w:val="single"/>
        </w:rPr>
      </w:pPr>
    </w:p>
    <w:p w:rsidR="009F03AD" w:rsidRDefault="009F03AD" w:rsidP="009F03AD">
      <w:pPr>
        <w:spacing w:before="240"/>
        <w:ind w:left="360"/>
        <w:contextualSpacing/>
        <w:jc w:val="both"/>
      </w:pPr>
      <w:r w:rsidRPr="009F03AD">
        <w:t>Drell, J.H. 1999.</w:t>
      </w:r>
      <w:r w:rsidRPr="009F03AD">
        <w:rPr>
          <w:i/>
          <w:iCs/>
        </w:rPr>
        <w:t> 'Cultural syncretism and ethnic identity: the Norman Conquest of Sicily'</w:t>
      </w:r>
      <w:r w:rsidRPr="009F03AD">
        <w:t xml:space="preserve">, Journal of Medieval History, </w:t>
      </w:r>
      <w:r>
        <w:t>v</w:t>
      </w:r>
      <w:r w:rsidRPr="009F03AD">
        <w:t>25: 187</w:t>
      </w:r>
    </w:p>
    <w:p w:rsidR="009F03AD" w:rsidRPr="009F03AD" w:rsidRDefault="009F03AD" w:rsidP="009F03AD">
      <w:pPr>
        <w:spacing w:before="240"/>
        <w:ind w:left="360"/>
        <w:contextualSpacing/>
        <w:jc w:val="both"/>
      </w:pPr>
    </w:p>
    <w:p w:rsidR="009F03AD" w:rsidRDefault="009F03AD" w:rsidP="009F03AD">
      <w:pPr>
        <w:spacing w:before="240"/>
        <w:ind w:left="360"/>
        <w:contextualSpacing/>
        <w:jc w:val="both"/>
      </w:pPr>
      <w:r w:rsidRPr="009F03AD">
        <w:t>Haskins, C.H. 1959.</w:t>
      </w:r>
      <w:r w:rsidRPr="009F03AD">
        <w:rPr>
          <w:i/>
          <w:iCs/>
        </w:rPr>
        <w:t> The Normans in European history</w:t>
      </w:r>
      <w:r w:rsidRPr="009F03AD">
        <w:t> (New York: Ungar)</w:t>
      </w:r>
    </w:p>
    <w:p w:rsidR="009F03AD" w:rsidRPr="009F03AD" w:rsidRDefault="009F03AD" w:rsidP="009F03AD">
      <w:pPr>
        <w:spacing w:before="240"/>
        <w:ind w:left="360"/>
        <w:contextualSpacing/>
        <w:jc w:val="both"/>
      </w:pPr>
    </w:p>
    <w:p w:rsidR="009F03AD" w:rsidRDefault="009F03AD" w:rsidP="009F03AD">
      <w:pPr>
        <w:spacing w:before="240"/>
        <w:ind w:left="360"/>
        <w:contextualSpacing/>
        <w:jc w:val="both"/>
      </w:pPr>
      <w:r w:rsidRPr="009F03AD">
        <w:t>McNair, F. 2015.</w:t>
      </w:r>
      <w:r w:rsidRPr="009F03AD">
        <w:rPr>
          <w:i/>
          <w:iCs/>
        </w:rPr>
        <w:t> 'The politics of being Norman in the reign of Richard the Fearless, Duke of Normandy (r. 942-996)'</w:t>
      </w:r>
      <w:r w:rsidRPr="009F03AD">
        <w:t xml:space="preserve">, Early Medieval Europe, </w:t>
      </w:r>
      <w:r>
        <w:t>v</w:t>
      </w:r>
      <w:r w:rsidRPr="009F03AD">
        <w:t>23: 308-328</w:t>
      </w:r>
    </w:p>
    <w:p w:rsidR="009F03AD" w:rsidRPr="009F03AD" w:rsidRDefault="009F03AD" w:rsidP="009F03AD">
      <w:pPr>
        <w:spacing w:before="240"/>
        <w:ind w:left="360"/>
        <w:contextualSpacing/>
        <w:jc w:val="both"/>
      </w:pPr>
    </w:p>
    <w:p w:rsidR="009F03AD" w:rsidRPr="009F03AD" w:rsidRDefault="009F03AD" w:rsidP="009F03AD">
      <w:pPr>
        <w:spacing w:before="240"/>
        <w:ind w:left="360"/>
        <w:contextualSpacing/>
        <w:jc w:val="both"/>
      </w:pPr>
      <w:r w:rsidRPr="009F03AD">
        <w:t>Searle, E. 1985.</w:t>
      </w:r>
      <w:r w:rsidRPr="009F03AD">
        <w:rPr>
          <w:i/>
          <w:iCs/>
        </w:rPr>
        <w:t> 'Frankish Rivalries and Norse Warriors'</w:t>
      </w:r>
      <w:r w:rsidRPr="009F03AD">
        <w:t xml:space="preserve">, Anglo-Norman Studies, </w:t>
      </w:r>
      <w:r>
        <w:t>v</w:t>
      </w:r>
      <w:r w:rsidRPr="009F03AD">
        <w:t>8: 198</w:t>
      </w:r>
    </w:p>
    <w:p w:rsidR="009F03AD" w:rsidRPr="009F03AD" w:rsidRDefault="009F03AD" w:rsidP="00C87134">
      <w:pPr>
        <w:spacing w:before="240"/>
        <w:ind w:left="360"/>
        <w:contextualSpacing/>
        <w:jc w:val="both"/>
      </w:pPr>
    </w:p>
    <w:sectPr w:rsidR="009F03AD" w:rsidRPr="009F03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4703" w:rsidRDefault="00834703" w:rsidP="00834703">
      <w:pPr>
        <w:spacing w:after="0" w:line="240" w:lineRule="auto"/>
      </w:pPr>
      <w:r>
        <w:separator/>
      </w:r>
    </w:p>
  </w:endnote>
  <w:endnote w:type="continuationSeparator" w:id="0">
    <w:p w:rsidR="00834703" w:rsidRDefault="00834703" w:rsidP="00834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4703" w:rsidRDefault="00834703" w:rsidP="00834703">
      <w:pPr>
        <w:spacing w:after="0" w:line="240" w:lineRule="auto"/>
      </w:pPr>
      <w:r>
        <w:separator/>
      </w:r>
    </w:p>
  </w:footnote>
  <w:footnote w:type="continuationSeparator" w:id="0">
    <w:p w:rsidR="00834703" w:rsidRDefault="00834703" w:rsidP="00834703">
      <w:pPr>
        <w:spacing w:after="0" w:line="240" w:lineRule="auto"/>
      </w:pPr>
      <w:r>
        <w:continuationSeparator/>
      </w:r>
    </w:p>
  </w:footnote>
  <w:footnote w:id="1">
    <w:p w:rsidR="00834703" w:rsidRDefault="00834703">
      <w:pPr>
        <w:pStyle w:val="FootnoteText"/>
      </w:pPr>
      <w:r>
        <w:rPr>
          <w:rStyle w:val="FootnoteReference"/>
        </w:rPr>
        <w:footnoteRef/>
      </w:r>
      <w:r>
        <w:t xml:space="preserve"> </w:t>
      </w:r>
      <w:r w:rsidR="00FC3396" w:rsidRPr="00FC3396">
        <w:t>Drell, J.H. 1999.</w:t>
      </w:r>
      <w:r w:rsidR="00FC3396" w:rsidRPr="00FC3396">
        <w:rPr>
          <w:i/>
          <w:iCs/>
        </w:rPr>
        <w:t> 'Cultural syncretism and ethnic identity: the Norman Conquest of Sicily'</w:t>
      </w:r>
      <w:r w:rsidR="00FC3396" w:rsidRPr="00FC3396">
        <w:t xml:space="preserve">, Journal of Medieval History, </w:t>
      </w:r>
      <w:r w:rsidR="00FC3396">
        <w:t>v</w:t>
      </w:r>
      <w:r w:rsidR="00FC3396" w:rsidRPr="00FC3396">
        <w:t xml:space="preserve">25: </w:t>
      </w:r>
      <w:r w:rsidR="00FC3396">
        <w:t>pp188</w:t>
      </w:r>
      <w:r w:rsidR="009C6C27">
        <w:t xml:space="preserve">, </w:t>
      </w:r>
      <w:r w:rsidR="009C6C27" w:rsidRPr="009C6C27">
        <w:t>McNair, F. 2015.</w:t>
      </w:r>
      <w:r w:rsidR="009C6C27" w:rsidRPr="009C6C27">
        <w:rPr>
          <w:i/>
          <w:iCs/>
        </w:rPr>
        <w:t> 'The politics of being Norman in the reign of Richard the Fearless, Duke of Normandy (r. 942-996)'</w:t>
      </w:r>
      <w:r w:rsidR="009C6C27" w:rsidRPr="009C6C27">
        <w:t xml:space="preserve">, Early Medieval Europe, </w:t>
      </w:r>
      <w:r w:rsidR="009C6C27">
        <w:t>v23: pp309</w:t>
      </w:r>
    </w:p>
  </w:footnote>
  <w:footnote w:id="2">
    <w:p w:rsidR="00DC0C54" w:rsidRDefault="00DC0C54">
      <w:pPr>
        <w:pStyle w:val="FootnoteText"/>
      </w:pPr>
      <w:r>
        <w:rPr>
          <w:rStyle w:val="FootnoteReference"/>
        </w:rPr>
        <w:footnoteRef/>
      </w:r>
      <w:r>
        <w:t xml:space="preserve"> McNair, F. 2015, pp309</w:t>
      </w:r>
      <w:r w:rsidR="00F32242">
        <w:t xml:space="preserve">, </w:t>
      </w:r>
      <w:r w:rsidR="00F32242" w:rsidRPr="00F32242">
        <w:t>Searle, E. 1985.</w:t>
      </w:r>
      <w:r w:rsidR="00F32242" w:rsidRPr="00F32242">
        <w:rPr>
          <w:i/>
          <w:iCs/>
        </w:rPr>
        <w:t> 'Frankish Rivalries and Norse Warriors'</w:t>
      </w:r>
      <w:r w:rsidR="00F32242" w:rsidRPr="00F32242">
        <w:t xml:space="preserve">, Anglo-Norman Studies, </w:t>
      </w:r>
      <w:r w:rsidR="00F32242">
        <w:t>v8: pp</w:t>
      </w:r>
      <w:r w:rsidR="00F32242" w:rsidRPr="00F32242">
        <w:t>198</w:t>
      </w:r>
    </w:p>
  </w:footnote>
  <w:footnote w:id="3">
    <w:p w:rsidR="004D2A78" w:rsidRDefault="004D2A78">
      <w:pPr>
        <w:pStyle w:val="FootnoteText"/>
      </w:pPr>
      <w:r>
        <w:rPr>
          <w:rStyle w:val="FootnoteReference"/>
        </w:rPr>
        <w:footnoteRef/>
      </w:r>
      <w:r>
        <w:t xml:space="preserve"> McNair, F. 2015, pp309</w:t>
      </w:r>
    </w:p>
  </w:footnote>
  <w:footnote w:id="4">
    <w:p w:rsidR="00463CA9" w:rsidRDefault="00463CA9">
      <w:pPr>
        <w:pStyle w:val="FootnoteText"/>
      </w:pPr>
      <w:r>
        <w:rPr>
          <w:rStyle w:val="FootnoteReference"/>
        </w:rPr>
        <w:footnoteRef/>
      </w:r>
      <w:r>
        <w:t xml:space="preserve"> McNair, F. 2015, pp311</w:t>
      </w:r>
    </w:p>
  </w:footnote>
  <w:footnote w:id="5">
    <w:p w:rsidR="005947E9" w:rsidRDefault="005947E9">
      <w:pPr>
        <w:pStyle w:val="FootnoteText"/>
      </w:pPr>
      <w:r>
        <w:rPr>
          <w:rStyle w:val="FootnoteReference"/>
        </w:rPr>
        <w:footnoteRef/>
      </w:r>
      <w:r>
        <w:t xml:space="preserve"> McNair, F. 2015, pp311</w:t>
      </w:r>
    </w:p>
  </w:footnote>
  <w:footnote w:id="6">
    <w:p w:rsidR="00432CFF" w:rsidRDefault="00432CFF">
      <w:pPr>
        <w:pStyle w:val="FootnoteText"/>
      </w:pPr>
      <w:r>
        <w:rPr>
          <w:rStyle w:val="FootnoteReference"/>
        </w:rPr>
        <w:footnoteRef/>
      </w:r>
      <w:r>
        <w:t xml:space="preserve"> McNair, F. 2015, pp312</w:t>
      </w:r>
    </w:p>
  </w:footnote>
  <w:footnote w:id="7">
    <w:p w:rsidR="00FC74D2" w:rsidRDefault="00FC74D2">
      <w:pPr>
        <w:pStyle w:val="FootnoteText"/>
      </w:pPr>
      <w:r>
        <w:rPr>
          <w:rStyle w:val="FootnoteReference"/>
        </w:rPr>
        <w:footnoteRef/>
      </w:r>
      <w:r>
        <w:t xml:space="preserve"> McNair, F. 2015, pp312</w:t>
      </w:r>
    </w:p>
  </w:footnote>
  <w:footnote w:id="8">
    <w:p w:rsidR="00301A26" w:rsidRDefault="00301A26">
      <w:pPr>
        <w:pStyle w:val="FootnoteText"/>
      </w:pPr>
      <w:r>
        <w:rPr>
          <w:rStyle w:val="FootnoteReference"/>
        </w:rPr>
        <w:footnoteRef/>
      </w:r>
      <w:r>
        <w:t xml:space="preserve"> McNair, F. 2015, pp311</w:t>
      </w:r>
    </w:p>
  </w:footnote>
  <w:footnote w:id="9">
    <w:p w:rsidR="00A44B59" w:rsidRDefault="00A44B59">
      <w:pPr>
        <w:pStyle w:val="FootnoteText"/>
      </w:pPr>
      <w:r>
        <w:rPr>
          <w:rStyle w:val="FootnoteReference"/>
        </w:rPr>
        <w:footnoteRef/>
      </w:r>
      <w:r>
        <w:t xml:space="preserve"> McNair, F. 2015, pp313</w:t>
      </w:r>
      <w:r w:rsidR="00F47234">
        <w:t>, Searle, E. 1985, pp201</w:t>
      </w:r>
    </w:p>
  </w:footnote>
  <w:footnote w:id="10">
    <w:p w:rsidR="005B50F7" w:rsidRDefault="005B50F7">
      <w:pPr>
        <w:pStyle w:val="FootnoteText"/>
      </w:pPr>
      <w:r>
        <w:rPr>
          <w:rStyle w:val="FootnoteReference"/>
        </w:rPr>
        <w:footnoteRef/>
      </w:r>
      <w:r>
        <w:t xml:space="preserve"> McNair, F. 201</w:t>
      </w:r>
      <w:r w:rsidR="00F47234">
        <w:t>5, pp313, Searle, E. 1985, pp201</w:t>
      </w:r>
    </w:p>
  </w:footnote>
  <w:footnote w:id="11">
    <w:p w:rsidR="00675835" w:rsidRDefault="00675835">
      <w:pPr>
        <w:pStyle w:val="FootnoteText"/>
      </w:pPr>
      <w:r>
        <w:rPr>
          <w:rStyle w:val="FootnoteReference"/>
        </w:rPr>
        <w:footnoteRef/>
      </w:r>
      <w:r>
        <w:t xml:space="preserve"> McNair, F. 2015, pp314, Searle, E. 1985, pp202</w:t>
      </w:r>
    </w:p>
  </w:footnote>
  <w:footnote w:id="12">
    <w:p w:rsidR="00981116" w:rsidRDefault="00981116">
      <w:pPr>
        <w:pStyle w:val="FootnoteText"/>
      </w:pPr>
      <w:r>
        <w:rPr>
          <w:rStyle w:val="FootnoteReference"/>
        </w:rPr>
        <w:footnoteRef/>
      </w:r>
      <w:r>
        <w:t xml:space="preserve"> </w:t>
      </w:r>
      <w:r w:rsidR="008C01D1">
        <w:t>McNair, F. 2015, pp314, Searle, E. 1985, pp203</w:t>
      </w:r>
    </w:p>
  </w:footnote>
  <w:footnote w:id="13">
    <w:p w:rsidR="00981116" w:rsidRDefault="00981116">
      <w:pPr>
        <w:pStyle w:val="FootnoteText"/>
      </w:pPr>
      <w:r>
        <w:rPr>
          <w:rStyle w:val="FootnoteReference"/>
        </w:rPr>
        <w:footnoteRef/>
      </w:r>
      <w:r>
        <w:t xml:space="preserve"> </w:t>
      </w:r>
      <w:r w:rsidR="008A6A44">
        <w:t>McNair, F. 2015, pp314, Searle, E. 1985, pp203</w:t>
      </w:r>
    </w:p>
  </w:footnote>
  <w:footnote w:id="14">
    <w:p w:rsidR="00D17ACD" w:rsidRDefault="00D17ACD">
      <w:pPr>
        <w:pStyle w:val="FootnoteText"/>
      </w:pPr>
      <w:r>
        <w:rPr>
          <w:rStyle w:val="FootnoteReference"/>
        </w:rPr>
        <w:footnoteRef/>
      </w:r>
      <w:r>
        <w:t xml:space="preserve"> McNair, F. 2015, pp314, Searle, E. 1985, pp204</w:t>
      </w:r>
    </w:p>
  </w:footnote>
  <w:footnote w:id="15">
    <w:p w:rsidR="00154AEB" w:rsidRDefault="00154AEB">
      <w:pPr>
        <w:pStyle w:val="FootnoteText"/>
      </w:pPr>
      <w:r>
        <w:rPr>
          <w:rStyle w:val="FootnoteReference"/>
        </w:rPr>
        <w:footnoteRef/>
      </w:r>
      <w:r>
        <w:t xml:space="preserve"> McNair, F. 2015, pp315</w:t>
      </w:r>
    </w:p>
  </w:footnote>
  <w:footnote w:id="16">
    <w:p w:rsidR="00A27114" w:rsidRDefault="00A27114">
      <w:pPr>
        <w:pStyle w:val="FootnoteText"/>
      </w:pPr>
      <w:r>
        <w:rPr>
          <w:rStyle w:val="FootnoteReference"/>
        </w:rPr>
        <w:footnoteRef/>
      </w:r>
      <w:r>
        <w:t xml:space="preserve"> McNair, F. 2015, pp315, Searle, E. 1985, pp204</w:t>
      </w:r>
    </w:p>
  </w:footnote>
  <w:footnote w:id="17">
    <w:p w:rsidR="00EF3E2A" w:rsidRDefault="00EF3E2A">
      <w:pPr>
        <w:pStyle w:val="FootnoteText"/>
      </w:pPr>
      <w:r>
        <w:rPr>
          <w:rStyle w:val="FootnoteReference"/>
        </w:rPr>
        <w:footnoteRef/>
      </w:r>
      <w:r>
        <w:t xml:space="preserve"> McNair, F. 2015, pp315</w:t>
      </w:r>
    </w:p>
  </w:footnote>
  <w:footnote w:id="18">
    <w:p w:rsidR="00776A3F" w:rsidRDefault="00776A3F">
      <w:pPr>
        <w:pStyle w:val="FootnoteText"/>
      </w:pPr>
      <w:r>
        <w:rPr>
          <w:rStyle w:val="FootnoteReference"/>
        </w:rPr>
        <w:footnoteRef/>
      </w:r>
      <w:r>
        <w:t xml:space="preserve"> McNair, F. 2015, pp315, Searle, E. 1985, pp204</w:t>
      </w:r>
    </w:p>
  </w:footnote>
  <w:footnote w:id="19">
    <w:p w:rsidR="00214B5E" w:rsidRDefault="00214B5E">
      <w:pPr>
        <w:pStyle w:val="FootnoteText"/>
      </w:pPr>
      <w:r>
        <w:rPr>
          <w:rStyle w:val="FootnoteReference"/>
        </w:rPr>
        <w:footnoteRef/>
      </w:r>
      <w:r>
        <w:t xml:space="preserve"> McNair, F. 2015, pp316, Searle, E. 1985, </w:t>
      </w:r>
      <w:r w:rsidR="00A6298B">
        <w:t>pp205</w:t>
      </w:r>
    </w:p>
  </w:footnote>
  <w:footnote w:id="20">
    <w:p w:rsidR="00214B5E" w:rsidRDefault="00214B5E">
      <w:pPr>
        <w:pStyle w:val="FootnoteText"/>
      </w:pPr>
      <w:r>
        <w:rPr>
          <w:rStyle w:val="FootnoteReference"/>
        </w:rPr>
        <w:footnoteRef/>
      </w:r>
      <w:r>
        <w:t xml:space="preserve"> </w:t>
      </w:r>
      <w:r w:rsidR="00A6298B">
        <w:t>McNair, F. 2015, pp316</w:t>
      </w:r>
    </w:p>
  </w:footnote>
  <w:footnote w:id="21">
    <w:p w:rsidR="00A6298B" w:rsidRDefault="00A6298B">
      <w:pPr>
        <w:pStyle w:val="FootnoteText"/>
      </w:pPr>
      <w:r>
        <w:rPr>
          <w:rStyle w:val="FootnoteReference"/>
        </w:rPr>
        <w:footnoteRef/>
      </w:r>
      <w:r>
        <w:t xml:space="preserve"> McNair, F. 2015, pp316, Searle, E. 1985, pp205</w:t>
      </w:r>
    </w:p>
  </w:footnote>
  <w:footnote w:id="22">
    <w:p w:rsidR="00017B1A" w:rsidRDefault="00017B1A">
      <w:pPr>
        <w:pStyle w:val="FootnoteText"/>
      </w:pPr>
      <w:r>
        <w:rPr>
          <w:rStyle w:val="FootnoteReference"/>
        </w:rPr>
        <w:footnoteRef/>
      </w:r>
      <w:r>
        <w:t xml:space="preserve"> Drell, J.H. 1999, pp189</w:t>
      </w:r>
    </w:p>
  </w:footnote>
  <w:footnote w:id="23">
    <w:p w:rsidR="009C4049" w:rsidRDefault="009C4049">
      <w:pPr>
        <w:pStyle w:val="FootnoteText"/>
      </w:pPr>
      <w:r>
        <w:rPr>
          <w:rStyle w:val="FootnoteReference"/>
        </w:rPr>
        <w:footnoteRef/>
      </w:r>
      <w:r>
        <w:t xml:space="preserve"> Drell, J.H. 1999, pp189</w:t>
      </w:r>
    </w:p>
  </w:footnote>
  <w:footnote w:id="24">
    <w:p w:rsidR="003829DD" w:rsidRDefault="003829DD">
      <w:pPr>
        <w:pStyle w:val="FootnoteText"/>
      </w:pPr>
      <w:r>
        <w:rPr>
          <w:rStyle w:val="FootnoteReference"/>
        </w:rPr>
        <w:footnoteRef/>
      </w:r>
      <w:r>
        <w:t xml:space="preserve"> Drell, J.H. 1999, pp189,</w:t>
      </w:r>
      <w:r w:rsidR="009F03AD">
        <w:t xml:space="preserve"> Haskins, C.H. 1959. ‘</w:t>
      </w:r>
      <w:r w:rsidR="009F03AD" w:rsidRPr="009F03AD">
        <w:rPr>
          <w:i/>
          <w:iCs/>
        </w:rPr>
        <w:t>The Normans in European history</w:t>
      </w:r>
      <w:r w:rsidR="009F03AD">
        <w:rPr>
          <w:i/>
          <w:iCs/>
        </w:rPr>
        <w:t>’</w:t>
      </w:r>
      <w:r w:rsidR="009F03AD" w:rsidRPr="009F03AD">
        <w:t> (New York: Ungar)</w:t>
      </w:r>
      <w:r w:rsidR="009F03AD">
        <w:t>, pp192</w:t>
      </w:r>
      <w:bookmarkStart w:id="0" w:name="_GoBack"/>
      <w:bookmarkEnd w:id="0"/>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0330BA"/>
    <w:multiLevelType w:val="hybridMultilevel"/>
    <w:tmpl w:val="37ECB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0F24"/>
    <w:rsid w:val="00016E64"/>
    <w:rsid w:val="00017B1A"/>
    <w:rsid w:val="00052161"/>
    <w:rsid w:val="0005534B"/>
    <w:rsid w:val="000A7F08"/>
    <w:rsid w:val="000C5843"/>
    <w:rsid w:val="000E5A9C"/>
    <w:rsid w:val="001275E0"/>
    <w:rsid w:val="001537B7"/>
    <w:rsid w:val="00154AEB"/>
    <w:rsid w:val="00180F38"/>
    <w:rsid w:val="00193EB4"/>
    <w:rsid w:val="001A26EA"/>
    <w:rsid w:val="0020765C"/>
    <w:rsid w:val="00214B5E"/>
    <w:rsid w:val="002B716A"/>
    <w:rsid w:val="002E74D5"/>
    <w:rsid w:val="00301A26"/>
    <w:rsid w:val="00357075"/>
    <w:rsid w:val="00382960"/>
    <w:rsid w:val="003829DD"/>
    <w:rsid w:val="00432CFF"/>
    <w:rsid w:val="00463CA9"/>
    <w:rsid w:val="004D2A78"/>
    <w:rsid w:val="005127D4"/>
    <w:rsid w:val="005670E0"/>
    <w:rsid w:val="005947E9"/>
    <w:rsid w:val="005B3D8F"/>
    <w:rsid w:val="005B50F7"/>
    <w:rsid w:val="005E1600"/>
    <w:rsid w:val="005E315B"/>
    <w:rsid w:val="00675835"/>
    <w:rsid w:val="007659B0"/>
    <w:rsid w:val="007723F9"/>
    <w:rsid w:val="00776A3F"/>
    <w:rsid w:val="007E6D9D"/>
    <w:rsid w:val="007F7B99"/>
    <w:rsid w:val="008322EC"/>
    <w:rsid w:val="00833138"/>
    <w:rsid w:val="00834703"/>
    <w:rsid w:val="00870F24"/>
    <w:rsid w:val="008A6A44"/>
    <w:rsid w:val="008C01D1"/>
    <w:rsid w:val="008D14E1"/>
    <w:rsid w:val="0095675C"/>
    <w:rsid w:val="00981116"/>
    <w:rsid w:val="009A1BF9"/>
    <w:rsid w:val="009C4049"/>
    <w:rsid w:val="009C6C27"/>
    <w:rsid w:val="009F03AD"/>
    <w:rsid w:val="009F272C"/>
    <w:rsid w:val="009F40DD"/>
    <w:rsid w:val="009F60D5"/>
    <w:rsid w:val="00A27114"/>
    <w:rsid w:val="00A44B59"/>
    <w:rsid w:val="00A545C8"/>
    <w:rsid w:val="00A6298B"/>
    <w:rsid w:val="00A66F05"/>
    <w:rsid w:val="00AF4086"/>
    <w:rsid w:val="00BA1B62"/>
    <w:rsid w:val="00BF4FCA"/>
    <w:rsid w:val="00C06D8A"/>
    <w:rsid w:val="00C1244B"/>
    <w:rsid w:val="00C55375"/>
    <w:rsid w:val="00C87134"/>
    <w:rsid w:val="00D17ACD"/>
    <w:rsid w:val="00D25BAA"/>
    <w:rsid w:val="00D47EDB"/>
    <w:rsid w:val="00D52BE3"/>
    <w:rsid w:val="00D53E1F"/>
    <w:rsid w:val="00D62AAA"/>
    <w:rsid w:val="00D767F3"/>
    <w:rsid w:val="00D81282"/>
    <w:rsid w:val="00DB5EF2"/>
    <w:rsid w:val="00DC0C54"/>
    <w:rsid w:val="00DF1BF0"/>
    <w:rsid w:val="00DF28C1"/>
    <w:rsid w:val="00E3748B"/>
    <w:rsid w:val="00E756EF"/>
    <w:rsid w:val="00EC1D85"/>
    <w:rsid w:val="00EE1224"/>
    <w:rsid w:val="00EF3E2A"/>
    <w:rsid w:val="00F32242"/>
    <w:rsid w:val="00F4688F"/>
    <w:rsid w:val="00F47234"/>
    <w:rsid w:val="00F47F4C"/>
    <w:rsid w:val="00F51AB5"/>
    <w:rsid w:val="00F55052"/>
    <w:rsid w:val="00F70DC4"/>
    <w:rsid w:val="00F85343"/>
    <w:rsid w:val="00FC3396"/>
    <w:rsid w:val="00FC74D2"/>
    <w:rsid w:val="00FD3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B99"/>
    <w:pPr>
      <w:spacing w:after="0" w:line="240" w:lineRule="auto"/>
      <w:ind w:left="720"/>
    </w:pPr>
    <w:rPr>
      <w:rFonts w:ascii="Times New Roman" w:eastAsia="Times New Roman" w:hAnsi="Times New Roman" w:cs="Times New Roman"/>
      <w:sz w:val="24"/>
      <w:szCs w:val="24"/>
    </w:rPr>
  </w:style>
  <w:style w:type="paragraph" w:styleId="NormalWeb">
    <w:name w:val="Normal (Web)"/>
    <w:basedOn w:val="Normal"/>
    <w:uiPriority w:val="99"/>
    <w:rsid w:val="007F7B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347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4703"/>
    <w:rPr>
      <w:sz w:val="20"/>
      <w:szCs w:val="20"/>
    </w:rPr>
  </w:style>
  <w:style w:type="character" w:styleId="FootnoteReference">
    <w:name w:val="footnote reference"/>
    <w:basedOn w:val="DefaultParagraphFont"/>
    <w:uiPriority w:val="99"/>
    <w:semiHidden/>
    <w:unhideWhenUsed/>
    <w:rsid w:val="00834703"/>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B99"/>
    <w:pPr>
      <w:spacing w:after="0" w:line="240" w:lineRule="auto"/>
      <w:ind w:left="720"/>
    </w:pPr>
    <w:rPr>
      <w:rFonts w:ascii="Times New Roman" w:eastAsia="Times New Roman" w:hAnsi="Times New Roman" w:cs="Times New Roman"/>
      <w:sz w:val="24"/>
      <w:szCs w:val="24"/>
    </w:rPr>
  </w:style>
  <w:style w:type="paragraph" w:styleId="NormalWeb">
    <w:name w:val="Normal (Web)"/>
    <w:basedOn w:val="Normal"/>
    <w:uiPriority w:val="99"/>
    <w:rsid w:val="007F7B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347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4703"/>
    <w:rPr>
      <w:sz w:val="20"/>
      <w:szCs w:val="20"/>
    </w:rPr>
  </w:style>
  <w:style w:type="character" w:styleId="FootnoteReference">
    <w:name w:val="footnote reference"/>
    <w:basedOn w:val="DefaultParagraphFont"/>
    <w:uiPriority w:val="99"/>
    <w:semiHidden/>
    <w:unhideWhenUsed/>
    <w:rsid w:val="008347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564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514A4-F50F-4632-9349-40A1272B1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5</Pages>
  <Words>1500</Words>
  <Characters>8555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63</cp:revision>
  <dcterms:created xsi:type="dcterms:W3CDTF">2018-01-23T17:58:00Z</dcterms:created>
  <dcterms:modified xsi:type="dcterms:W3CDTF">2018-01-26T17:59:00Z</dcterms:modified>
</cp:coreProperties>
</file>