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F1036A" w14:textId="2ACECB7B" w:rsidR="00FF38BF" w:rsidRPr="00FF38BF" w:rsidRDefault="00FF38BF">
      <w:pPr>
        <w:rPr>
          <w:rFonts w:ascii="Arial" w:hAnsi="Arial" w:cs="Arial"/>
          <w:color w:val="00B050"/>
          <w:sz w:val="72"/>
          <w:szCs w:val="72"/>
        </w:rPr>
      </w:pPr>
      <w:r w:rsidRPr="00FF38BF">
        <w:rPr>
          <w:rFonts w:ascii="Arial" w:hAnsi="Arial" w:cs="Arial"/>
          <w:color w:val="00B050"/>
          <w:sz w:val="72"/>
          <w:szCs w:val="72"/>
        </w:rPr>
        <w:t>Green, green Grass</w:t>
      </w:r>
    </w:p>
    <w:p w14:paraId="56C97898" w14:textId="15FDA503" w:rsidR="00FF38BF" w:rsidRPr="00FF38BF" w:rsidRDefault="00FF38BF">
      <w:pPr>
        <w:rPr>
          <w:rFonts w:ascii="Arial" w:hAnsi="Arial" w:cs="Arial"/>
          <w:color w:val="00B050"/>
          <w:sz w:val="72"/>
          <w:szCs w:val="72"/>
        </w:rPr>
      </w:pPr>
      <w:r w:rsidRPr="00FF38BF">
        <w:rPr>
          <w:rFonts w:ascii="Arial" w:hAnsi="Arial" w:cs="Arial"/>
          <w:color w:val="00B050"/>
          <w:sz w:val="72"/>
          <w:szCs w:val="72"/>
        </w:rPr>
        <w:t>Green, green LIFE!</w:t>
      </w:r>
    </w:p>
    <w:p w14:paraId="32D38724" w14:textId="77777777" w:rsidR="00FF38BF" w:rsidRDefault="00FF38BF">
      <w:pPr>
        <w:rPr>
          <w:rFonts w:ascii="Arial" w:hAnsi="Arial" w:cs="Arial"/>
          <w:color w:val="00B050"/>
          <w:sz w:val="52"/>
          <w:szCs w:val="52"/>
        </w:rPr>
      </w:pPr>
    </w:p>
    <w:p w14:paraId="72AA9AB2" w14:textId="77777777" w:rsidR="00FF38BF" w:rsidRPr="00FF38BF" w:rsidRDefault="00FF38BF">
      <w:pPr>
        <w:rPr>
          <w:rFonts w:ascii="Arial" w:hAnsi="Arial" w:cs="Arial"/>
          <w:color w:val="00B050"/>
          <w:sz w:val="52"/>
          <w:szCs w:val="52"/>
        </w:rPr>
      </w:pPr>
    </w:p>
    <w:p w14:paraId="5938A67C" w14:textId="3A0C24EA" w:rsidR="007176F6" w:rsidRPr="00FF38BF" w:rsidRDefault="00FF38BF" w:rsidP="00FF38BF">
      <w:pPr>
        <w:jc w:val="center"/>
        <w:rPr>
          <w:sz w:val="52"/>
          <w:szCs w:val="52"/>
        </w:rPr>
      </w:pPr>
      <w:r w:rsidRPr="00FF38BF">
        <w:rPr>
          <w:b/>
          <w:bCs/>
          <w:sz w:val="52"/>
          <w:szCs w:val="52"/>
        </w:rPr>
        <w:t>Student Name:</w:t>
      </w:r>
      <w:r w:rsidRPr="00FF38BF">
        <w:rPr>
          <w:sz w:val="52"/>
          <w:szCs w:val="52"/>
        </w:rPr>
        <w:t xml:space="preserve"> Angela Roxana Faina</w:t>
      </w:r>
    </w:p>
    <w:p w14:paraId="00AA9647" w14:textId="63B186C7" w:rsidR="00FF38BF" w:rsidRPr="00FF38BF" w:rsidRDefault="00FF38BF" w:rsidP="00FF38BF">
      <w:pPr>
        <w:jc w:val="center"/>
        <w:rPr>
          <w:sz w:val="52"/>
          <w:szCs w:val="52"/>
        </w:rPr>
      </w:pPr>
      <w:r w:rsidRPr="00FF38BF">
        <w:rPr>
          <w:b/>
          <w:bCs/>
          <w:sz w:val="52"/>
          <w:szCs w:val="52"/>
        </w:rPr>
        <w:t>Student number:</w:t>
      </w:r>
      <w:r w:rsidRPr="00FF38BF">
        <w:rPr>
          <w:sz w:val="52"/>
          <w:szCs w:val="52"/>
        </w:rPr>
        <w:t>2108333</w:t>
      </w:r>
    </w:p>
    <w:p w14:paraId="20BAECE5" w14:textId="6A370785" w:rsidR="00FF38BF" w:rsidRPr="00FF38BF" w:rsidRDefault="00FF38BF" w:rsidP="00FF38BF">
      <w:pPr>
        <w:jc w:val="center"/>
        <w:rPr>
          <w:rFonts w:ascii="Arial" w:eastAsia="Times New Roman" w:hAnsi="Arial" w:cs="Arial"/>
          <w:bCs/>
          <w:iCs/>
          <w:sz w:val="52"/>
          <w:szCs w:val="52"/>
        </w:rPr>
      </w:pPr>
      <w:r w:rsidRPr="00FF38BF">
        <w:rPr>
          <w:rFonts w:ascii="Arial" w:eastAsia="Times New Roman" w:hAnsi="Arial" w:cs="Arial"/>
          <w:b/>
          <w:iCs/>
          <w:sz w:val="52"/>
          <w:szCs w:val="52"/>
        </w:rPr>
        <w:t>Module Title</w:t>
      </w:r>
      <w:r w:rsidRPr="00FF38BF">
        <w:rPr>
          <w:rFonts w:ascii="Arial" w:eastAsia="Times New Roman" w:hAnsi="Arial" w:cs="Arial"/>
          <w:bCs/>
          <w:iCs/>
          <w:sz w:val="52"/>
          <w:szCs w:val="52"/>
        </w:rPr>
        <w:t>: International Meetings Management for the Hotel Industry BMIH6007</w:t>
      </w:r>
    </w:p>
    <w:p w14:paraId="6FF09AC5" w14:textId="77777777" w:rsidR="00FF38BF" w:rsidRPr="00FF38BF" w:rsidRDefault="00FF38BF" w:rsidP="00FF38BF">
      <w:pPr>
        <w:jc w:val="center"/>
        <w:rPr>
          <w:rFonts w:ascii="Arial" w:hAnsi="Arial" w:cs="Arial"/>
          <w:bCs/>
          <w:iCs/>
          <w:sz w:val="52"/>
          <w:szCs w:val="52"/>
        </w:rPr>
      </w:pPr>
      <w:r w:rsidRPr="00FF38BF">
        <w:rPr>
          <w:rFonts w:ascii="Arial" w:eastAsia="Times New Roman" w:hAnsi="Arial" w:cs="Arial"/>
          <w:b/>
          <w:iCs/>
          <w:sz w:val="52"/>
          <w:szCs w:val="52"/>
        </w:rPr>
        <w:t>Lecturer Name:</w:t>
      </w:r>
      <w:r w:rsidRPr="00FF38BF">
        <w:rPr>
          <w:rFonts w:ascii="Arial" w:eastAsia="Times New Roman" w:hAnsi="Arial" w:cs="Arial"/>
          <w:bCs/>
          <w:iCs/>
          <w:sz w:val="52"/>
          <w:szCs w:val="52"/>
        </w:rPr>
        <w:t xml:space="preserve"> Kathryn Flynn</w:t>
      </w:r>
    </w:p>
    <w:p w14:paraId="2D3CE51D" w14:textId="7C6E5CB7" w:rsidR="00FF38BF" w:rsidRDefault="00FF38BF" w:rsidP="00FF38BF">
      <w:pPr>
        <w:jc w:val="center"/>
        <w:rPr>
          <w:rFonts w:ascii="Arial" w:eastAsia="Times New Roman" w:hAnsi="Arial" w:cs="Arial"/>
          <w:b/>
          <w:iCs/>
          <w:sz w:val="52"/>
          <w:szCs w:val="52"/>
        </w:rPr>
      </w:pPr>
    </w:p>
    <w:p w14:paraId="26E089E7" w14:textId="77777777" w:rsidR="00FF38BF" w:rsidRDefault="00FF38BF">
      <w:pPr>
        <w:rPr>
          <w:rFonts w:ascii="Arial" w:eastAsia="Times New Roman" w:hAnsi="Arial" w:cs="Arial"/>
          <w:b/>
          <w:iCs/>
          <w:sz w:val="52"/>
          <w:szCs w:val="52"/>
        </w:rPr>
      </w:pPr>
    </w:p>
    <w:p w14:paraId="03EB308F" w14:textId="77777777" w:rsidR="00FF38BF" w:rsidRDefault="00FF38BF">
      <w:pPr>
        <w:rPr>
          <w:rFonts w:ascii="Arial" w:eastAsia="Times New Roman" w:hAnsi="Arial" w:cs="Arial"/>
          <w:b/>
          <w:iCs/>
          <w:sz w:val="52"/>
          <w:szCs w:val="52"/>
        </w:rPr>
      </w:pPr>
    </w:p>
    <w:p w14:paraId="0A8AF66A" w14:textId="77777777" w:rsidR="00FF38BF" w:rsidRDefault="00FF38BF">
      <w:pPr>
        <w:rPr>
          <w:rFonts w:ascii="Arial" w:eastAsia="Times New Roman" w:hAnsi="Arial" w:cs="Arial"/>
          <w:b/>
          <w:iCs/>
          <w:sz w:val="52"/>
          <w:szCs w:val="52"/>
        </w:rPr>
      </w:pPr>
    </w:p>
    <w:p w14:paraId="1D6B8533" w14:textId="77777777" w:rsidR="00FF38BF" w:rsidRDefault="00FF38BF">
      <w:pPr>
        <w:rPr>
          <w:rFonts w:ascii="Arial" w:eastAsia="Times New Roman" w:hAnsi="Arial" w:cs="Arial"/>
          <w:b/>
          <w:iCs/>
          <w:sz w:val="52"/>
          <w:szCs w:val="52"/>
        </w:rPr>
      </w:pPr>
    </w:p>
    <w:p w14:paraId="27F5EF5C" w14:textId="6CB27DCA" w:rsidR="00FF38BF" w:rsidRDefault="00FF38BF">
      <w:pPr>
        <w:rPr>
          <w:rFonts w:ascii="Arial" w:hAnsi="Arial" w:cs="Arial"/>
          <w:color w:val="000000"/>
          <w:kern w:val="0"/>
          <w:sz w:val="32"/>
          <w:szCs w:val="32"/>
        </w:rPr>
      </w:pPr>
      <w:r w:rsidRPr="00FF38BF">
        <w:rPr>
          <w:rFonts w:ascii="Arial" w:hAnsi="Arial" w:cs="Arial"/>
          <w:color w:val="000000"/>
          <w:kern w:val="0"/>
          <w:sz w:val="32"/>
          <w:szCs w:val="32"/>
        </w:rPr>
        <w:t>Link to video on Microsoft Stream/Teams:</w:t>
      </w:r>
    </w:p>
    <w:p w14:paraId="23B86740" w14:textId="77777777" w:rsidR="00CC5017" w:rsidRDefault="00CC5017">
      <w:pPr>
        <w:rPr>
          <w:rFonts w:ascii="Arial" w:hAnsi="Arial" w:cs="Arial"/>
          <w:color w:val="000000"/>
          <w:kern w:val="0"/>
          <w:sz w:val="32"/>
          <w:szCs w:val="32"/>
        </w:rPr>
      </w:pPr>
    </w:p>
    <w:p w14:paraId="4AACB518" w14:textId="3EED051A" w:rsidR="00FF38BF" w:rsidRPr="00FF38BF" w:rsidRDefault="00CC5017">
      <w:pPr>
        <w:rPr>
          <w:rFonts w:ascii="Arial" w:eastAsia="Times New Roman" w:hAnsi="Arial" w:cs="Arial"/>
          <w:b/>
          <w:iCs/>
          <w:sz w:val="32"/>
          <w:szCs w:val="32"/>
        </w:rPr>
      </w:pPr>
      <w:r w:rsidRPr="00CC5017">
        <w:rPr>
          <w:rFonts w:ascii="Arial" w:eastAsia="Times New Roman" w:hAnsi="Arial" w:cs="Arial"/>
          <w:b/>
          <w:iCs/>
          <w:sz w:val="32"/>
          <w:szCs w:val="32"/>
        </w:rPr>
        <w:t>https://uowtsd-my.sharepoint.com/:v:/g/personal/2108333_student_uwtsd_ac_uk/EVeeubZH-jFKtfC_bAxrcbEB06F-TE_ONK2Y3evwZw1nNw?referrer=Teams.TEAMS-ELECTRON&amp;referrerScenario=MeetingChicletGetLink.view.view</w:t>
      </w:r>
    </w:p>
    <w:p w14:paraId="5CEBA45D" w14:textId="77777777" w:rsidR="00FF38BF" w:rsidRDefault="00FF38BF" w:rsidP="00FF38BF">
      <w:pPr>
        <w:jc w:val="center"/>
        <w:rPr>
          <w:rFonts w:ascii="Arial" w:eastAsia="Times New Roman" w:hAnsi="Arial" w:cs="Arial"/>
          <w:bCs/>
          <w:iCs/>
          <w:sz w:val="52"/>
          <w:szCs w:val="52"/>
        </w:rPr>
      </w:pPr>
    </w:p>
    <w:p w14:paraId="388E009F" w14:textId="5AA5A977" w:rsidR="00FF38BF" w:rsidRDefault="00FF38BF" w:rsidP="00AB4CC0">
      <w:r>
        <w:br w:type="page"/>
      </w:r>
      <w:r>
        <w:rPr>
          <w:noProof/>
        </w:rPr>
        <w:lastRenderedPageBreak/>
        <w:drawing>
          <wp:inline distT="0" distB="0" distL="0" distR="0" wp14:anchorId="03240276" wp14:editId="05C64525">
            <wp:extent cx="2843911" cy="1777365"/>
            <wp:effectExtent l="0" t="0" r="1270" b="635"/>
            <wp:docPr id="1464870982" name="Picture 1" descr="A group of people in a class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870982" name="Picture 1" descr="A group of people in a classroom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4474" cy="1802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B4CC0">
        <w:t xml:space="preserve"> </w:t>
      </w:r>
      <w:r>
        <w:rPr>
          <w:noProof/>
        </w:rPr>
        <w:drawing>
          <wp:inline distT="0" distB="0" distL="0" distR="0" wp14:anchorId="561B0511" wp14:editId="58AD2737">
            <wp:extent cx="2692400" cy="1957410"/>
            <wp:effectExtent l="0" t="0" r="0" b="0"/>
            <wp:docPr id="1517312956" name="Picture 2" descr="A presentation of a conferen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312956" name="Picture 2" descr="A presentation of a conferenc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3802" cy="2060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57E0E" w14:textId="40445AD2" w:rsidR="00AB4CC0" w:rsidRDefault="00AB4CC0" w:rsidP="00AB4CC0">
      <w:r>
        <w:rPr>
          <w:noProof/>
        </w:rPr>
        <w:drawing>
          <wp:inline distT="0" distB="0" distL="0" distR="0" wp14:anchorId="09BF8A0D" wp14:editId="3985AF91">
            <wp:extent cx="2844800" cy="1777921"/>
            <wp:effectExtent l="0" t="0" r="0" b="635"/>
            <wp:docPr id="938878236" name="Picture 3" descr="A person in a white shi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8878236" name="Picture 3" descr="A person in a white shir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3001" cy="1801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95CF2BF" wp14:editId="0CD3EF08">
            <wp:extent cx="2870200" cy="1793795"/>
            <wp:effectExtent l="0" t="0" r="0" b="0"/>
            <wp:docPr id="1812335284" name="Picture 4" descr="A green and black card with a picture of a gas s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2335284" name="Picture 4" descr="A green and black card with a picture of a gas statio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3817" cy="1814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3E4CC0" w14:textId="5029C584" w:rsidR="00AB4CC0" w:rsidRDefault="00AB4CC0" w:rsidP="00AB4CC0"/>
    <w:p w14:paraId="3AD1E677" w14:textId="1E580EBD" w:rsidR="00AB4CC0" w:rsidRDefault="00AB4CC0" w:rsidP="00091D52">
      <w:pPr>
        <w:rPr>
          <w:rFonts w:ascii="Arial" w:eastAsia="Times New Roman" w:hAnsi="Arial" w:cs="Arial"/>
          <w:bCs/>
          <w:iCs/>
          <w:sz w:val="52"/>
          <w:szCs w:val="52"/>
        </w:rPr>
      </w:pPr>
      <w:r>
        <w:rPr>
          <w:rFonts w:ascii="Arial" w:eastAsia="Times New Roman" w:hAnsi="Arial" w:cs="Arial"/>
          <w:bCs/>
          <w:iCs/>
          <w:noProof/>
          <w:sz w:val="52"/>
          <w:szCs w:val="52"/>
        </w:rPr>
        <w:drawing>
          <wp:inline distT="0" distB="0" distL="0" distR="0" wp14:anchorId="5F814E93" wp14:editId="6A670266">
            <wp:extent cx="2821557" cy="1763395"/>
            <wp:effectExtent l="0" t="0" r="0" b="1905"/>
            <wp:docPr id="1349103521" name="Picture 5" descr="A close-up of a micro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9103521" name="Picture 5" descr="A close-up of a microphon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6930" cy="1791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Times New Roman" w:hAnsi="Arial" w:cs="Arial"/>
          <w:bCs/>
          <w:iCs/>
          <w:noProof/>
          <w:sz w:val="52"/>
          <w:szCs w:val="52"/>
        </w:rPr>
        <w:drawing>
          <wp:inline distT="0" distB="0" distL="0" distR="0" wp14:anchorId="333A3ADC" wp14:editId="7F7C9B84">
            <wp:extent cx="2824605" cy="1765300"/>
            <wp:effectExtent l="0" t="0" r="0" b="0"/>
            <wp:docPr id="1215079545" name="Picture 6" descr="A close-up of a p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5079545" name="Picture 6" descr="A close-up of a pe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2417" cy="17889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BB0A3A" w14:textId="4642F593" w:rsidR="00AB4CC0" w:rsidRDefault="00AB4CC0" w:rsidP="00091D52">
      <w:pPr>
        <w:rPr>
          <w:rFonts w:ascii="Arial" w:eastAsia="Times New Roman" w:hAnsi="Arial" w:cs="Arial"/>
          <w:bCs/>
          <w:iCs/>
          <w:sz w:val="52"/>
          <w:szCs w:val="52"/>
        </w:rPr>
      </w:pPr>
    </w:p>
    <w:p w14:paraId="464F904D" w14:textId="0E1EF7F6" w:rsidR="00AB4CC0" w:rsidRDefault="00AB4CC0" w:rsidP="00091D52">
      <w:pPr>
        <w:rPr>
          <w:rFonts w:ascii="Arial" w:eastAsia="Times New Roman" w:hAnsi="Arial" w:cs="Arial"/>
          <w:bCs/>
          <w:iCs/>
          <w:sz w:val="52"/>
          <w:szCs w:val="52"/>
        </w:rPr>
      </w:pPr>
      <w:r>
        <w:rPr>
          <w:rFonts w:ascii="Arial" w:eastAsia="Times New Roman" w:hAnsi="Arial" w:cs="Arial"/>
          <w:bCs/>
          <w:iCs/>
          <w:noProof/>
          <w:sz w:val="52"/>
          <w:szCs w:val="52"/>
        </w:rPr>
        <w:drawing>
          <wp:inline distT="0" distB="0" distL="0" distR="0" wp14:anchorId="551B4B3E" wp14:editId="298F74B2">
            <wp:extent cx="2865120" cy="1790620"/>
            <wp:effectExtent l="0" t="0" r="5080" b="635"/>
            <wp:docPr id="630517542" name="Picture 9" descr="A microphone on a micro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0517542" name="Picture 9" descr="A microphone on a microphon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0845" cy="18191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Times New Roman" w:hAnsi="Arial" w:cs="Arial"/>
          <w:bCs/>
          <w:iCs/>
          <w:noProof/>
          <w:sz w:val="52"/>
          <w:szCs w:val="52"/>
        </w:rPr>
        <w:drawing>
          <wp:inline distT="0" distB="0" distL="0" distR="0" wp14:anchorId="2922669B" wp14:editId="3E3F9DA4">
            <wp:extent cx="2844926" cy="1778000"/>
            <wp:effectExtent l="0" t="0" r="0" b="0"/>
            <wp:docPr id="191884822" name="Picture 7" descr="A person holding a small house and a p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84822" name="Picture 7" descr="A person holding a small house and a pe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9463" cy="1787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D0DED5" w14:textId="2F408079" w:rsidR="00AB4CC0" w:rsidRDefault="00AB4CC0" w:rsidP="00091D52">
      <w:pPr>
        <w:rPr>
          <w:rFonts w:ascii="Arial" w:eastAsia="Times New Roman" w:hAnsi="Arial" w:cs="Arial"/>
          <w:bCs/>
          <w:iCs/>
          <w:sz w:val="52"/>
          <w:szCs w:val="52"/>
        </w:rPr>
      </w:pPr>
      <w:r>
        <w:rPr>
          <w:rFonts w:ascii="Arial" w:eastAsia="Times New Roman" w:hAnsi="Arial" w:cs="Arial"/>
          <w:bCs/>
          <w:iCs/>
          <w:noProof/>
          <w:sz w:val="52"/>
          <w:szCs w:val="52"/>
        </w:rPr>
        <w:lastRenderedPageBreak/>
        <w:drawing>
          <wp:inline distT="0" distB="0" distL="0" distR="0" wp14:anchorId="09829302" wp14:editId="60E14C79">
            <wp:extent cx="2865247" cy="1790700"/>
            <wp:effectExtent l="0" t="0" r="5080" b="0"/>
            <wp:docPr id="785452163" name="Picture 8" descr="A light bulb with text overl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452163" name="Picture 8" descr="A light bulb with text overlay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4028" cy="1796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Times New Roman" w:hAnsi="Arial" w:cs="Arial"/>
          <w:bCs/>
          <w:iCs/>
          <w:noProof/>
          <w:sz w:val="52"/>
          <w:szCs w:val="52"/>
        </w:rPr>
        <w:drawing>
          <wp:inline distT="0" distB="0" distL="0" distR="0" wp14:anchorId="588D6444" wp14:editId="314C8D9B">
            <wp:extent cx="2832100" cy="1769984"/>
            <wp:effectExtent l="0" t="0" r="0" b="0"/>
            <wp:docPr id="1287388655" name="Picture 11" descr="A person shaking hands with another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7388655" name="Picture 11" descr="A person shaking hands with another pers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870" cy="18098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2631C1" w14:textId="36CFB878" w:rsidR="00AB4CC0" w:rsidRDefault="00AB4CC0" w:rsidP="00091D52">
      <w:pPr>
        <w:rPr>
          <w:rFonts w:ascii="Arial" w:eastAsia="Times New Roman" w:hAnsi="Arial" w:cs="Arial"/>
          <w:bCs/>
          <w:iCs/>
          <w:sz w:val="52"/>
          <w:szCs w:val="52"/>
        </w:rPr>
      </w:pPr>
    </w:p>
    <w:p w14:paraId="021630FA" w14:textId="4585D6F1" w:rsidR="00AB4CC0" w:rsidRDefault="00AB4CC0" w:rsidP="00091D52">
      <w:pPr>
        <w:rPr>
          <w:rFonts w:ascii="Arial" w:eastAsia="Times New Roman" w:hAnsi="Arial" w:cs="Arial"/>
          <w:bCs/>
          <w:iCs/>
          <w:sz w:val="52"/>
          <w:szCs w:val="52"/>
        </w:rPr>
      </w:pPr>
      <w:r>
        <w:rPr>
          <w:rFonts w:ascii="Arial" w:eastAsia="Times New Roman" w:hAnsi="Arial" w:cs="Arial"/>
          <w:bCs/>
          <w:iCs/>
          <w:noProof/>
          <w:sz w:val="52"/>
          <w:szCs w:val="52"/>
        </w:rPr>
        <w:drawing>
          <wp:inline distT="0" distB="0" distL="0" distR="0" wp14:anchorId="111E970B" wp14:editId="10CD5BEF">
            <wp:extent cx="2621280" cy="1638228"/>
            <wp:effectExtent l="0" t="0" r="0" b="635"/>
            <wp:docPr id="591979559" name="Picture 13" descr="A group of people in a class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1979559" name="Picture 13" descr="A group of people in a classroom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2417" cy="1670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06716A" w14:textId="72BEDC80" w:rsidR="00AB4CC0" w:rsidRDefault="00AB4CC0" w:rsidP="00AB4CC0"/>
    <w:p w14:paraId="68241C81" w14:textId="77777777" w:rsidR="00AB4CC0" w:rsidRDefault="00AB4CC0" w:rsidP="00AB4CC0"/>
    <w:p w14:paraId="11C02E61" w14:textId="77777777" w:rsidR="00AB4CC0" w:rsidRDefault="00AB4CC0" w:rsidP="00AB4CC0"/>
    <w:p w14:paraId="6492F95C" w14:textId="4C6675C0" w:rsidR="00AB4CC0" w:rsidRPr="00AB4CC0" w:rsidRDefault="00AB4CC0" w:rsidP="00AB4CC0">
      <w:pPr>
        <w:rPr>
          <w:rFonts w:ascii="Arial" w:eastAsia="Times New Roman" w:hAnsi="Arial" w:cs="Arial"/>
          <w:bCs/>
          <w:iCs/>
          <w:sz w:val="52"/>
          <w:szCs w:val="52"/>
        </w:rPr>
      </w:pPr>
      <w:r>
        <w:t xml:space="preserve">References </w:t>
      </w:r>
    </w:p>
    <w:p w14:paraId="7575382D" w14:textId="77777777" w:rsidR="00AB4CC0" w:rsidRPr="00AB4CC0" w:rsidRDefault="00AB4CC0" w:rsidP="00AB4CC0">
      <w:pPr>
        <w:spacing w:after="240"/>
        <w:rPr>
          <w:color w:val="000000" w:themeColor="text1"/>
        </w:rPr>
      </w:pPr>
      <w:r w:rsidRPr="00AB4CC0">
        <w:rPr>
          <w:color w:val="000000" w:themeColor="text1"/>
        </w:rPr>
        <w:t xml:space="preserve">Allen, J., Harris, R., </w:t>
      </w:r>
      <w:proofErr w:type="spellStart"/>
      <w:r w:rsidRPr="00AB4CC0">
        <w:rPr>
          <w:color w:val="000000" w:themeColor="text1"/>
        </w:rPr>
        <w:t>Jago</w:t>
      </w:r>
      <w:proofErr w:type="spellEnd"/>
      <w:r w:rsidRPr="00AB4CC0">
        <w:rPr>
          <w:color w:val="000000" w:themeColor="text1"/>
        </w:rPr>
        <w:t xml:space="preserve">, L., </w:t>
      </w:r>
      <w:proofErr w:type="spellStart"/>
      <w:r w:rsidRPr="00AB4CC0">
        <w:rPr>
          <w:color w:val="000000" w:themeColor="text1"/>
        </w:rPr>
        <w:t>Tantrai</w:t>
      </w:r>
      <w:proofErr w:type="spellEnd"/>
      <w:r w:rsidRPr="00AB4CC0">
        <w:rPr>
          <w:color w:val="000000" w:themeColor="text1"/>
        </w:rPr>
        <w:t>, A., Jonson, P. and D'Arcy, E., (2022). Festival and special event management. John Wiley &amp; Sons.</w:t>
      </w:r>
    </w:p>
    <w:p w14:paraId="2CF91CEC" w14:textId="77777777" w:rsidR="00AB4CC0" w:rsidRPr="00AB4CC0" w:rsidRDefault="00AB4CC0" w:rsidP="00AB4CC0">
      <w:pPr>
        <w:spacing w:after="240"/>
        <w:rPr>
          <w:color w:val="000000" w:themeColor="text1"/>
        </w:rPr>
      </w:pPr>
      <w:proofErr w:type="spellStart"/>
      <w:r w:rsidRPr="00AB4CC0">
        <w:rPr>
          <w:color w:val="000000" w:themeColor="text1"/>
        </w:rPr>
        <w:t>Ashrapov</w:t>
      </w:r>
      <w:proofErr w:type="spellEnd"/>
      <w:r w:rsidRPr="00AB4CC0">
        <w:rPr>
          <w:color w:val="000000" w:themeColor="text1"/>
        </w:rPr>
        <w:t>, D. and Patterson, I., (2022). The importance of MICE services to the hotel industry and their value during the tourist low season. International Journal of Hospitality and Event Management, 2(3-4), pp.292-310.</w:t>
      </w:r>
    </w:p>
    <w:p w14:paraId="6BD745E6" w14:textId="77777777" w:rsidR="00AB4CC0" w:rsidRPr="00AB4CC0" w:rsidRDefault="00AB4CC0" w:rsidP="00AB4CC0">
      <w:pPr>
        <w:pBdr>
          <w:top w:val="nil"/>
          <w:left w:val="nil"/>
          <w:bottom w:val="nil"/>
          <w:right w:val="nil"/>
          <w:between w:val="nil"/>
        </w:pBdr>
        <w:spacing w:after="240"/>
        <w:rPr>
          <w:color w:val="000000" w:themeColor="text1"/>
        </w:rPr>
      </w:pPr>
      <w:proofErr w:type="spellStart"/>
      <w:r w:rsidRPr="00AB4CC0">
        <w:rPr>
          <w:color w:val="000000" w:themeColor="text1"/>
        </w:rPr>
        <w:t>Bladen</w:t>
      </w:r>
      <w:proofErr w:type="spellEnd"/>
      <w:r w:rsidRPr="00AB4CC0">
        <w:rPr>
          <w:color w:val="000000" w:themeColor="text1"/>
        </w:rPr>
        <w:t xml:space="preserve">, C., </w:t>
      </w:r>
      <w:proofErr w:type="spellStart"/>
      <w:r w:rsidRPr="00AB4CC0">
        <w:rPr>
          <w:color w:val="000000" w:themeColor="text1"/>
        </w:rPr>
        <w:t>Kennell</w:t>
      </w:r>
      <w:proofErr w:type="spellEnd"/>
      <w:r w:rsidRPr="00AB4CC0">
        <w:rPr>
          <w:color w:val="000000" w:themeColor="text1"/>
        </w:rPr>
        <w:t xml:space="preserve">, J., </w:t>
      </w:r>
      <w:proofErr w:type="spellStart"/>
      <w:r w:rsidRPr="00AB4CC0">
        <w:rPr>
          <w:color w:val="000000" w:themeColor="text1"/>
        </w:rPr>
        <w:t>Abson</w:t>
      </w:r>
      <w:proofErr w:type="spellEnd"/>
      <w:r w:rsidRPr="00AB4CC0">
        <w:rPr>
          <w:color w:val="000000" w:themeColor="text1"/>
        </w:rPr>
        <w:t>, E. and Wilde, N., (2022). Events management: An introduction. Taylor &amp; Francis.</w:t>
      </w:r>
    </w:p>
    <w:p w14:paraId="3CA1834A" w14:textId="77777777" w:rsidR="00AB4CC0" w:rsidRPr="00AB4CC0" w:rsidRDefault="00AB4CC0" w:rsidP="00AB4CC0">
      <w:pPr>
        <w:spacing w:after="240"/>
        <w:rPr>
          <w:color w:val="000000" w:themeColor="text1"/>
        </w:rPr>
      </w:pPr>
      <w:proofErr w:type="spellStart"/>
      <w:r w:rsidRPr="00AB4CC0">
        <w:rPr>
          <w:color w:val="000000" w:themeColor="text1"/>
        </w:rPr>
        <w:t>Bladen</w:t>
      </w:r>
      <w:proofErr w:type="spellEnd"/>
      <w:r w:rsidRPr="00AB4CC0">
        <w:rPr>
          <w:color w:val="000000" w:themeColor="text1"/>
        </w:rPr>
        <w:t xml:space="preserve">, C., </w:t>
      </w:r>
      <w:proofErr w:type="spellStart"/>
      <w:r w:rsidRPr="00AB4CC0">
        <w:rPr>
          <w:color w:val="000000" w:themeColor="text1"/>
        </w:rPr>
        <w:t>Kennell</w:t>
      </w:r>
      <w:proofErr w:type="spellEnd"/>
      <w:r w:rsidRPr="00AB4CC0">
        <w:rPr>
          <w:color w:val="000000" w:themeColor="text1"/>
        </w:rPr>
        <w:t xml:space="preserve">, J., </w:t>
      </w:r>
      <w:proofErr w:type="spellStart"/>
      <w:r w:rsidRPr="00AB4CC0">
        <w:rPr>
          <w:color w:val="000000" w:themeColor="text1"/>
        </w:rPr>
        <w:t>Abson</w:t>
      </w:r>
      <w:proofErr w:type="spellEnd"/>
      <w:r w:rsidRPr="00AB4CC0">
        <w:rPr>
          <w:color w:val="000000" w:themeColor="text1"/>
        </w:rPr>
        <w:t>, E. and Wilde, N., (2022). Events management: An introduction. Taylor &amp; Francis.</w:t>
      </w:r>
    </w:p>
    <w:p w14:paraId="1B367597" w14:textId="77777777" w:rsidR="00AB4CC0" w:rsidRPr="00AB4CC0" w:rsidRDefault="00AB4CC0" w:rsidP="00AB4CC0">
      <w:pPr>
        <w:spacing w:after="240"/>
        <w:rPr>
          <w:color w:val="000000" w:themeColor="text1"/>
        </w:rPr>
      </w:pPr>
      <w:r w:rsidRPr="00AB4CC0">
        <w:rPr>
          <w:color w:val="000000" w:themeColor="text1"/>
        </w:rPr>
        <w:t>Camilleri, M.A., (2021). Tourism, Hospitality &amp;_ Event Management.</w:t>
      </w:r>
    </w:p>
    <w:p w14:paraId="1349F52E" w14:textId="77777777" w:rsidR="00AB4CC0" w:rsidRPr="00AB4CC0" w:rsidRDefault="00AB4CC0" w:rsidP="00AB4CC0">
      <w:pPr>
        <w:spacing w:after="240"/>
        <w:rPr>
          <w:color w:val="000000" w:themeColor="text1"/>
        </w:rPr>
      </w:pPr>
      <w:proofErr w:type="spellStart"/>
      <w:r w:rsidRPr="00AB4CC0">
        <w:rPr>
          <w:color w:val="000000" w:themeColor="text1"/>
        </w:rPr>
        <w:t>Disimulacion</w:t>
      </w:r>
      <w:proofErr w:type="spellEnd"/>
      <w:r w:rsidRPr="00AB4CC0">
        <w:rPr>
          <w:color w:val="000000" w:themeColor="text1"/>
        </w:rPr>
        <w:t>, M.A.T., (2020). MICE tourism during Covid-19 and future directions for the new normal. Asia Pacific International Events Management Journal, 1(2), pp.11-17.</w:t>
      </w:r>
    </w:p>
    <w:p w14:paraId="174F9897" w14:textId="77777777" w:rsidR="00AB4CC0" w:rsidRPr="00AB4CC0" w:rsidRDefault="00AB4CC0" w:rsidP="00AB4CC0">
      <w:pPr>
        <w:pBdr>
          <w:top w:val="nil"/>
          <w:left w:val="nil"/>
          <w:bottom w:val="nil"/>
          <w:right w:val="nil"/>
          <w:between w:val="nil"/>
        </w:pBdr>
        <w:spacing w:after="240"/>
        <w:rPr>
          <w:color w:val="000000" w:themeColor="text1"/>
        </w:rPr>
      </w:pPr>
      <w:r w:rsidRPr="00AB4CC0">
        <w:rPr>
          <w:color w:val="000000" w:themeColor="text1"/>
        </w:rPr>
        <w:t>Foltz, P.W. and Gilbert, S.B., (2023). SYSTEMS SWOT ANALYSIS. Design Recommendations for Intelligent Tutoring Systems: Volume 10-Strengths, Weaknesses, Opportunities and Threats (SWOT) Analysis of Intelligent Tutoring Systems, p.91.</w:t>
      </w:r>
    </w:p>
    <w:p w14:paraId="639D9924" w14:textId="77777777" w:rsidR="00AB4CC0" w:rsidRPr="00AB4CC0" w:rsidRDefault="00AB4CC0" w:rsidP="00AB4CC0">
      <w:pPr>
        <w:spacing w:after="240"/>
        <w:rPr>
          <w:color w:val="000000" w:themeColor="text1"/>
        </w:rPr>
      </w:pPr>
      <w:r w:rsidRPr="00AB4CC0">
        <w:rPr>
          <w:color w:val="000000" w:themeColor="text1"/>
        </w:rPr>
        <w:t xml:space="preserve">Getz, </w:t>
      </w:r>
      <w:proofErr w:type="gramStart"/>
      <w:r w:rsidRPr="00AB4CC0">
        <w:rPr>
          <w:color w:val="000000" w:themeColor="text1"/>
        </w:rPr>
        <w:t>D.</w:t>
      </w:r>
      <w:proofErr w:type="gramEnd"/>
      <w:r w:rsidRPr="00AB4CC0">
        <w:rPr>
          <w:color w:val="000000" w:themeColor="text1"/>
        </w:rPr>
        <w:t xml:space="preserve"> and Page, S.J., (2019). Event studies: Theory, </w:t>
      </w:r>
      <w:proofErr w:type="gramStart"/>
      <w:r w:rsidRPr="00AB4CC0">
        <w:rPr>
          <w:color w:val="000000" w:themeColor="text1"/>
        </w:rPr>
        <w:t>research</w:t>
      </w:r>
      <w:proofErr w:type="gramEnd"/>
      <w:r w:rsidRPr="00AB4CC0">
        <w:rPr>
          <w:color w:val="000000" w:themeColor="text1"/>
        </w:rPr>
        <w:t xml:space="preserve"> and policy for planned events. Routledge.</w:t>
      </w:r>
    </w:p>
    <w:p w14:paraId="3008F470" w14:textId="77777777" w:rsidR="00AB4CC0" w:rsidRPr="00AB4CC0" w:rsidRDefault="00AB4CC0" w:rsidP="00AB4CC0">
      <w:pPr>
        <w:pBdr>
          <w:top w:val="nil"/>
          <w:left w:val="nil"/>
          <w:bottom w:val="nil"/>
          <w:right w:val="nil"/>
          <w:between w:val="nil"/>
        </w:pBdr>
        <w:spacing w:after="240"/>
        <w:rPr>
          <w:color w:val="000000" w:themeColor="text1"/>
        </w:rPr>
      </w:pPr>
      <w:proofErr w:type="spellStart"/>
      <w:r w:rsidRPr="00AB4CC0">
        <w:rPr>
          <w:color w:val="000000" w:themeColor="text1"/>
        </w:rPr>
        <w:lastRenderedPageBreak/>
        <w:t>Helmreich</w:t>
      </w:r>
      <w:proofErr w:type="spellEnd"/>
      <w:r w:rsidRPr="00AB4CC0">
        <w:rPr>
          <w:color w:val="000000" w:themeColor="text1"/>
        </w:rPr>
        <w:t xml:space="preserve">, R.L. and </w:t>
      </w:r>
      <w:proofErr w:type="spellStart"/>
      <w:r w:rsidRPr="00AB4CC0">
        <w:rPr>
          <w:color w:val="000000" w:themeColor="text1"/>
        </w:rPr>
        <w:t>Foushee</w:t>
      </w:r>
      <w:proofErr w:type="spellEnd"/>
      <w:r w:rsidRPr="00AB4CC0">
        <w:rPr>
          <w:color w:val="000000" w:themeColor="text1"/>
        </w:rPr>
        <w:t>, H.C., (2019). Why CRM? Empirical and theoretical bases of human factors training. In Crew Resource Management (pp. 3-52). Academic Press.</w:t>
      </w:r>
    </w:p>
    <w:p w14:paraId="629637EA" w14:textId="77777777" w:rsidR="00AB4CC0" w:rsidRPr="00AB4CC0" w:rsidRDefault="00AB4CC0" w:rsidP="00AB4CC0">
      <w:pPr>
        <w:spacing w:after="240"/>
        <w:rPr>
          <w:color w:val="000000" w:themeColor="text1"/>
        </w:rPr>
      </w:pPr>
      <w:proofErr w:type="spellStart"/>
      <w:r w:rsidRPr="00AB4CC0">
        <w:rPr>
          <w:color w:val="000000" w:themeColor="text1"/>
        </w:rPr>
        <w:t>Herbane</w:t>
      </w:r>
      <w:proofErr w:type="spellEnd"/>
      <w:r w:rsidRPr="00AB4CC0">
        <w:rPr>
          <w:color w:val="000000" w:themeColor="text1"/>
        </w:rPr>
        <w:t>, B., (2019). Rethinking organizational resilience and strategic renewal in SMEs. Entrepreneurship &amp; Regional Development, 31(5-6), pp.476-495.</w:t>
      </w:r>
    </w:p>
    <w:p w14:paraId="37EBF3EF" w14:textId="77777777" w:rsidR="00AB4CC0" w:rsidRPr="00AB4CC0" w:rsidRDefault="00AB4CC0" w:rsidP="00AB4CC0">
      <w:pPr>
        <w:pBdr>
          <w:top w:val="nil"/>
          <w:left w:val="nil"/>
          <w:bottom w:val="nil"/>
          <w:right w:val="nil"/>
          <w:between w:val="nil"/>
        </w:pBdr>
        <w:spacing w:after="240"/>
        <w:rPr>
          <w:color w:val="000000" w:themeColor="text1"/>
        </w:rPr>
      </w:pPr>
      <w:r w:rsidRPr="00AB4CC0">
        <w:rPr>
          <w:color w:val="000000" w:themeColor="text1"/>
        </w:rPr>
        <w:t xml:space="preserve">Jackson, D. and Tomlinson, M., (2020). Investigating the relationship between career planning, </w:t>
      </w:r>
      <w:proofErr w:type="gramStart"/>
      <w:r w:rsidRPr="00AB4CC0">
        <w:rPr>
          <w:color w:val="000000" w:themeColor="text1"/>
        </w:rPr>
        <w:t>proactivity</w:t>
      </w:r>
      <w:proofErr w:type="gramEnd"/>
      <w:r w:rsidRPr="00AB4CC0">
        <w:rPr>
          <w:color w:val="000000" w:themeColor="text1"/>
        </w:rPr>
        <w:t xml:space="preserve"> and employability perceptions among higher education students in uncertain labour market conditions. Higher education, 80(3), pp.435-455.</w:t>
      </w:r>
    </w:p>
    <w:p w14:paraId="71F9EF30" w14:textId="77777777" w:rsidR="00AB4CC0" w:rsidRPr="00AB4CC0" w:rsidRDefault="00AB4CC0" w:rsidP="00AB4CC0">
      <w:pPr>
        <w:pBdr>
          <w:top w:val="nil"/>
          <w:left w:val="nil"/>
          <w:bottom w:val="nil"/>
          <w:right w:val="nil"/>
          <w:between w:val="nil"/>
        </w:pBdr>
        <w:spacing w:after="240"/>
        <w:rPr>
          <w:color w:val="000000" w:themeColor="text1"/>
        </w:rPr>
      </w:pPr>
      <w:proofErr w:type="spellStart"/>
      <w:r w:rsidRPr="00AB4CC0">
        <w:rPr>
          <w:color w:val="000000" w:themeColor="text1"/>
        </w:rPr>
        <w:t>Kanki</w:t>
      </w:r>
      <w:proofErr w:type="spellEnd"/>
      <w:r w:rsidRPr="00AB4CC0">
        <w:rPr>
          <w:color w:val="000000" w:themeColor="text1"/>
        </w:rPr>
        <w:t>, B.G., (2019). Communication and crew resource management. In Crew resource management (pp. 103-137). Academic Press.</w:t>
      </w:r>
    </w:p>
    <w:p w14:paraId="1C59FCB3" w14:textId="77777777" w:rsidR="00AB4CC0" w:rsidRPr="00AB4CC0" w:rsidRDefault="00AB4CC0" w:rsidP="00AB4CC0">
      <w:pPr>
        <w:spacing w:after="240"/>
        <w:rPr>
          <w:color w:val="000000" w:themeColor="text1"/>
        </w:rPr>
      </w:pPr>
      <w:proofErr w:type="spellStart"/>
      <w:r w:rsidRPr="00AB4CC0">
        <w:rPr>
          <w:color w:val="000000" w:themeColor="text1"/>
        </w:rPr>
        <w:t>Kişi</w:t>
      </w:r>
      <w:proofErr w:type="spellEnd"/>
      <w:r w:rsidRPr="00AB4CC0">
        <w:rPr>
          <w:color w:val="000000" w:themeColor="text1"/>
        </w:rPr>
        <w:t xml:space="preserve">, N., (2019). A strategic approach to sustainable tourism development using the A’WOT hybrid method: A case study of </w:t>
      </w:r>
      <w:proofErr w:type="spellStart"/>
      <w:r w:rsidRPr="00AB4CC0">
        <w:rPr>
          <w:color w:val="000000" w:themeColor="text1"/>
        </w:rPr>
        <w:t>Zonguldak</w:t>
      </w:r>
      <w:proofErr w:type="spellEnd"/>
      <w:r w:rsidRPr="00AB4CC0">
        <w:rPr>
          <w:color w:val="000000" w:themeColor="text1"/>
        </w:rPr>
        <w:t>, Turkey. Sustainability, 11(4), p.964.</w:t>
      </w:r>
    </w:p>
    <w:p w14:paraId="43402709" w14:textId="77777777" w:rsidR="00AB4CC0" w:rsidRPr="00AB4CC0" w:rsidRDefault="00AB4CC0" w:rsidP="00AB4CC0">
      <w:pPr>
        <w:spacing w:after="240"/>
        <w:rPr>
          <w:color w:val="000000" w:themeColor="text1"/>
        </w:rPr>
      </w:pPr>
      <w:r w:rsidRPr="00AB4CC0">
        <w:rPr>
          <w:color w:val="000000" w:themeColor="text1"/>
        </w:rPr>
        <w:t>Mair, J. and Smith, A., (2022). Events and sustainability: Why making events more sustainable is not enough. In Events and sustainability (pp. 1-17). Routledge.</w:t>
      </w:r>
    </w:p>
    <w:p w14:paraId="0F264D1A" w14:textId="77777777" w:rsidR="00AB4CC0" w:rsidRPr="00AB4CC0" w:rsidRDefault="00AB4CC0" w:rsidP="00AB4CC0">
      <w:pPr>
        <w:pBdr>
          <w:top w:val="nil"/>
          <w:left w:val="nil"/>
          <w:bottom w:val="nil"/>
          <w:right w:val="nil"/>
          <w:between w:val="nil"/>
        </w:pBdr>
        <w:spacing w:after="240"/>
        <w:rPr>
          <w:color w:val="000000" w:themeColor="text1"/>
        </w:rPr>
      </w:pPr>
      <w:r w:rsidRPr="00AB4CC0">
        <w:rPr>
          <w:color w:val="000000" w:themeColor="text1"/>
        </w:rPr>
        <w:t xml:space="preserve">Nikolic, N., (2022). Strategic Management Methods in Support of Defence Preparation against Hybrid Warfare. </w:t>
      </w:r>
      <w:proofErr w:type="spellStart"/>
      <w:r w:rsidRPr="00AB4CC0">
        <w:rPr>
          <w:color w:val="000000" w:themeColor="text1"/>
        </w:rPr>
        <w:t>Honvédségi</w:t>
      </w:r>
      <w:proofErr w:type="spellEnd"/>
      <w:r w:rsidRPr="00AB4CC0">
        <w:rPr>
          <w:color w:val="000000" w:themeColor="text1"/>
        </w:rPr>
        <w:t xml:space="preserve"> </w:t>
      </w:r>
      <w:proofErr w:type="spellStart"/>
      <w:r w:rsidRPr="00AB4CC0">
        <w:rPr>
          <w:color w:val="000000" w:themeColor="text1"/>
        </w:rPr>
        <w:t>Szemle</w:t>
      </w:r>
      <w:proofErr w:type="spellEnd"/>
      <w:r w:rsidRPr="00AB4CC0">
        <w:rPr>
          <w:color w:val="000000" w:themeColor="text1"/>
        </w:rPr>
        <w:t>–Hungarian Defence Review, 150(1-2.), pp.158-169.</w:t>
      </w:r>
    </w:p>
    <w:p w14:paraId="4B68A733" w14:textId="77777777" w:rsidR="00AB4CC0" w:rsidRPr="00AB4CC0" w:rsidRDefault="00AB4CC0" w:rsidP="00AB4CC0">
      <w:pPr>
        <w:pBdr>
          <w:top w:val="nil"/>
          <w:left w:val="nil"/>
          <w:bottom w:val="nil"/>
          <w:right w:val="nil"/>
          <w:between w:val="nil"/>
        </w:pBdr>
        <w:spacing w:after="240"/>
        <w:rPr>
          <w:b/>
          <w:color w:val="000000" w:themeColor="text1"/>
          <w:sz w:val="28"/>
        </w:rPr>
      </w:pPr>
      <w:r w:rsidRPr="00AB4CC0">
        <w:rPr>
          <w:b/>
          <w:color w:val="000000" w:themeColor="text1"/>
          <w:sz w:val="28"/>
        </w:rPr>
        <w:t>Work Cited</w:t>
      </w:r>
    </w:p>
    <w:p w14:paraId="08E337AE" w14:textId="77777777" w:rsidR="00AB4CC0" w:rsidRPr="00AB4CC0" w:rsidRDefault="00AB4CC0" w:rsidP="00AB4CC0">
      <w:pPr>
        <w:pStyle w:val="Bibliography"/>
        <w:rPr>
          <w:noProof/>
          <w:color w:val="000000" w:themeColor="text1"/>
        </w:rPr>
      </w:pPr>
      <w:r w:rsidRPr="00AB4CC0">
        <w:rPr>
          <w:noProof/>
          <w:color w:val="000000" w:themeColor="text1"/>
        </w:rPr>
        <w:t xml:space="preserve">CATALA Consulting , (2023). </w:t>
      </w:r>
      <w:r w:rsidRPr="00AB4CC0">
        <w:rPr>
          <w:i/>
          <w:iCs/>
          <w:noProof/>
          <w:color w:val="000000" w:themeColor="text1"/>
        </w:rPr>
        <w:t xml:space="preserve">What is a SWOT analysis of a Hotel?. </w:t>
      </w:r>
      <w:r w:rsidRPr="00AB4CC0">
        <w:rPr>
          <w:noProof/>
          <w:color w:val="000000" w:themeColor="text1"/>
        </w:rPr>
        <w:t xml:space="preserve">[Online]  Available at: </w:t>
      </w:r>
      <w:hyperlink r:id="rId15" w:history="1">
        <w:r w:rsidRPr="00AB4CC0">
          <w:rPr>
            <w:rStyle w:val="Hyperlink"/>
            <w:noProof/>
            <w:color w:val="000000" w:themeColor="text1"/>
          </w:rPr>
          <w:t>https://catalaconsulting.co.uk/swot-analysis-hotel/</w:t>
        </w:r>
      </w:hyperlink>
      <w:r w:rsidRPr="00AB4CC0">
        <w:rPr>
          <w:noProof/>
          <w:color w:val="000000" w:themeColor="text1"/>
        </w:rPr>
        <w:t xml:space="preserve"> [Accessed 2024].</w:t>
      </w:r>
    </w:p>
    <w:p w14:paraId="0FDBD41F" w14:textId="77777777" w:rsidR="00AB4CC0" w:rsidRPr="00AB4CC0" w:rsidRDefault="00AB4CC0" w:rsidP="00AB4CC0">
      <w:pPr>
        <w:pStyle w:val="Bibliography"/>
        <w:rPr>
          <w:noProof/>
          <w:color w:val="000000" w:themeColor="text1"/>
        </w:rPr>
      </w:pPr>
      <w:r w:rsidRPr="00AB4CC0">
        <w:rPr>
          <w:noProof/>
          <w:color w:val="000000" w:themeColor="text1"/>
        </w:rPr>
        <w:t xml:space="preserve">creately , (2023). </w:t>
      </w:r>
      <w:r w:rsidRPr="00AB4CC0">
        <w:rPr>
          <w:i/>
          <w:iCs/>
          <w:noProof/>
          <w:color w:val="000000" w:themeColor="text1"/>
        </w:rPr>
        <w:t xml:space="preserve">SWOT Analysis and PEST Analysis – When to Use Them. </w:t>
      </w:r>
      <w:r w:rsidRPr="00AB4CC0">
        <w:rPr>
          <w:noProof/>
          <w:color w:val="000000" w:themeColor="text1"/>
        </w:rPr>
        <w:t xml:space="preserve">[Online]  Available at: </w:t>
      </w:r>
      <w:hyperlink r:id="rId16" w:history="1">
        <w:r w:rsidRPr="00AB4CC0">
          <w:rPr>
            <w:rStyle w:val="Hyperlink"/>
            <w:noProof/>
            <w:color w:val="000000" w:themeColor="text1"/>
          </w:rPr>
          <w:t>https://creately.com/blog/project-management/swot-analysis-vs-pest-analysis/</w:t>
        </w:r>
      </w:hyperlink>
      <w:r w:rsidRPr="00AB4CC0">
        <w:rPr>
          <w:noProof/>
          <w:color w:val="000000" w:themeColor="text1"/>
        </w:rPr>
        <w:t xml:space="preserve"> [Accessed 2024].</w:t>
      </w:r>
    </w:p>
    <w:p w14:paraId="7F656ECB" w14:textId="77777777" w:rsidR="00AB4CC0" w:rsidRPr="00AB4CC0" w:rsidRDefault="00AB4CC0" w:rsidP="00AB4CC0">
      <w:pPr>
        <w:pStyle w:val="Bibliography"/>
        <w:rPr>
          <w:noProof/>
          <w:color w:val="000000" w:themeColor="text1"/>
        </w:rPr>
      </w:pPr>
      <w:r w:rsidRPr="00AB4CC0">
        <w:rPr>
          <w:noProof/>
          <w:color w:val="000000" w:themeColor="text1"/>
        </w:rPr>
        <w:t xml:space="preserve">Peterdy, K., (2023). </w:t>
      </w:r>
      <w:r w:rsidRPr="00AB4CC0">
        <w:rPr>
          <w:i/>
          <w:iCs/>
          <w:noProof/>
          <w:color w:val="000000" w:themeColor="text1"/>
        </w:rPr>
        <w:t xml:space="preserve">PESTEL Analysis. </w:t>
      </w:r>
      <w:r w:rsidRPr="00AB4CC0">
        <w:rPr>
          <w:noProof/>
          <w:color w:val="000000" w:themeColor="text1"/>
        </w:rPr>
        <w:t xml:space="preserve">[Online]  Available at: </w:t>
      </w:r>
      <w:hyperlink r:id="rId17" w:history="1">
        <w:r w:rsidRPr="00AB4CC0">
          <w:rPr>
            <w:rStyle w:val="Hyperlink"/>
            <w:noProof/>
            <w:color w:val="000000" w:themeColor="text1"/>
          </w:rPr>
          <w:t>https://corporatefinanceinstitute.com/resources/management/pestel-analysis/</w:t>
        </w:r>
      </w:hyperlink>
      <w:r w:rsidRPr="00AB4CC0">
        <w:rPr>
          <w:noProof/>
          <w:color w:val="000000" w:themeColor="text1"/>
        </w:rPr>
        <w:t xml:space="preserve"> [Accessed 2024].</w:t>
      </w:r>
    </w:p>
    <w:p w14:paraId="71585129" w14:textId="77777777" w:rsidR="00AB4CC0" w:rsidRPr="00AB4CC0" w:rsidRDefault="00AB4CC0" w:rsidP="00AB4CC0">
      <w:pPr>
        <w:rPr>
          <w:b/>
          <w:bCs/>
          <w:color w:val="000000" w:themeColor="text1"/>
        </w:rPr>
      </w:pPr>
      <w:r w:rsidRPr="00AB4CC0">
        <w:rPr>
          <w:noProof/>
          <w:color w:val="000000" w:themeColor="text1"/>
        </w:rPr>
        <w:t xml:space="preserve">STOVA , (2022). </w:t>
      </w:r>
      <w:r w:rsidRPr="00AB4CC0">
        <w:rPr>
          <w:i/>
          <w:iCs/>
          <w:noProof/>
          <w:color w:val="000000" w:themeColor="text1"/>
        </w:rPr>
        <w:t xml:space="preserve">The Complete Guide to Creating an Event Budget. </w:t>
      </w:r>
      <w:r w:rsidRPr="00AB4CC0">
        <w:rPr>
          <w:noProof/>
          <w:color w:val="000000" w:themeColor="text1"/>
        </w:rPr>
        <w:t xml:space="preserve">[Online]  Available at: </w:t>
      </w:r>
      <w:hyperlink r:id="rId18" w:history="1">
        <w:r w:rsidRPr="00AB4CC0">
          <w:rPr>
            <w:rStyle w:val="Hyperlink"/>
            <w:noProof/>
            <w:color w:val="000000" w:themeColor="text1"/>
          </w:rPr>
          <w:t>https://stova.io/event-budget-guide/</w:t>
        </w:r>
      </w:hyperlink>
      <w:r w:rsidRPr="00AB4CC0">
        <w:rPr>
          <w:noProof/>
          <w:color w:val="000000" w:themeColor="text1"/>
        </w:rPr>
        <w:t xml:space="preserve"> [Accessed 2024].</w:t>
      </w:r>
    </w:p>
    <w:p w14:paraId="642E95FE" w14:textId="77777777" w:rsidR="00AB4CC0" w:rsidRPr="00AB4CC0" w:rsidRDefault="00AB4CC0" w:rsidP="00AB4CC0">
      <w:pPr>
        <w:rPr>
          <w:b/>
          <w:bCs/>
          <w:color w:val="000000" w:themeColor="text1"/>
        </w:rPr>
      </w:pPr>
    </w:p>
    <w:p w14:paraId="761D7EB6" w14:textId="77777777" w:rsidR="00AB4CC0" w:rsidRPr="00AB4CC0" w:rsidRDefault="00AB4CC0" w:rsidP="00091D52">
      <w:pPr>
        <w:rPr>
          <w:rFonts w:ascii="Arial" w:eastAsia="Times New Roman" w:hAnsi="Arial" w:cs="Arial"/>
          <w:bCs/>
          <w:iCs/>
          <w:color w:val="000000" w:themeColor="text1"/>
          <w:sz w:val="52"/>
          <w:szCs w:val="52"/>
        </w:rPr>
      </w:pPr>
    </w:p>
    <w:sectPr w:rsidR="00AB4CC0" w:rsidRPr="00AB4C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38BF"/>
    <w:rsid w:val="00091D52"/>
    <w:rsid w:val="007176F6"/>
    <w:rsid w:val="00AA5816"/>
    <w:rsid w:val="00AB4CC0"/>
    <w:rsid w:val="00B9260C"/>
    <w:rsid w:val="00CC5017"/>
    <w:rsid w:val="00FF38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0C894F"/>
  <w15:chartTrackingRefBased/>
  <w15:docId w15:val="{60B8C796-0D19-6F4B-A848-4C6E6E1DE9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38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F38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F38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F38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38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38B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38B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38B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38B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38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F38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F38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FF38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38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38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38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38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38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38B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38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38B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38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38B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38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38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38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38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38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38B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B4CC0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B4CC0"/>
    <w:pPr>
      <w:spacing w:line="480" w:lineRule="auto"/>
      <w:jc w:val="both"/>
    </w:pPr>
    <w:rPr>
      <w:rFonts w:ascii="Times New Roman" w:eastAsia="Times New Roman" w:hAnsi="Times New Roman" w:cs="Times New Roman"/>
      <w:kern w:val="0"/>
      <w:lang w:val=""/>
      <w14:ligatures w14:val="none"/>
    </w:rPr>
  </w:style>
  <w:style w:type="paragraph" w:styleId="NoSpacing">
    <w:name w:val="No Spacing"/>
    <w:uiPriority w:val="1"/>
    <w:qFormat/>
    <w:rsid w:val="00AB4C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hyperlink" Target="https://stova.io/event-budget-guide/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hyperlink" Target="https://corporatefinanceinstitute.com/resources/management/pestel-analysi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reately.com/blog/project-management/swot-analysis-vs-pest-analysis/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hyperlink" Target="https://catalaconsulting.co.uk/swot-analysis-hotel/" TargetMode="External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568</Words>
  <Characters>3238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Faina (2108333)</dc:creator>
  <cp:keywords/>
  <dc:description/>
  <cp:lastModifiedBy>Angela Faina (2108333)</cp:lastModifiedBy>
  <cp:revision>2</cp:revision>
  <dcterms:created xsi:type="dcterms:W3CDTF">2024-02-09T11:58:00Z</dcterms:created>
  <dcterms:modified xsi:type="dcterms:W3CDTF">2024-02-09T11:58:00Z</dcterms:modified>
</cp:coreProperties>
</file>