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96A36A" w14:textId="77777777" w:rsidR="00565CB8" w:rsidRPr="00942EB1" w:rsidRDefault="00565CB8" w:rsidP="00942EB1">
      <w:pPr>
        <w:spacing w:after="0" w:line="360" w:lineRule="auto"/>
        <w:jc w:val="center"/>
        <w:rPr>
          <w:rFonts w:ascii="Arial" w:hAnsi="Arial" w:cs="Arial"/>
          <w:b/>
          <w:bCs/>
        </w:rPr>
      </w:pPr>
    </w:p>
    <w:p w14:paraId="5D96A36B" w14:textId="77777777" w:rsidR="00565CB8" w:rsidRPr="00942EB1" w:rsidRDefault="00565CB8" w:rsidP="00942EB1">
      <w:pPr>
        <w:spacing w:after="0" w:line="360" w:lineRule="auto"/>
        <w:jc w:val="center"/>
        <w:rPr>
          <w:rFonts w:ascii="Arial" w:hAnsi="Arial" w:cs="Arial"/>
          <w:b/>
          <w:bCs/>
        </w:rPr>
      </w:pPr>
    </w:p>
    <w:p w14:paraId="5D96A36C" w14:textId="77777777" w:rsidR="00565CB8" w:rsidRPr="00942EB1" w:rsidRDefault="00565CB8" w:rsidP="00942EB1">
      <w:pPr>
        <w:spacing w:after="0" w:line="360" w:lineRule="auto"/>
        <w:jc w:val="center"/>
        <w:rPr>
          <w:rFonts w:ascii="Arial" w:hAnsi="Arial" w:cs="Arial"/>
          <w:b/>
          <w:bCs/>
        </w:rPr>
      </w:pPr>
    </w:p>
    <w:p w14:paraId="5D96A36D" w14:textId="0F1C6A96" w:rsidR="00565CB8" w:rsidRPr="00942EB1" w:rsidRDefault="002A2481" w:rsidP="00942EB1">
      <w:pPr>
        <w:spacing w:after="0" w:line="360" w:lineRule="auto"/>
        <w:jc w:val="center"/>
        <w:rPr>
          <w:rFonts w:ascii="Arial" w:hAnsi="Arial" w:cs="Arial"/>
          <w:b/>
          <w:bCs/>
        </w:rPr>
      </w:pPr>
      <w:r>
        <w:rPr>
          <w:rFonts w:ascii="Arial" w:hAnsi="Arial" w:cs="Arial"/>
          <w:b/>
          <w:bCs/>
        </w:rPr>
        <w:t xml:space="preserve">    </w:t>
      </w:r>
    </w:p>
    <w:p w14:paraId="5D96A36E" w14:textId="77777777" w:rsidR="00565CB8" w:rsidRPr="00942EB1" w:rsidRDefault="00565CB8" w:rsidP="00942EB1">
      <w:pPr>
        <w:spacing w:after="0" w:line="360" w:lineRule="auto"/>
        <w:jc w:val="center"/>
        <w:rPr>
          <w:rFonts w:ascii="Arial" w:hAnsi="Arial" w:cs="Arial"/>
          <w:b/>
          <w:bCs/>
        </w:rPr>
      </w:pPr>
    </w:p>
    <w:p w14:paraId="5D96A36F" w14:textId="725BEB00" w:rsidR="00565CB8" w:rsidRPr="00F14BA1" w:rsidRDefault="00F14BA1" w:rsidP="00942EB1">
      <w:pPr>
        <w:spacing w:after="0" w:line="360" w:lineRule="auto"/>
        <w:jc w:val="center"/>
        <w:rPr>
          <w:rFonts w:ascii="Arial" w:hAnsi="Arial" w:cs="Arial"/>
        </w:rPr>
      </w:pPr>
      <w:r>
        <w:rPr>
          <w:rFonts w:ascii="Arial" w:hAnsi="Arial" w:cs="Arial"/>
        </w:rPr>
        <w:t xml:space="preserve">                                                                                       Luminita Marinescu </w:t>
      </w:r>
    </w:p>
    <w:p w14:paraId="5D96A370" w14:textId="06DE57CC" w:rsidR="00565CB8" w:rsidRDefault="00701710" w:rsidP="00942EB1">
      <w:pPr>
        <w:spacing w:after="0" w:line="360" w:lineRule="auto"/>
        <w:jc w:val="center"/>
        <w:rPr>
          <w:rFonts w:ascii="Arial" w:hAnsi="Arial" w:cs="Arial"/>
        </w:rPr>
      </w:pPr>
      <w:r>
        <w:rPr>
          <w:rFonts w:ascii="Arial" w:hAnsi="Arial" w:cs="Arial"/>
        </w:rPr>
        <w:t xml:space="preserve">                                                                                                  Student Number: 2212680</w:t>
      </w:r>
    </w:p>
    <w:p w14:paraId="56D3C4FD" w14:textId="77777777" w:rsidR="00F14BA1" w:rsidRDefault="00F14BA1" w:rsidP="005551DB">
      <w:pPr>
        <w:spacing w:after="0" w:line="360" w:lineRule="auto"/>
        <w:rPr>
          <w:rFonts w:ascii="Arial" w:hAnsi="Arial" w:cs="Arial"/>
        </w:rPr>
      </w:pPr>
    </w:p>
    <w:p w14:paraId="29FB6B2B" w14:textId="31319953" w:rsidR="005551DB" w:rsidRDefault="005551DB" w:rsidP="005551DB">
      <w:pPr>
        <w:spacing w:after="0" w:line="360" w:lineRule="auto"/>
        <w:rPr>
          <w:rFonts w:ascii="Arial" w:hAnsi="Arial" w:cs="Arial"/>
        </w:rPr>
      </w:pPr>
      <w:r>
        <w:rPr>
          <w:rFonts w:ascii="Arial" w:hAnsi="Arial" w:cs="Arial"/>
        </w:rPr>
        <w:t>BA International Hotel Management</w:t>
      </w:r>
    </w:p>
    <w:p w14:paraId="2EEF2062" w14:textId="1CD1CB88" w:rsidR="000F0663" w:rsidRDefault="00235DDA" w:rsidP="005551DB">
      <w:pPr>
        <w:spacing w:after="0" w:line="360" w:lineRule="auto"/>
        <w:rPr>
          <w:rFonts w:ascii="Arial" w:hAnsi="Arial" w:cs="Arial"/>
        </w:rPr>
      </w:pPr>
      <w:r>
        <w:rPr>
          <w:rFonts w:ascii="Arial" w:hAnsi="Arial" w:cs="Arial"/>
        </w:rPr>
        <w:t>BMIH5001</w:t>
      </w:r>
    </w:p>
    <w:p w14:paraId="39774F7F" w14:textId="77777777" w:rsidR="00F14BA1" w:rsidRDefault="00235DDA" w:rsidP="005551DB">
      <w:pPr>
        <w:spacing w:after="0" w:line="360" w:lineRule="auto"/>
        <w:rPr>
          <w:rFonts w:ascii="Arial" w:hAnsi="Arial" w:cs="Arial"/>
        </w:rPr>
      </w:pPr>
      <w:r>
        <w:rPr>
          <w:rFonts w:ascii="Arial" w:hAnsi="Arial" w:cs="Arial"/>
        </w:rPr>
        <w:t>Lecturers: Chris Wilking,</w:t>
      </w:r>
      <w:r w:rsidR="00AD5693">
        <w:rPr>
          <w:rFonts w:ascii="Arial" w:hAnsi="Arial" w:cs="Arial"/>
        </w:rPr>
        <w:t xml:space="preserve"> Neil Dyer,</w:t>
      </w:r>
    </w:p>
    <w:p w14:paraId="6A7C7732" w14:textId="5478CDAD" w:rsidR="00235DDA" w:rsidRDefault="00AD5693" w:rsidP="005551DB">
      <w:pPr>
        <w:spacing w:after="0" w:line="360" w:lineRule="auto"/>
        <w:rPr>
          <w:rFonts w:ascii="Arial" w:hAnsi="Arial" w:cs="Arial"/>
        </w:rPr>
      </w:pPr>
      <w:r>
        <w:rPr>
          <w:rFonts w:ascii="Arial" w:hAnsi="Arial" w:cs="Arial"/>
        </w:rPr>
        <w:t xml:space="preserve">Charlotte Joyner, </w:t>
      </w:r>
      <w:r w:rsidR="00F14BA1">
        <w:rPr>
          <w:rFonts w:ascii="Arial" w:hAnsi="Arial" w:cs="Arial"/>
        </w:rPr>
        <w:t>Ben Chong</w:t>
      </w:r>
    </w:p>
    <w:p w14:paraId="7C9DF8E0" w14:textId="77777777" w:rsidR="005551DB" w:rsidRPr="00701710" w:rsidRDefault="005551DB" w:rsidP="005551DB">
      <w:pPr>
        <w:spacing w:after="0" w:line="360" w:lineRule="auto"/>
        <w:rPr>
          <w:rFonts w:ascii="Arial" w:hAnsi="Arial" w:cs="Arial"/>
        </w:rPr>
      </w:pPr>
    </w:p>
    <w:p w14:paraId="5D96A371" w14:textId="77777777" w:rsidR="00565CB8" w:rsidRPr="00942EB1" w:rsidRDefault="00565CB8" w:rsidP="00942EB1">
      <w:pPr>
        <w:spacing w:after="0" w:line="360" w:lineRule="auto"/>
        <w:jc w:val="center"/>
        <w:rPr>
          <w:rFonts w:ascii="Arial" w:hAnsi="Arial" w:cs="Arial"/>
          <w:b/>
          <w:bCs/>
        </w:rPr>
      </w:pPr>
    </w:p>
    <w:p w14:paraId="22DD1313" w14:textId="77777777" w:rsidR="00701710" w:rsidRDefault="00701710" w:rsidP="00942EB1">
      <w:pPr>
        <w:spacing w:after="0" w:line="360" w:lineRule="auto"/>
        <w:jc w:val="center"/>
        <w:rPr>
          <w:rFonts w:ascii="Arial" w:hAnsi="Arial" w:cs="Arial"/>
          <w:b/>
          <w:bCs/>
        </w:rPr>
      </w:pPr>
    </w:p>
    <w:p w14:paraId="07992310" w14:textId="77777777" w:rsidR="00701710" w:rsidRDefault="00701710" w:rsidP="00942EB1">
      <w:pPr>
        <w:spacing w:after="0" w:line="360" w:lineRule="auto"/>
        <w:jc w:val="center"/>
        <w:rPr>
          <w:rFonts w:ascii="Arial" w:hAnsi="Arial" w:cs="Arial"/>
          <w:b/>
          <w:bCs/>
        </w:rPr>
      </w:pPr>
    </w:p>
    <w:p w14:paraId="4F1B870A" w14:textId="77777777" w:rsidR="00701710" w:rsidRDefault="00701710" w:rsidP="00942EB1">
      <w:pPr>
        <w:spacing w:after="0" w:line="360" w:lineRule="auto"/>
        <w:jc w:val="center"/>
        <w:rPr>
          <w:rFonts w:ascii="Arial" w:hAnsi="Arial" w:cs="Arial"/>
          <w:b/>
          <w:bCs/>
        </w:rPr>
      </w:pPr>
    </w:p>
    <w:p w14:paraId="5D96A372" w14:textId="18E2C7E6" w:rsidR="004E72BD" w:rsidRPr="00942EB1" w:rsidRDefault="004E72BD" w:rsidP="00942EB1">
      <w:pPr>
        <w:spacing w:after="0" w:line="360" w:lineRule="auto"/>
        <w:jc w:val="center"/>
        <w:rPr>
          <w:rFonts w:ascii="Arial" w:hAnsi="Arial" w:cs="Arial"/>
          <w:b/>
          <w:bCs/>
        </w:rPr>
      </w:pPr>
      <w:r w:rsidRPr="00942EB1">
        <w:rPr>
          <w:rFonts w:ascii="Arial" w:hAnsi="Arial" w:cs="Arial"/>
          <w:b/>
          <w:bCs/>
        </w:rPr>
        <w:t>Individual Business Model Canvas with Entrepreneurial Reflection using Appropriate Academic Models</w:t>
      </w:r>
    </w:p>
    <w:p w14:paraId="5D96A373" w14:textId="77777777" w:rsidR="004E72BD" w:rsidRPr="00942EB1" w:rsidRDefault="004E72BD" w:rsidP="00942EB1">
      <w:pPr>
        <w:spacing w:after="0" w:line="360" w:lineRule="auto"/>
        <w:jc w:val="center"/>
        <w:rPr>
          <w:rFonts w:ascii="Arial" w:hAnsi="Arial" w:cs="Arial"/>
        </w:rPr>
      </w:pPr>
    </w:p>
    <w:p w14:paraId="5D96A374" w14:textId="5516BAAF" w:rsidR="004E72BD" w:rsidRPr="00942EB1" w:rsidRDefault="004E72BD" w:rsidP="00942EB1">
      <w:pPr>
        <w:spacing w:after="0" w:line="360" w:lineRule="auto"/>
        <w:jc w:val="center"/>
        <w:rPr>
          <w:rFonts w:ascii="Arial" w:hAnsi="Arial" w:cs="Arial"/>
        </w:rPr>
      </w:pPr>
    </w:p>
    <w:p w14:paraId="5D96A375" w14:textId="2E6E5846" w:rsidR="004E72BD" w:rsidRPr="00942EB1" w:rsidRDefault="004E72BD" w:rsidP="00942EB1">
      <w:pPr>
        <w:spacing w:after="0" w:line="360" w:lineRule="auto"/>
        <w:jc w:val="center"/>
        <w:rPr>
          <w:rFonts w:ascii="Arial" w:hAnsi="Arial" w:cs="Arial"/>
        </w:rPr>
      </w:pPr>
    </w:p>
    <w:p w14:paraId="5D96A37A" w14:textId="0A53F8DE" w:rsidR="00565CB8" w:rsidRDefault="00565CB8" w:rsidP="00AE4275">
      <w:pPr>
        <w:spacing w:after="0" w:line="360" w:lineRule="auto"/>
        <w:rPr>
          <w:rFonts w:ascii="Arial" w:hAnsi="Arial" w:cs="Arial"/>
          <w:b/>
          <w:bCs/>
        </w:rPr>
      </w:pPr>
    </w:p>
    <w:p w14:paraId="7171D816" w14:textId="77777777" w:rsidR="00AE4275" w:rsidRDefault="00AE4275" w:rsidP="00AE4275">
      <w:pPr>
        <w:spacing w:after="0" w:line="360" w:lineRule="auto"/>
        <w:rPr>
          <w:rFonts w:ascii="Arial" w:hAnsi="Arial" w:cs="Arial"/>
          <w:b/>
          <w:bCs/>
        </w:rPr>
      </w:pPr>
    </w:p>
    <w:p w14:paraId="1E84ED8E" w14:textId="77777777" w:rsidR="00AE4275" w:rsidRDefault="00AE4275" w:rsidP="00AE4275">
      <w:pPr>
        <w:spacing w:after="0" w:line="360" w:lineRule="auto"/>
        <w:rPr>
          <w:rFonts w:ascii="Arial" w:hAnsi="Arial" w:cs="Arial"/>
          <w:b/>
          <w:bCs/>
        </w:rPr>
      </w:pPr>
    </w:p>
    <w:p w14:paraId="725EA92D" w14:textId="77777777" w:rsidR="00AE4275" w:rsidRDefault="00AE4275" w:rsidP="00AE4275">
      <w:pPr>
        <w:spacing w:after="0" w:line="360" w:lineRule="auto"/>
        <w:rPr>
          <w:rFonts w:ascii="Arial" w:hAnsi="Arial" w:cs="Arial"/>
          <w:b/>
          <w:bCs/>
        </w:rPr>
      </w:pPr>
    </w:p>
    <w:p w14:paraId="2104DEBD" w14:textId="77777777" w:rsidR="00AE4275" w:rsidRDefault="00AE4275" w:rsidP="00AE4275">
      <w:pPr>
        <w:spacing w:after="0" w:line="360" w:lineRule="auto"/>
        <w:rPr>
          <w:rFonts w:ascii="Arial" w:hAnsi="Arial" w:cs="Arial"/>
          <w:b/>
          <w:bCs/>
        </w:rPr>
      </w:pPr>
    </w:p>
    <w:p w14:paraId="3692AC84" w14:textId="77777777" w:rsidR="00AE4275" w:rsidRDefault="00AE4275" w:rsidP="00AE4275">
      <w:pPr>
        <w:spacing w:after="0" w:line="360" w:lineRule="auto"/>
        <w:rPr>
          <w:rFonts w:ascii="Arial" w:hAnsi="Arial" w:cs="Arial"/>
          <w:b/>
          <w:bCs/>
        </w:rPr>
      </w:pPr>
    </w:p>
    <w:p w14:paraId="449DA015" w14:textId="77777777" w:rsidR="00AE4275" w:rsidRDefault="00AE4275" w:rsidP="00AE4275">
      <w:pPr>
        <w:spacing w:after="0" w:line="360" w:lineRule="auto"/>
        <w:rPr>
          <w:rFonts w:ascii="Arial" w:hAnsi="Arial" w:cs="Arial"/>
          <w:b/>
          <w:bCs/>
        </w:rPr>
      </w:pPr>
    </w:p>
    <w:p w14:paraId="6D15C280" w14:textId="77777777" w:rsidR="00AE4275" w:rsidRDefault="00AE4275" w:rsidP="00AE4275">
      <w:pPr>
        <w:spacing w:after="0" w:line="360" w:lineRule="auto"/>
        <w:rPr>
          <w:rFonts w:ascii="Arial" w:hAnsi="Arial" w:cs="Arial"/>
          <w:b/>
          <w:bCs/>
        </w:rPr>
      </w:pPr>
    </w:p>
    <w:p w14:paraId="2C054C4D" w14:textId="77777777" w:rsidR="00AE4275" w:rsidRDefault="00AE4275" w:rsidP="00AE4275">
      <w:pPr>
        <w:spacing w:after="0" w:line="360" w:lineRule="auto"/>
        <w:rPr>
          <w:rFonts w:ascii="Arial" w:hAnsi="Arial" w:cs="Arial"/>
          <w:b/>
          <w:bCs/>
        </w:rPr>
      </w:pPr>
    </w:p>
    <w:p w14:paraId="3CFEF741" w14:textId="77777777" w:rsidR="00AE4275" w:rsidRPr="00942EB1" w:rsidRDefault="00AE4275" w:rsidP="00AE4275">
      <w:pPr>
        <w:spacing w:after="0" w:line="360" w:lineRule="auto"/>
        <w:rPr>
          <w:rFonts w:ascii="Arial" w:hAnsi="Arial" w:cs="Arial"/>
          <w:b/>
          <w:bCs/>
        </w:rPr>
      </w:pPr>
    </w:p>
    <w:p w14:paraId="5D96A37B" w14:textId="77777777" w:rsidR="00AC465A" w:rsidRPr="00942EB1" w:rsidRDefault="00CF5A8F" w:rsidP="00942EB1">
      <w:pPr>
        <w:spacing w:after="0" w:line="360" w:lineRule="auto"/>
        <w:rPr>
          <w:rFonts w:ascii="Arial" w:hAnsi="Arial" w:cs="Arial"/>
          <w:b/>
          <w:bCs/>
        </w:rPr>
      </w:pPr>
      <w:r w:rsidRPr="00942EB1">
        <w:rPr>
          <w:rFonts w:ascii="Arial" w:hAnsi="Arial" w:cs="Arial"/>
          <w:b/>
          <w:bCs/>
        </w:rPr>
        <w:t xml:space="preserve"> </w:t>
      </w:r>
      <w:r w:rsidR="0048753B" w:rsidRPr="00942EB1">
        <w:rPr>
          <w:rFonts w:ascii="Arial" w:hAnsi="Arial" w:cs="Arial"/>
          <w:b/>
          <w:bCs/>
        </w:rPr>
        <w:t xml:space="preserve">Proposal for an Italian </w:t>
      </w:r>
      <w:r w:rsidR="00F62029" w:rsidRPr="00942EB1">
        <w:rPr>
          <w:rFonts w:ascii="Arial" w:hAnsi="Arial" w:cs="Arial"/>
          <w:b/>
          <w:bCs/>
        </w:rPr>
        <w:t>Restaurant Business</w:t>
      </w:r>
    </w:p>
    <w:p w14:paraId="5D96A37C" w14:textId="77777777" w:rsidR="00A2011B" w:rsidRPr="00942EB1" w:rsidRDefault="00A2011B" w:rsidP="00942EB1">
      <w:pPr>
        <w:spacing w:after="0" w:line="360" w:lineRule="auto"/>
        <w:rPr>
          <w:rFonts w:ascii="Arial" w:hAnsi="Arial" w:cs="Arial"/>
        </w:rPr>
      </w:pPr>
      <w:r w:rsidRPr="00942EB1">
        <w:rPr>
          <w:rFonts w:ascii="Arial" w:hAnsi="Arial" w:cs="Arial"/>
        </w:rPr>
        <w:t xml:space="preserve"> </w:t>
      </w:r>
      <w:r w:rsidR="001F26C6">
        <w:rPr>
          <w:rFonts w:ascii="Arial" w:hAnsi="Arial" w:cs="Arial"/>
        </w:rPr>
        <w:tab/>
      </w:r>
      <w:r w:rsidRPr="00942EB1">
        <w:rPr>
          <w:rFonts w:ascii="Arial" w:hAnsi="Arial" w:cs="Arial"/>
        </w:rPr>
        <w:t>An Italian restaurant business is a lucrative business venture that is highly rewarding due to the increasing demands for Italian cuisine by visitors from different parts of the world. Italian food is among the most popular cuisines worldwide owing to its high-quality ingredients, simple dishes, and substantial health benefits (Parasecoli, 2019). According to Italian Food News (2024), Italian cuisines accounted for 19% of the traditional restaurant market in 2023, based on a report from the Foodservice Market Monitor. This indicates that it is a crucial part of the global food industry with a huge profit potential. As a result, the proposal will explore the Italian restaurant business venture by examining its key partners, activities, resources, value propositions, customer relationships, marketing channels, cost structure, and revenue streams. It will also critically evaluate personal entrepreneurial characteristics that can influence the success of the business venture.</w:t>
      </w:r>
    </w:p>
    <w:p w14:paraId="5D96A37D" w14:textId="77777777" w:rsidR="00A2011B" w:rsidRPr="00942EB1" w:rsidRDefault="00A2011B" w:rsidP="001F26C6">
      <w:pPr>
        <w:spacing w:after="0" w:line="360" w:lineRule="auto"/>
        <w:ind w:firstLine="720"/>
        <w:rPr>
          <w:rFonts w:ascii="Arial" w:hAnsi="Arial" w:cs="Arial"/>
        </w:rPr>
      </w:pPr>
      <w:r w:rsidRPr="00942EB1">
        <w:rPr>
          <w:rFonts w:ascii="Arial" w:hAnsi="Arial" w:cs="Arial"/>
        </w:rPr>
        <w:t xml:space="preserve">The key partners of the Italian restaurant business venture include investors who will provide the necessary funding for the project. Investors are crucial partners when establishing businesses since they have the financial strength to cover the startup and operational costs of the business venture (Williams, 2021). Besides, local restaurants will also be important partners since they can provide relevant information for the business. Local businesses are aware of the prevailing market conditions, endorsements, and suppliers of various required products; hence, they can provide important information for the business (Walker, 2021). Additionally, it is necessary to partner with local hospitality training institutions to provide well-trained employees. Anderson and Sanga (2019) explain that partnerships can save business employee training costs and guarantee a consistent supply of skilled employees. Notably, Shah et al. (2019) observe that partnerships are motivated by the need to provide necessary resources and reduce startup expenses for market research and employee training. They can also prevent uncertainties associated with unreliable suppliers and the inability to navigate the uncertain market conditions. </w:t>
      </w:r>
    </w:p>
    <w:p w14:paraId="5D96A37E" w14:textId="77777777" w:rsidR="00A2011B" w:rsidRPr="00942EB1" w:rsidRDefault="00A2011B" w:rsidP="00DA31A0">
      <w:pPr>
        <w:spacing w:after="0" w:line="360" w:lineRule="auto"/>
        <w:ind w:firstLine="720"/>
        <w:rPr>
          <w:rFonts w:ascii="Arial" w:hAnsi="Arial" w:cs="Arial"/>
        </w:rPr>
      </w:pPr>
      <w:r w:rsidRPr="00942EB1">
        <w:rPr>
          <w:rFonts w:ascii="Arial" w:hAnsi="Arial" w:cs="Arial"/>
        </w:rPr>
        <w:t xml:space="preserve">Consequently, the key activities associated with the value proportions of the restaurant products include branding the restaurant and its menu with themes reflecting </w:t>
      </w:r>
      <w:r w:rsidRPr="00942EB1">
        <w:rPr>
          <w:rFonts w:ascii="Arial" w:hAnsi="Arial" w:cs="Arial"/>
        </w:rPr>
        <w:lastRenderedPageBreak/>
        <w:t xml:space="preserve">rich Italian culture, such as the warm and dark hues for fine dining settings. Also, Williams (2021) illustrates the importance of convenient distribution channels to ensure a timely supply of food products to restaurants and customers. It will engage the services of local food suppliers with adequate equipment like refrigerated trucks for transporting perishable products from the farms to the restaurants. Moreover, it will develop positive customer relationships by establishing clear communication channels like emails, phones, and drop boxes. These communication channels are necessary for collecting customer feedback to help improve the services offered at the restaurant and build trustful relationships with the customers (Sashi, Brynildsen </w:t>
      </w:r>
      <w:r w:rsidR="008272B0">
        <w:rPr>
          <w:rFonts w:ascii="Arial" w:hAnsi="Arial" w:cs="Arial"/>
        </w:rPr>
        <w:t>&amp;</w:t>
      </w:r>
      <w:r w:rsidRPr="00942EB1">
        <w:rPr>
          <w:rFonts w:ascii="Arial" w:hAnsi="Arial" w:cs="Arial"/>
        </w:rPr>
        <w:t xml:space="preserve"> Bilgihan</w:t>
      </w:r>
      <w:r w:rsidR="00F53581">
        <w:rPr>
          <w:rFonts w:ascii="Arial" w:hAnsi="Arial" w:cs="Arial"/>
        </w:rPr>
        <w:t xml:space="preserve">. </w:t>
      </w:r>
      <w:r w:rsidRPr="00942EB1">
        <w:rPr>
          <w:rFonts w:ascii="Arial" w:hAnsi="Arial" w:cs="Arial"/>
        </w:rPr>
        <w:t>2019). Customer relations will also be improved through rewards and discounts for loyal customers and providing quality services (Zhu et al., 2019). Additionally, revenue streams will be created by developing strategic partnerships with hospitality businesses dealing with accommodation services to ensure their customers can be referred to the restaurant for Italian cuisines (Shah et al., 2019). The restaurant will also diversify its services to include takeaways, which can generate additional revenue. Thus, the identified activities will improve the restaurant's value propositions and give it a competitive edge in the market.</w:t>
      </w:r>
    </w:p>
    <w:p w14:paraId="5D96A37F" w14:textId="77777777" w:rsidR="00A2011B" w:rsidRPr="00942EB1" w:rsidRDefault="00A2011B" w:rsidP="00DA31A0">
      <w:pPr>
        <w:spacing w:after="0" w:line="360" w:lineRule="auto"/>
        <w:ind w:firstLine="720"/>
        <w:rPr>
          <w:rFonts w:ascii="Arial" w:hAnsi="Arial" w:cs="Arial"/>
        </w:rPr>
      </w:pPr>
      <w:r w:rsidRPr="00942EB1">
        <w:rPr>
          <w:rFonts w:ascii="Arial" w:hAnsi="Arial" w:cs="Arial"/>
        </w:rPr>
        <w:t>Notably, the value propositions will require various resources, such as a trademark, to protect the restaurant brand. The trademark will protect the brand and prevent its misuse by other parties, especially when the business is booming (Walker, 2021). The restaurant will also require cold storage units to improve the efficiency of its distribution channels by allowing consistent distribution of necessary products (Arriaga-Lorenzo et al., 2023). In addition, Abdelhamied (2019) illustrates that customer relationships will require skilled employees to communicate effectively and provide timely customer support. The final resource requirement is for the revenue stream, which will require sales and legal teams, including a professional business negotiator, to help negotiate partnership agreements with other businesses in the hospitality industry (Walker, 2021). The professional negotiator, sales and legal teams will help negotiate mutually beneficial partnership agreements for the business. Thus, the resources will ensure the success of the business by helping it gain a competitive edge in the market.</w:t>
      </w:r>
    </w:p>
    <w:p w14:paraId="5D96A380" w14:textId="77777777" w:rsidR="00A2011B" w:rsidRPr="00942EB1" w:rsidRDefault="00A2011B" w:rsidP="00DA31A0">
      <w:pPr>
        <w:spacing w:after="0" w:line="360" w:lineRule="auto"/>
        <w:ind w:firstLine="720"/>
        <w:rPr>
          <w:rFonts w:ascii="Arial" w:hAnsi="Arial" w:cs="Arial"/>
        </w:rPr>
      </w:pPr>
      <w:r w:rsidRPr="00942EB1">
        <w:rPr>
          <w:rFonts w:ascii="Arial" w:hAnsi="Arial" w:cs="Arial"/>
        </w:rPr>
        <w:lastRenderedPageBreak/>
        <w:t xml:space="preserve">Furthermore, the value propositions which will be delivered to customers include quality Italian cuisines and drinks. The products will be sold at reduced costs and discounted prices for regular customers to increase the business's customer base (Zhu et al., 2019). The restaurant will meet consumers' need to experience Italian culture through food and drinks. This is because most customers find it challenging to access restaurants that can meet their specific needs of Italian food. The restaurant will target a mass market, regardless of geographical locations and demographics like the age or income potential of the customers (Walker, 2021). Diversifying market segments will increase the restaurant's customer base. </w:t>
      </w:r>
    </w:p>
    <w:p w14:paraId="5D96A381" w14:textId="77777777" w:rsidR="00A2011B" w:rsidRPr="00942EB1" w:rsidRDefault="00A2011B" w:rsidP="00DA31A0">
      <w:pPr>
        <w:spacing w:after="0" w:line="360" w:lineRule="auto"/>
        <w:ind w:firstLine="720"/>
        <w:rPr>
          <w:rFonts w:ascii="Arial" w:hAnsi="Arial" w:cs="Arial"/>
        </w:rPr>
      </w:pPr>
      <w:r w:rsidRPr="00942EB1">
        <w:rPr>
          <w:rFonts w:ascii="Arial" w:hAnsi="Arial" w:cs="Arial"/>
        </w:rPr>
        <w:t xml:space="preserve">Moreover, the business will strengthen its customer relationships by offering personalized services for every customer (Wu &amp; Gao, 2019). Zhu et al. (2019) explain that the business can develop various customer relationships, such as offering discounts to create loyal customers. It will also integrate artificial intelligence software into its operations, enabling customers to make orders automatically. The software will also be available on the businesses' website to allow for enquiries and pre-ordering of services (Li et al., 2021). Additionally, it will also adopt value co-creation to integrate customer relationships into its business strategy effectively. Carvalho and Alves (2023) explain that the restaurant can achieve co-creation by collaborating with customers and business partners to improve the menu and diversify the services offered. Therefore, personalized services and discounts promote strong customer relations, which are integral to the success of restaurant businesses. </w:t>
      </w:r>
    </w:p>
    <w:p w14:paraId="5D96A382" w14:textId="77777777" w:rsidR="00B87922" w:rsidRPr="00942EB1" w:rsidRDefault="00A2011B" w:rsidP="00DA31A0">
      <w:pPr>
        <w:spacing w:after="0" w:line="360" w:lineRule="auto"/>
        <w:ind w:firstLine="720"/>
        <w:rPr>
          <w:rFonts w:ascii="Arial" w:hAnsi="Arial" w:cs="Arial"/>
        </w:rPr>
      </w:pPr>
      <w:r w:rsidRPr="00942EB1">
        <w:rPr>
          <w:rFonts w:ascii="Arial" w:hAnsi="Arial" w:cs="Arial"/>
        </w:rPr>
        <w:t xml:space="preserve">The business will reach its customers through influencer marketing and digital marketing on social media pages like Facebook and TikTok. Singh, Singh and Dhir (2022) explain that the digital channels are popularly used worldwide due to technological advancements, allowing customers to review products online before making purchase decisions. The business will encourage customer feedback through its social media channels to improve after-sales services (Kim, Yoo &amp; Yang, 2020). Based on the identified channels, marketing through social media pages is the most cost-efficient and can reach a larger audience quickly. In contrast, influencer marketing is costly but reliable and has higher customer conversion rates (Lee et al., 2021). Notably, the marketing channels will be integrated by developing a single marketing </w:t>
      </w:r>
      <w:r w:rsidRPr="00942EB1">
        <w:rPr>
          <w:rFonts w:ascii="Arial" w:hAnsi="Arial" w:cs="Arial"/>
        </w:rPr>
        <w:lastRenderedPageBreak/>
        <w:t>communication plan and messaging to ensure alignment with the businesses' mission and vision. Television adverts will be aired during news hours, while billboards will be installed on strategic access roads to increase audience reach.</w:t>
      </w:r>
    </w:p>
    <w:p w14:paraId="5D96A383" w14:textId="77777777" w:rsidR="007624C1" w:rsidRPr="00942EB1" w:rsidRDefault="007624C1" w:rsidP="00DA31A0">
      <w:pPr>
        <w:pStyle w:val="NormalWeb"/>
        <w:spacing w:before="0" w:beforeAutospacing="0" w:after="0" w:afterAutospacing="0" w:line="360" w:lineRule="auto"/>
        <w:ind w:firstLine="720"/>
        <w:rPr>
          <w:rFonts w:ascii="Arial" w:hAnsi="Arial" w:cs="Arial"/>
          <w:color w:val="0E101A"/>
        </w:rPr>
      </w:pPr>
      <w:r w:rsidRPr="00942EB1">
        <w:rPr>
          <w:rFonts w:ascii="Arial" w:hAnsi="Arial" w:cs="Arial"/>
          <w:color w:val="0E101A"/>
        </w:rPr>
        <w:t>Basically, Walker (2021) observes that the cost structure of the restaurant can be divided into fixed and variable costs, whereby the fixed costs constitute rent for the establishment and salaries. On the other hand, the variable costs constitute the cost of repair, product promotion and food, which vary depending on the amount of inventory supplied. Other costs that will be important to the business include the initial cost of acquiring equipment, operational licenses, health permits, costs, and security for the establishment (Walker, 2021). Notably, the initial cost of acquiring restaurant equipment, salaries and cost of food are the most expensive resources (Li &amp; Singal, 2019). This is because they will consume a considerable portion of the invested capital and future profits to ensure smooth operations at the restaurant. </w:t>
      </w:r>
    </w:p>
    <w:p w14:paraId="5D96A384" w14:textId="77777777" w:rsidR="007624C1" w:rsidRPr="00942EB1" w:rsidRDefault="007624C1" w:rsidP="00DA31A0">
      <w:pPr>
        <w:pStyle w:val="NormalWeb"/>
        <w:spacing w:before="0" w:beforeAutospacing="0" w:after="0" w:afterAutospacing="0" w:line="360" w:lineRule="auto"/>
        <w:ind w:firstLine="720"/>
        <w:rPr>
          <w:rFonts w:ascii="Arial" w:hAnsi="Arial" w:cs="Arial"/>
          <w:color w:val="0E101A"/>
        </w:rPr>
      </w:pPr>
      <w:r w:rsidRPr="00942EB1">
        <w:rPr>
          <w:rFonts w:ascii="Arial" w:hAnsi="Arial" w:cs="Arial"/>
          <w:color w:val="0E101A"/>
        </w:rPr>
        <w:t>Finally, the restaurant's customers will pay for the products delivered, such as food, drinks, and overall dining experience. Various payment services will be acceptable at the restaurant, such as cash, credit and debit payments, gift cards, bank transfers, and mobile payments. According to Önder and Gunter (2022), mobile payments will likely contribute to more than half of the revenue streams since they are customers' preferred payment method. Accepting various payment options will enable customers to choose the most convenient payment method, which improves customers' experience (Önder &amp; Gunter, 2022). Therefore, the Italian restaurant business will offer quality products and services, increasing its customer base and revenue streams. </w:t>
      </w:r>
    </w:p>
    <w:p w14:paraId="5D96A385" w14:textId="77777777" w:rsidR="007624C1" w:rsidRPr="00942EB1" w:rsidRDefault="007624C1" w:rsidP="00DA31A0">
      <w:pPr>
        <w:pStyle w:val="NormalWeb"/>
        <w:spacing w:before="0" w:beforeAutospacing="0" w:after="0" w:afterAutospacing="0" w:line="360" w:lineRule="auto"/>
        <w:jc w:val="center"/>
        <w:rPr>
          <w:rFonts w:ascii="Arial" w:hAnsi="Arial" w:cs="Arial"/>
          <w:color w:val="0E101A"/>
        </w:rPr>
      </w:pPr>
      <w:r w:rsidRPr="00942EB1">
        <w:rPr>
          <w:rStyle w:val="Strong"/>
          <w:rFonts w:ascii="Arial" w:hAnsi="Arial" w:cs="Arial"/>
          <w:color w:val="0E101A"/>
        </w:rPr>
        <w:t>Reflection</w:t>
      </w:r>
    </w:p>
    <w:p w14:paraId="5D96A386" w14:textId="77777777" w:rsidR="007624C1" w:rsidRPr="00942EB1" w:rsidRDefault="007624C1" w:rsidP="00DA31A0">
      <w:pPr>
        <w:pStyle w:val="NormalWeb"/>
        <w:spacing w:before="0" w:beforeAutospacing="0" w:after="0" w:afterAutospacing="0" w:line="360" w:lineRule="auto"/>
        <w:ind w:firstLine="720"/>
        <w:rPr>
          <w:rFonts w:ascii="Arial" w:hAnsi="Arial" w:cs="Arial"/>
          <w:color w:val="0E101A"/>
        </w:rPr>
      </w:pPr>
      <w:r w:rsidRPr="00942EB1">
        <w:rPr>
          <w:rFonts w:ascii="Arial" w:hAnsi="Arial" w:cs="Arial"/>
          <w:color w:val="0E101A"/>
        </w:rPr>
        <w:t xml:space="preserve">The Gibbs reflective cycle is a model that provides a framework for assessing experiences to help in learning and planning from the positive and negative outcomes of an activity (Jones, Macpherson &amp; Jayawarna, 2022). I used the cycle to evaluate the importance of problem-solving, teamwork, critical thinking, and effective communication skills in entrepreneurship (Barringer &amp;Ireland, 2018). For instance, the first stage of the cycle involves describing the experience in detail (Jones, Macpherson &amp; Jayawarna, 2022). For example, in a group discussion with 4 of my peers outside the classroom, we focused on identifying a specific solution that could increase staff retention rates in the </w:t>
      </w:r>
      <w:r w:rsidRPr="00942EB1">
        <w:rPr>
          <w:rFonts w:ascii="Arial" w:hAnsi="Arial" w:cs="Arial"/>
          <w:color w:val="0E101A"/>
        </w:rPr>
        <w:lastRenderedPageBreak/>
        <w:t>hospitality industry. The discussion was heated due to the inability to settle on one factor since many factors could increase staff retention rates. Haldorai et al. (2019) illustrate that the factors include reasonable compensation, a positive work environment, employee recognition, proper training, increased flexibility, and career advancement opportunities. I convinced my peers to choose a positive work environment since it combined other factors that could improve employee retention rates. </w:t>
      </w:r>
    </w:p>
    <w:p w14:paraId="5D96A387" w14:textId="77777777" w:rsidR="007624C1" w:rsidRPr="00942EB1" w:rsidRDefault="007624C1" w:rsidP="00DA31A0">
      <w:pPr>
        <w:pStyle w:val="NormalWeb"/>
        <w:spacing w:before="0" w:beforeAutospacing="0" w:after="0" w:afterAutospacing="0" w:line="360" w:lineRule="auto"/>
        <w:ind w:firstLine="720"/>
        <w:rPr>
          <w:rFonts w:ascii="Arial" w:hAnsi="Arial" w:cs="Arial"/>
          <w:color w:val="0E101A"/>
        </w:rPr>
      </w:pPr>
      <w:r w:rsidRPr="00942EB1">
        <w:rPr>
          <w:rFonts w:ascii="Arial" w:hAnsi="Arial" w:cs="Arial"/>
          <w:color w:val="0E101A"/>
        </w:rPr>
        <w:t>The second stage involves discussing the feelings and thoughts during the experience and their impacts on the experience (Jones, Macpherson &amp; Jayawarna, 2022). In this case, I was elated that my peers agreed to debate the issue of staff retention despite initially doubting that they may not agree to waste their time on such discussions. I was anxious during the discussion and feared we could not settle on a single factor. Surprisingly, I managed two individuals to support my position, resulting in happiness after the discussion.</w:t>
      </w:r>
    </w:p>
    <w:p w14:paraId="5D96A388" w14:textId="77777777" w:rsidR="007624C1" w:rsidRPr="00942EB1" w:rsidRDefault="007624C1" w:rsidP="00DA31A0">
      <w:pPr>
        <w:pStyle w:val="NormalWeb"/>
        <w:spacing w:before="0" w:beforeAutospacing="0" w:after="0" w:afterAutospacing="0" w:line="360" w:lineRule="auto"/>
        <w:ind w:firstLine="720"/>
        <w:rPr>
          <w:rFonts w:ascii="Arial" w:hAnsi="Arial" w:cs="Arial"/>
          <w:color w:val="0E101A"/>
        </w:rPr>
      </w:pPr>
      <w:r w:rsidRPr="00942EB1">
        <w:rPr>
          <w:rFonts w:ascii="Arial" w:hAnsi="Arial" w:cs="Arial"/>
          <w:color w:val="0E101A"/>
        </w:rPr>
        <w:t>The third stage is evaluating the experience, which involves assessing the experience to identify its successes and failures (Jones, Macpherson &amp; Jayawarna, 2022). For example, I reflected on the experience and realised that my peers' decision to argue objectively was a success. However, one individual who was emotionally invested in the discussion promised never to engage us in future discussions.</w:t>
      </w:r>
    </w:p>
    <w:p w14:paraId="5D96A389" w14:textId="77777777" w:rsidR="007624C1" w:rsidRPr="00942EB1" w:rsidRDefault="007624C1" w:rsidP="00DA31A0">
      <w:pPr>
        <w:pStyle w:val="NormalWeb"/>
        <w:spacing w:before="0" w:beforeAutospacing="0" w:after="0" w:afterAutospacing="0" w:line="360" w:lineRule="auto"/>
        <w:ind w:firstLine="720"/>
        <w:rPr>
          <w:rFonts w:ascii="Arial" w:hAnsi="Arial" w:cs="Arial"/>
          <w:color w:val="0E101A"/>
        </w:rPr>
      </w:pPr>
      <w:r w:rsidRPr="00942EB1">
        <w:rPr>
          <w:rFonts w:ascii="Arial" w:hAnsi="Arial" w:cs="Arial"/>
          <w:color w:val="0E101A"/>
        </w:rPr>
        <w:t>The fourth stage involves analysis, whereby specific aspects of the experience are analysed to make sense of what happened (Jones, Macpherson &amp; Jayawarna, 2022). For example, the discussion was successful because the peers agreed to argue objectively. The success aligns with Belbin's theory, which emphasises the importance of team roles in achieving positive outcomes (Flores-Ureba et al., 2019). Each team member presented their position based on facts, resulting in an impartial decision on one factor. Notably, if we had opted to argue subjectively without facts, we could have settled on fur different factors, which is not aligned with the aim of the discussion. </w:t>
      </w:r>
    </w:p>
    <w:p w14:paraId="5D96A38A" w14:textId="77777777" w:rsidR="007624C1" w:rsidRPr="00942EB1" w:rsidRDefault="007624C1" w:rsidP="00DA31A0">
      <w:pPr>
        <w:pStyle w:val="NormalWeb"/>
        <w:spacing w:before="0" w:beforeAutospacing="0" w:after="0" w:afterAutospacing="0" w:line="360" w:lineRule="auto"/>
        <w:ind w:firstLine="720"/>
        <w:rPr>
          <w:rFonts w:ascii="Arial" w:hAnsi="Arial" w:cs="Arial"/>
          <w:color w:val="0E101A"/>
        </w:rPr>
      </w:pPr>
      <w:r w:rsidRPr="00942EB1">
        <w:rPr>
          <w:rFonts w:ascii="Arial" w:hAnsi="Arial" w:cs="Arial"/>
          <w:color w:val="0E101A"/>
        </w:rPr>
        <w:t xml:space="preserve">The fifth stage concludes the learning experience (Jones, Macpherson &amp; Jayawarna, 2022). For example, I learned the importance of being patient and using facts to support our arguments. The experience indicates opportunities for improvement, such as the need to initially elaborate on the discussion topic before </w:t>
      </w:r>
      <w:r w:rsidRPr="00942EB1">
        <w:rPr>
          <w:rFonts w:ascii="Arial" w:hAnsi="Arial" w:cs="Arial"/>
          <w:color w:val="0E101A"/>
        </w:rPr>
        <w:lastRenderedPageBreak/>
        <w:t>allowing each person to give their position. This can help reduce misunderstandings and emotional involvement. Barringer and Ireland (2018) observe that problem-solving, critical thinking, effective communication, and collaboration skills are necessary for achieving optimal outcomes in future entrepreneurial discussions. </w:t>
      </w:r>
    </w:p>
    <w:p w14:paraId="5D96A38B" w14:textId="77777777" w:rsidR="007624C1" w:rsidRPr="00942EB1" w:rsidRDefault="007624C1" w:rsidP="007041B2">
      <w:pPr>
        <w:pStyle w:val="NormalWeb"/>
        <w:spacing w:before="0" w:beforeAutospacing="0" w:after="0" w:afterAutospacing="0" w:line="360" w:lineRule="auto"/>
        <w:ind w:firstLine="720"/>
        <w:rPr>
          <w:rFonts w:ascii="Arial" w:hAnsi="Arial" w:cs="Arial"/>
          <w:color w:val="0E101A"/>
        </w:rPr>
      </w:pPr>
      <w:r w:rsidRPr="00942EB1">
        <w:rPr>
          <w:rFonts w:ascii="Arial" w:hAnsi="Arial" w:cs="Arial"/>
          <w:color w:val="0E101A"/>
        </w:rPr>
        <w:t>The final stage involves an action plan, which assesses alternative approaches to such situations (Jones, Macpherson &amp; Jayawarna, 2022). For example, in our next discussion, we would create a comprehensive discussion guideline to ensure that each person is given adequate time to defend their arguments without disruptions. I would present the discussion topic to team members three days in advance to enable them to research extensively before giving their opinions. I will attend group discussions and workshops regularly to improve my communication, problem-solving, and teamwork skills.</w:t>
      </w:r>
    </w:p>
    <w:p w14:paraId="5D96A38C" w14:textId="77777777" w:rsidR="007624C1" w:rsidRPr="00942EB1" w:rsidRDefault="007624C1" w:rsidP="007041B2">
      <w:pPr>
        <w:pStyle w:val="NormalWeb"/>
        <w:spacing w:before="0" w:beforeAutospacing="0" w:after="0" w:afterAutospacing="0" w:line="360" w:lineRule="auto"/>
        <w:jc w:val="center"/>
        <w:rPr>
          <w:rFonts w:ascii="Arial" w:hAnsi="Arial" w:cs="Arial"/>
          <w:color w:val="0E101A"/>
        </w:rPr>
      </w:pPr>
      <w:r w:rsidRPr="00942EB1">
        <w:rPr>
          <w:rStyle w:val="Strong"/>
          <w:rFonts w:ascii="Arial" w:hAnsi="Arial" w:cs="Arial"/>
          <w:color w:val="0E101A"/>
        </w:rPr>
        <w:t>Conclusion</w:t>
      </w:r>
    </w:p>
    <w:p w14:paraId="5D96A38D" w14:textId="77777777" w:rsidR="007624C1" w:rsidRPr="00942EB1" w:rsidRDefault="007624C1" w:rsidP="007041B2">
      <w:pPr>
        <w:pStyle w:val="NormalWeb"/>
        <w:spacing w:before="0" w:beforeAutospacing="0" w:after="0" w:afterAutospacing="0" w:line="360" w:lineRule="auto"/>
        <w:ind w:firstLine="720"/>
        <w:rPr>
          <w:rFonts w:ascii="Arial" w:hAnsi="Arial" w:cs="Arial"/>
          <w:color w:val="0E101A"/>
        </w:rPr>
      </w:pPr>
      <w:r w:rsidRPr="00942EB1">
        <w:rPr>
          <w:rFonts w:ascii="Arial" w:hAnsi="Arial" w:cs="Arial"/>
          <w:color w:val="0E101A"/>
        </w:rPr>
        <w:t xml:space="preserve">The high demand for Italian cuisines worldwide makes it a profitable venture for restaurant businesses. The partners necessary for establishing an Italian restaurant include investors, local businesses, and hospitality training institutes. Consequently, the key activities include branding, establishing distribution channels, positive customer relations, and identifying revenue streams. Its value proposition requires resources like a brand trade mark, cold storage rooms, skilled employees, sales and legal teams, and professional business negotiators. Moreover, customer relationships will be strengthened by offering personalised service and discounts and using value co-creation to improve customer loyalty. It will reach the customers through advertisements on television, social media, billboards, and celebrity endorsements. Basically, the restaurant's cost structure includes rent, repair, salaries, the initial cost of acquiring equipment, operational licenses, health permits, costs, and security for the establishment. Consequently, customers will receive quality food and drinks, which will be paid for through various payment options like cash, credit and debit payments, gift cards, bank transfers, and mobile payments. Finally, the Gibb reflective cycle critically analysed the entrepreneurial experience by helping understand the importance of skills like problem-solving, critical thinking, effective communication, and collaboration. These </w:t>
      </w:r>
      <w:r w:rsidRPr="00942EB1">
        <w:rPr>
          <w:rFonts w:ascii="Arial" w:hAnsi="Arial" w:cs="Arial"/>
          <w:color w:val="0E101A"/>
        </w:rPr>
        <w:lastRenderedPageBreak/>
        <w:t>skills are necessary for making informed decisions in entrepreneurship. Thus, a new entrepreneur should employ such skills to facilitate success in their ventures. </w:t>
      </w:r>
    </w:p>
    <w:p w14:paraId="5D96A38E" w14:textId="77777777" w:rsidR="007041B2" w:rsidRDefault="007041B2">
      <w:pPr>
        <w:rPr>
          <w:rFonts w:ascii="Arial" w:hAnsi="Arial" w:cs="Arial"/>
          <w:b/>
          <w:bCs/>
        </w:rPr>
      </w:pPr>
      <w:r>
        <w:rPr>
          <w:rFonts w:ascii="Arial" w:hAnsi="Arial" w:cs="Arial"/>
          <w:b/>
          <w:bCs/>
        </w:rPr>
        <w:br w:type="page"/>
      </w:r>
    </w:p>
    <w:p w14:paraId="5D96A38F" w14:textId="77777777" w:rsidR="00701500" w:rsidRPr="00942EB1" w:rsidRDefault="00701500" w:rsidP="007041B2">
      <w:pPr>
        <w:spacing w:after="0" w:line="360" w:lineRule="auto"/>
        <w:jc w:val="center"/>
        <w:rPr>
          <w:rFonts w:ascii="Arial" w:hAnsi="Arial" w:cs="Arial"/>
          <w:b/>
          <w:bCs/>
        </w:rPr>
      </w:pPr>
      <w:r w:rsidRPr="00942EB1">
        <w:rPr>
          <w:rFonts w:ascii="Arial" w:hAnsi="Arial" w:cs="Arial"/>
          <w:b/>
          <w:bCs/>
        </w:rPr>
        <w:lastRenderedPageBreak/>
        <w:t>List of References</w:t>
      </w:r>
    </w:p>
    <w:p w14:paraId="5D96A390" w14:textId="77777777" w:rsidR="007041B2" w:rsidRPr="00942EB1" w:rsidRDefault="007041B2" w:rsidP="007041B2">
      <w:pPr>
        <w:spacing w:after="0" w:line="360" w:lineRule="auto"/>
        <w:ind w:left="720" w:hanging="720"/>
        <w:rPr>
          <w:rFonts w:ascii="Arial" w:hAnsi="Arial" w:cs="Arial"/>
          <w:color w:val="222222"/>
          <w:shd w:val="clear" w:color="auto" w:fill="FFFFFF"/>
        </w:rPr>
      </w:pPr>
      <w:bookmarkStart w:id="0" w:name="_Hlk156967101"/>
      <w:r w:rsidRPr="00942EB1">
        <w:rPr>
          <w:rFonts w:ascii="Arial" w:hAnsi="Arial" w:cs="Arial"/>
          <w:color w:val="222222"/>
          <w:shd w:val="clear" w:color="auto" w:fill="FFFFFF"/>
        </w:rPr>
        <w:t>Abdelhamied, H.H.S., 2019</w:t>
      </w:r>
      <w:bookmarkEnd w:id="0"/>
      <w:r w:rsidRPr="00942EB1">
        <w:rPr>
          <w:rFonts w:ascii="Arial" w:hAnsi="Arial" w:cs="Arial"/>
          <w:color w:val="222222"/>
          <w:shd w:val="clear" w:color="auto" w:fill="FFFFFF"/>
        </w:rPr>
        <w:t>. The impact of training activities on quality of service, customer satisfaction and behavioural intention. </w:t>
      </w:r>
      <w:r w:rsidRPr="00942EB1">
        <w:rPr>
          <w:rFonts w:ascii="Arial" w:hAnsi="Arial" w:cs="Arial"/>
          <w:i/>
          <w:iCs/>
          <w:color w:val="222222"/>
          <w:shd w:val="clear" w:color="auto" w:fill="FFFFFF"/>
        </w:rPr>
        <w:t>Journal of Tourism and Hospitality Management</w:t>
      </w:r>
      <w:r w:rsidRPr="00942EB1">
        <w:rPr>
          <w:rFonts w:ascii="Arial" w:hAnsi="Arial" w:cs="Arial"/>
          <w:color w:val="222222"/>
          <w:shd w:val="clear" w:color="auto" w:fill="FFFFFF"/>
        </w:rPr>
        <w:t>, </w:t>
      </w:r>
      <w:r w:rsidRPr="00942EB1">
        <w:rPr>
          <w:rFonts w:ascii="Arial" w:hAnsi="Arial" w:cs="Arial"/>
          <w:i/>
          <w:iCs/>
          <w:color w:val="222222"/>
          <w:shd w:val="clear" w:color="auto" w:fill="FFFFFF"/>
        </w:rPr>
        <w:t>7</w:t>
      </w:r>
      <w:r w:rsidRPr="00942EB1">
        <w:rPr>
          <w:rFonts w:ascii="Arial" w:hAnsi="Arial" w:cs="Arial"/>
          <w:color w:val="222222"/>
          <w:shd w:val="clear" w:color="auto" w:fill="FFFFFF"/>
        </w:rPr>
        <w:t>(1), pp.135-148.</w:t>
      </w:r>
      <w:r w:rsidRPr="00942EB1">
        <w:rPr>
          <w:rFonts w:ascii="Arial" w:hAnsi="Arial" w:cs="Arial"/>
        </w:rPr>
        <w:t xml:space="preserve"> </w:t>
      </w:r>
      <w:hyperlink r:id="rId6" w:history="1">
        <w:r w:rsidRPr="00942EB1">
          <w:rPr>
            <w:rStyle w:val="Hyperlink"/>
            <w:rFonts w:ascii="Arial" w:hAnsi="Arial" w:cs="Arial"/>
            <w:shd w:val="clear" w:color="auto" w:fill="FFFFFF"/>
          </w:rPr>
          <w:t>https://doi.org/10.15640/jthm.v7n1a14</w:t>
        </w:r>
      </w:hyperlink>
    </w:p>
    <w:p w14:paraId="5D96A391" w14:textId="77777777" w:rsidR="007041B2" w:rsidRPr="00942EB1" w:rsidRDefault="007041B2" w:rsidP="007041B2">
      <w:pPr>
        <w:spacing w:after="0" w:line="360" w:lineRule="auto"/>
        <w:ind w:left="720" w:hanging="720"/>
        <w:rPr>
          <w:rFonts w:ascii="Arial" w:hAnsi="Arial" w:cs="Arial"/>
          <w:color w:val="222222"/>
          <w:shd w:val="clear" w:color="auto" w:fill="FFFFFF"/>
        </w:rPr>
      </w:pPr>
      <w:bookmarkStart w:id="1" w:name="_Hlk156967794"/>
      <w:r w:rsidRPr="00942EB1">
        <w:rPr>
          <w:rFonts w:ascii="Arial" w:hAnsi="Arial" w:cs="Arial"/>
          <w:color w:val="222222"/>
          <w:shd w:val="clear" w:color="auto" w:fill="FFFFFF"/>
        </w:rPr>
        <w:t xml:space="preserve">Anderson, W. and Sanga, J.J., 2019. </w:t>
      </w:r>
      <w:bookmarkEnd w:id="1"/>
      <w:r w:rsidRPr="00942EB1">
        <w:rPr>
          <w:rFonts w:ascii="Arial" w:hAnsi="Arial" w:cs="Arial"/>
          <w:color w:val="222222"/>
          <w:shd w:val="clear" w:color="auto" w:fill="FFFFFF"/>
        </w:rPr>
        <w:t>Academia–industry partnerships for hospitality and tourism education in Tanzania. </w:t>
      </w:r>
      <w:r w:rsidRPr="00942EB1">
        <w:rPr>
          <w:rFonts w:ascii="Arial" w:hAnsi="Arial" w:cs="Arial"/>
          <w:i/>
          <w:iCs/>
          <w:color w:val="222222"/>
          <w:shd w:val="clear" w:color="auto" w:fill="FFFFFF"/>
        </w:rPr>
        <w:t>Journal of Hospitality &amp; Tourism Education</w:t>
      </w:r>
      <w:r w:rsidRPr="00942EB1">
        <w:rPr>
          <w:rFonts w:ascii="Arial" w:hAnsi="Arial" w:cs="Arial"/>
          <w:color w:val="222222"/>
          <w:shd w:val="clear" w:color="auto" w:fill="FFFFFF"/>
        </w:rPr>
        <w:t>, </w:t>
      </w:r>
      <w:r w:rsidRPr="00942EB1">
        <w:rPr>
          <w:rFonts w:ascii="Arial" w:hAnsi="Arial" w:cs="Arial"/>
          <w:i/>
          <w:iCs/>
          <w:color w:val="222222"/>
          <w:shd w:val="clear" w:color="auto" w:fill="FFFFFF"/>
        </w:rPr>
        <w:t>31</w:t>
      </w:r>
      <w:r w:rsidRPr="00942EB1">
        <w:rPr>
          <w:rFonts w:ascii="Arial" w:hAnsi="Arial" w:cs="Arial"/>
          <w:color w:val="222222"/>
          <w:shd w:val="clear" w:color="auto" w:fill="FFFFFF"/>
        </w:rPr>
        <w:t>(1), pp.34-48.</w:t>
      </w:r>
      <w:r w:rsidRPr="00942EB1">
        <w:rPr>
          <w:rFonts w:ascii="Arial" w:hAnsi="Arial" w:cs="Arial"/>
        </w:rPr>
        <w:t xml:space="preserve"> </w:t>
      </w:r>
      <w:hyperlink r:id="rId7" w:history="1">
        <w:r w:rsidRPr="00942EB1">
          <w:rPr>
            <w:rStyle w:val="Hyperlink"/>
            <w:rFonts w:ascii="Arial" w:hAnsi="Arial" w:cs="Arial"/>
            <w:shd w:val="clear" w:color="auto" w:fill="FFFFFF"/>
          </w:rPr>
          <w:t>https://doi.org/10.1080/10963758.2018.1480959</w:t>
        </w:r>
      </w:hyperlink>
    </w:p>
    <w:p w14:paraId="5D96A392" w14:textId="77777777" w:rsidR="007041B2" w:rsidRPr="00942EB1" w:rsidRDefault="007041B2" w:rsidP="007041B2">
      <w:pPr>
        <w:spacing w:after="0" w:line="360" w:lineRule="auto"/>
        <w:ind w:left="720" w:hanging="720"/>
        <w:rPr>
          <w:rFonts w:ascii="Arial" w:hAnsi="Arial" w:cs="Arial"/>
          <w:color w:val="222222"/>
          <w:shd w:val="clear" w:color="auto" w:fill="FFFFFF"/>
        </w:rPr>
      </w:pPr>
      <w:bookmarkStart w:id="2" w:name="_Hlk156966920"/>
      <w:r w:rsidRPr="00942EB1">
        <w:rPr>
          <w:rFonts w:ascii="Arial" w:hAnsi="Arial" w:cs="Arial"/>
          <w:color w:val="222222"/>
          <w:shd w:val="clear" w:color="auto" w:fill="FFFFFF"/>
        </w:rPr>
        <w:t>Arriaga-Lorenzo</w:t>
      </w:r>
      <w:bookmarkEnd w:id="2"/>
      <w:r w:rsidRPr="00942EB1">
        <w:rPr>
          <w:rFonts w:ascii="Arial" w:hAnsi="Arial" w:cs="Arial"/>
          <w:color w:val="222222"/>
          <w:shd w:val="clear" w:color="auto" w:fill="FFFFFF"/>
        </w:rPr>
        <w:t>, P., de Jesús Maldonado-Simán, E., Ramírez-Valverde, R., MartínezHernández, P.A., Tirado-González, D.N. and Saavedra-Jiménez, L.A., 2023. Cold chain relevance in the food safety of perishable products. </w:t>
      </w:r>
      <w:r w:rsidRPr="00942EB1">
        <w:rPr>
          <w:rFonts w:ascii="Arial" w:hAnsi="Arial" w:cs="Arial"/>
          <w:i/>
          <w:iCs/>
          <w:color w:val="222222"/>
          <w:shd w:val="clear" w:color="auto" w:fill="FFFFFF"/>
        </w:rPr>
        <w:t>Foods and Raw Materials</w:t>
      </w:r>
      <w:r w:rsidRPr="00942EB1">
        <w:rPr>
          <w:rFonts w:ascii="Arial" w:hAnsi="Arial" w:cs="Arial"/>
          <w:color w:val="222222"/>
          <w:shd w:val="clear" w:color="auto" w:fill="FFFFFF"/>
        </w:rPr>
        <w:t>, </w:t>
      </w:r>
      <w:r w:rsidRPr="00942EB1">
        <w:rPr>
          <w:rFonts w:ascii="Arial" w:hAnsi="Arial" w:cs="Arial"/>
          <w:i/>
          <w:iCs/>
          <w:color w:val="222222"/>
          <w:shd w:val="clear" w:color="auto" w:fill="FFFFFF"/>
        </w:rPr>
        <w:t>11</w:t>
      </w:r>
      <w:r w:rsidRPr="00942EB1">
        <w:rPr>
          <w:rFonts w:ascii="Arial" w:hAnsi="Arial" w:cs="Arial"/>
          <w:color w:val="222222"/>
          <w:shd w:val="clear" w:color="auto" w:fill="FFFFFF"/>
        </w:rPr>
        <w:t>(1), pp.116-128.</w:t>
      </w:r>
      <w:r w:rsidRPr="00942EB1">
        <w:rPr>
          <w:rFonts w:ascii="Arial" w:hAnsi="Arial" w:cs="Arial"/>
        </w:rPr>
        <w:t xml:space="preserve"> </w:t>
      </w:r>
      <w:hyperlink r:id="rId8" w:history="1">
        <w:r w:rsidRPr="00942EB1">
          <w:rPr>
            <w:rStyle w:val="Hyperlink"/>
            <w:rFonts w:ascii="Arial" w:hAnsi="Arial" w:cs="Arial"/>
            <w:shd w:val="clear" w:color="auto" w:fill="FFFFFF"/>
          </w:rPr>
          <w:t>https://doi.org/10.21603/2308-4057-2023-1-559</w:t>
        </w:r>
      </w:hyperlink>
    </w:p>
    <w:p w14:paraId="5D96A393" w14:textId="77777777" w:rsidR="007041B2" w:rsidRPr="00942EB1" w:rsidRDefault="007041B2" w:rsidP="007041B2">
      <w:pPr>
        <w:spacing w:after="0" w:line="360" w:lineRule="auto"/>
        <w:ind w:left="720" w:hanging="720"/>
        <w:rPr>
          <w:rFonts w:ascii="Arial" w:hAnsi="Arial" w:cs="Arial"/>
        </w:rPr>
      </w:pPr>
      <w:bookmarkStart w:id="3" w:name="_Hlk156963637"/>
      <w:r w:rsidRPr="00942EB1">
        <w:rPr>
          <w:rFonts w:ascii="Arial" w:hAnsi="Arial" w:cs="Arial"/>
        </w:rPr>
        <w:t>Barringer, B. R. and Ireland, R.D. 2018</w:t>
      </w:r>
      <w:bookmarkEnd w:id="3"/>
      <w:r w:rsidRPr="00942EB1">
        <w:rPr>
          <w:rFonts w:ascii="Arial" w:hAnsi="Arial" w:cs="Arial"/>
        </w:rPr>
        <w:t xml:space="preserve">. </w:t>
      </w:r>
      <w:r w:rsidRPr="00942EB1">
        <w:rPr>
          <w:rFonts w:ascii="Arial" w:hAnsi="Arial" w:cs="Arial"/>
          <w:i/>
          <w:iCs/>
        </w:rPr>
        <w:t xml:space="preserve">Entrepreneurship: Successfully launching new ventures. </w:t>
      </w:r>
      <w:r w:rsidRPr="00942EB1">
        <w:rPr>
          <w:rFonts w:ascii="Arial" w:hAnsi="Arial" w:cs="Arial"/>
        </w:rPr>
        <w:t>(4</w:t>
      </w:r>
      <w:r w:rsidRPr="00942EB1">
        <w:rPr>
          <w:rFonts w:ascii="Arial" w:hAnsi="Arial" w:cs="Arial"/>
          <w:vertAlign w:val="superscript"/>
        </w:rPr>
        <w:t>th</w:t>
      </w:r>
      <w:r w:rsidRPr="00942EB1">
        <w:rPr>
          <w:rFonts w:ascii="Arial" w:hAnsi="Arial" w:cs="Arial"/>
        </w:rPr>
        <w:t xml:space="preserve"> ed.). Prentice Hall: New Jersey</w:t>
      </w:r>
    </w:p>
    <w:p w14:paraId="5D96A394" w14:textId="77777777" w:rsidR="007041B2" w:rsidRPr="00942EB1" w:rsidRDefault="007041B2" w:rsidP="007041B2">
      <w:pPr>
        <w:spacing w:after="0" w:line="360" w:lineRule="auto"/>
        <w:ind w:left="720" w:hanging="720"/>
        <w:rPr>
          <w:rFonts w:ascii="Arial" w:hAnsi="Arial" w:cs="Arial"/>
          <w:color w:val="222222"/>
          <w:shd w:val="clear" w:color="auto" w:fill="FFFFFF"/>
        </w:rPr>
      </w:pPr>
      <w:bookmarkStart w:id="4" w:name="_Hlk156965483"/>
      <w:r w:rsidRPr="00942EB1">
        <w:rPr>
          <w:rFonts w:ascii="Arial" w:hAnsi="Arial" w:cs="Arial"/>
          <w:color w:val="222222"/>
          <w:shd w:val="clear" w:color="auto" w:fill="FFFFFF"/>
        </w:rPr>
        <w:t>Carvalho, P. and Alves, H., 2023</w:t>
      </w:r>
      <w:bookmarkEnd w:id="4"/>
      <w:r w:rsidRPr="00942EB1">
        <w:rPr>
          <w:rFonts w:ascii="Arial" w:hAnsi="Arial" w:cs="Arial"/>
          <w:color w:val="222222"/>
          <w:shd w:val="clear" w:color="auto" w:fill="FFFFFF"/>
        </w:rPr>
        <w:t>. Customer value co-creation in the hospitality and tourism industry: a systematic literature review. </w:t>
      </w:r>
      <w:r w:rsidRPr="00942EB1">
        <w:rPr>
          <w:rFonts w:ascii="Arial" w:hAnsi="Arial" w:cs="Arial"/>
          <w:i/>
          <w:iCs/>
          <w:color w:val="222222"/>
          <w:shd w:val="clear" w:color="auto" w:fill="FFFFFF"/>
        </w:rPr>
        <w:t>International Journal of Contemporary Hospitality Management</w:t>
      </w:r>
      <w:r w:rsidRPr="00942EB1">
        <w:rPr>
          <w:rFonts w:ascii="Arial" w:hAnsi="Arial" w:cs="Arial"/>
          <w:color w:val="222222"/>
          <w:shd w:val="clear" w:color="auto" w:fill="FFFFFF"/>
        </w:rPr>
        <w:t>, </w:t>
      </w:r>
      <w:r w:rsidRPr="00942EB1">
        <w:rPr>
          <w:rFonts w:ascii="Arial" w:hAnsi="Arial" w:cs="Arial"/>
          <w:i/>
          <w:iCs/>
          <w:color w:val="222222"/>
          <w:shd w:val="clear" w:color="auto" w:fill="FFFFFF"/>
        </w:rPr>
        <w:t>35</w:t>
      </w:r>
      <w:r w:rsidRPr="00942EB1">
        <w:rPr>
          <w:rFonts w:ascii="Arial" w:hAnsi="Arial" w:cs="Arial"/>
          <w:color w:val="222222"/>
          <w:shd w:val="clear" w:color="auto" w:fill="FFFFFF"/>
        </w:rPr>
        <w:t>(1), pp.250-273.</w:t>
      </w:r>
      <w:r w:rsidRPr="00942EB1">
        <w:rPr>
          <w:rFonts w:ascii="Arial" w:hAnsi="Arial" w:cs="Arial"/>
        </w:rPr>
        <w:t xml:space="preserve"> </w:t>
      </w:r>
      <w:hyperlink r:id="rId9" w:history="1">
        <w:r w:rsidRPr="00942EB1">
          <w:rPr>
            <w:rStyle w:val="Hyperlink"/>
            <w:rFonts w:ascii="Arial" w:hAnsi="Arial" w:cs="Arial"/>
            <w:shd w:val="clear" w:color="auto" w:fill="FFFFFF"/>
          </w:rPr>
          <w:t>https://doi.org/10.1108/IJCHM-12-2021-1528</w:t>
        </w:r>
      </w:hyperlink>
    </w:p>
    <w:p w14:paraId="5D96A395" w14:textId="77777777" w:rsidR="007041B2" w:rsidRPr="00942EB1" w:rsidRDefault="007041B2" w:rsidP="007041B2">
      <w:pPr>
        <w:spacing w:after="0" w:line="360" w:lineRule="auto"/>
        <w:ind w:left="720" w:hanging="720"/>
        <w:rPr>
          <w:rFonts w:ascii="Arial" w:hAnsi="Arial" w:cs="Arial"/>
          <w:color w:val="222222"/>
          <w:shd w:val="clear" w:color="auto" w:fill="FFFFFF"/>
        </w:rPr>
      </w:pPr>
      <w:bookmarkStart w:id="5" w:name="_Hlk156963989"/>
      <w:r w:rsidRPr="00942EB1">
        <w:rPr>
          <w:rFonts w:ascii="Arial" w:hAnsi="Arial" w:cs="Arial"/>
          <w:color w:val="222222"/>
          <w:shd w:val="clear" w:color="auto" w:fill="FFFFFF"/>
        </w:rPr>
        <w:t>Flores-Ureba</w:t>
      </w:r>
      <w:bookmarkEnd w:id="5"/>
      <w:r w:rsidRPr="00942EB1">
        <w:rPr>
          <w:rFonts w:ascii="Arial" w:hAnsi="Arial" w:cs="Arial"/>
          <w:color w:val="222222"/>
          <w:shd w:val="clear" w:color="auto" w:fill="FFFFFF"/>
        </w:rPr>
        <w:t>, S., Simón de Blas, C., Borrás-Gené, O. and Macías-Guillén, A., 2022. Analyzing the Influence of Belbin’s Roles on the Quality of Collaborative Learning for the Study of Business Fundamentals. </w:t>
      </w:r>
      <w:r w:rsidRPr="00942EB1">
        <w:rPr>
          <w:rFonts w:ascii="Arial" w:hAnsi="Arial" w:cs="Arial"/>
          <w:i/>
          <w:iCs/>
          <w:color w:val="222222"/>
          <w:shd w:val="clear" w:color="auto" w:fill="FFFFFF"/>
        </w:rPr>
        <w:t>Education Sciences</w:t>
      </w:r>
      <w:r w:rsidRPr="00942EB1">
        <w:rPr>
          <w:rFonts w:ascii="Arial" w:hAnsi="Arial" w:cs="Arial"/>
          <w:color w:val="222222"/>
          <w:shd w:val="clear" w:color="auto" w:fill="FFFFFF"/>
        </w:rPr>
        <w:t>, </w:t>
      </w:r>
      <w:r w:rsidRPr="00942EB1">
        <w:rPr>
          <w:rFonts w:ascii="Arial" w:hAnsi="Arial" w:cs="Arial"/>
          <w:i/>
          <w:iCs/>
          <w:color w:val="222222"/>
          <w:shd w:val="clear" w:color="auto" w:fill="FFFFFF"/>
        </w:rPr>
        <w:t>12</w:t>
      </w:r>
      <w:r w:rsidRPr="00942EB1">
        <w:rPr>
          <w:rFonts w:ascii="Arial" w:hAnsi="Arial" w:cs="Arial"/>
          <w:color w:val="222222"/>
          <w:shd w:val="clear" w:color="auto" w:fill="FFFFFF"/>
        </w:rPr>
        <w:t>(9), p.594.</w:t>
      </w:r>
      <w:r w:rsidRPr="00942EB1">
        <w:rPr>
          <w:rFonts w:ascii="Arial" w:hAnsi="Arial" w:cs="Arial"/>
        </w:rPr>
        <w:t xml:space="preserve"> </w:t>
      </w:r>
      <w:hyperlink r:id="rId10" w:history="1">
        <w:r w:rsidRPr="00942EB1">
          <w:rPr>
            <w:rStyle w:val="Hyperlink"/>
            <w:rFonts w:ascii="Arial" w:hAnsi="Arial" w:cs="Arial"/>
            <w:shd w:val="clear" w:color="auto" w:fill="FFFFFF"/>
          </w:rPr>
          <w:t>https://doi.org/10.3390/educsci12090594</w:t>
        </w:r>
      </w:hyperlink>
    </w:p>
    <w:p w14:paraId="5D96A396" w14:textId="77777777" w:rsidR="007041B2" w:rsidRPr="00942EB1" w:rsidRDefault="007041B2" w:rsidP="007041B2">
      <w:pPr>
        <w:spacing w:after="0" w:line="360" w:lineRule="auto"/>
        <w:ind w:left="720" w:hanging="720"/>
        <w:rPr>
          <w:rFonts w:ascii="Arial" w:hAnsi="Arial" w:cs="Arial"/>
          <w:color w:val="222222"/>
          <w:shd w:val="clear" w:color="auto" w:fill="FFFFFF"/>
        </w:rPr>
      </w:pPr>
      <w:bookmarkStart w:id="6" w:name="_Hlk156963463"/>
      <w:r w:rsidRPr="00942EB1">
        <w:rPr>
          <w:rFonts w:ascii="Arial" w:hAnsi="Arial" w:cs="Arial"/>
          <w:color w:val="222222"/>
          <w:shd w:val="clear" w:color="auto" w:fill="FFFFFF"/>
        </w:rPr>
        <w:t xml:space="preserve">Haldorai, </w:t>
      </w:r>
      <w:bookmarkEnd w:id="6"/>
      <w:r w:rsidRPr="00942EB1">
        <w:rPr>
          <w:rFonts w:ascii="Arial" w:hAnsi="Arial" w:cs="Arial"/>
          <w:color w:val="222222"/>
          <w:shd w:val="clear" w:color="auto" w:fill="FFFFFF"/>
        </w:rPr>
        <w:t>K., Kim, W.G., Pillai, S.G., Park, T.E. and Balasubramanian, K., 2019. Factors affecting hotel employees’ attrition and turnover: Application of pull-push-mooring framework. </w:t>
      </w:r>
      <w:r w:rsidRPr="00942EB1">
        <w:rPr>
          <w:rFonts w:ascii="Arial" w:hAnsi="Arial" w:cs="Arial"/>
          <w:i/>
          <w:iCs/>
          <w:color w:val="222222"/>
          <w:shd w:val="clear" w:color="auto" w:fill="FFFFFF"/>
        </w:rPr>
        <w:t>International Journal of Hospitality Management</w:t>
      </w:r>
      <w:r w:rsidRPr="00942EB1">
        <w:rPr>
          <w:rFonts w:ascii="Arial" w:hAnsi="Arial" w:cs="Arial"/>
          <w:color w:val="222222"/>
          <w:shd w:val="clear" w:color="auto" w:fill="FFFFFF"/>
        </w:rPr>
        <w:t>, </w:t>
      </w:r>
      <w:r w:rsidRPr="00942EB1">
        <w:rPr>
          <w:rFonts w:ascii="Arial" w:hAnsi="Arial" w:cs="Arial"/>
          <w:i/>
          <w:iCs/>
          <w:color w:val="222222"/>
          <w:shd w:val="clear" w:color="auto" w:fill="FFFFFF"/>
        </w:rPr>
        <w:t>83</w:t>
      </w:r>
      <w:r w:rsidRPr="00942EB1">
        <w:rPr>
          <w:rFonts w:ascii="Arial" w:hAnsi="Arial" w:cs="Arial"/>
          <w:color w:val="222222"/>
          <w:shd w:val="clear" w:color="auto" w:fill="FFFFFF"/>
        </w:rPr>
        <w:t>, pp.46-55.</w:t>
      </w:r>
      <w:r w:rsidRPr="00942EB1">
        <w:rPr>
          <w:rFonts w:ascii="Arial" w:hAnsi="Arial" w:cs="Arial"/>
        </w:rPr>
        <w:t xml:space="preserve"> </w:t>
      </w:r>
      <w:hyperlink r:id="rId11" w:history="1">
        <w:r w:rsidRPr="00942EB1">
          <w:rPr>
            <w:rStyle w:val="Hyperlink"/>
            <w:rFonts w:ascii="Arial" w:hAnsi="Arial" w:cs="Arial"/>
            <w:shd w:val="clear" w:color="auto" w:fill="FFFFFF"/>
          </w:rPr>
          <w:t>https://doi.org/10.1016/j.ijhm.2019.04.003</w:t>
        </w:r>
      </w:hyperlink>
    </w:p>
    <w:p w14:paraId="5D96A397" w14:textId="77777777" w:rsidR="007041B2" w:rsidRPr="00942EB1" w:rsidRDefault="007041B2" w:rsidP="007041B2">
      <w:pPr>
        <w:spacing w:after="0" w:line="360" w:lineRule="auto"/>
        <w:ind w:left="720" w:hanging="720"/>
        <w:rPr>
          <w:rFonts w:ascii="Arial" w:hAnsi="Arial" w:cs="Arial"/>
        </w:rPr>
      </w:pPr>
      <w:bookmarkStart w:id="7" w:name="_Hlk156966261"/>
      <w:r w:rsidRPr="00942EB1">
        <w:rPr>
          <w:rFonts w:ascii="Arial" w:hAnsi="Arial" w:cs="Arial"/>
        </w:rPr>
        <w:t>Italian Food News. 2024</w:t>
      </w:r>
      <w:bookmarkEnd w:id="7"/>
      <w:r w:rsidRPr="00942EB1">
        <w:rPr>
          <w:rFonts w:ascii="Arial" w:hAnsi="Arial" w:cs="Arial"/>
        </w:rPr>
        <w:t xml:space="preserve">. </w:t>
      </w:r>
      <w:r w:rsidRPr="00942EB1">
        <w:rPr>
          <w:rFonts w:ascii="Arial" w:hAnsi="Arial" w:cs="Arial"/>
          <w:i/>
          <w:iCs/>
        </w:rPr>
        <w:t xml:space="preserve">The Italian Culinary Industry: A Worth of Over 228 Billion. Opportunities and Challenges in the Food Sector. </w:t>
      </w:r>
      <w:hyperlink r:id="rId12" w:history="1">
        <w:r w:rsidRPr="00942EB1">
          <w:rPr>
            <w:rStyle w:val="Hyperlink"/>
            <w:rFonts w:ascii="Arial" w:hAnsi="Arial" w:cs="Arial"/>
          </w:rPr>
          <w:t>https://www.italianfoodnews.com/en/news/144-the-italian-culinary-industry-a-worth-of-over-228-billion-opportunities-and-challenges-in-the-food-sector</w:t>
        </w:r>
      </w:hyperlink>
    </w:p>
    <w:p w14:paraId="5D96A398" w14:textId="77777777" w:rsidR="007041B2" w:rsidRPr="00942EB1" w:rsidRDefault="007041B2" w:rsidP="007041B2">
      <w:pPr>
        <w:spacing w:after="0" w:line="360" w:lineRule="auto"/>
        <w:ind w:left="720" w:hanging="720"/>
        <w:rPr>
          <w:rFonts w:ascii="Arial" w:hAnsi="Arial" w:cs="Arial"/>
        </w:rPr>
      </w:pPr>
      <w:bookmarkStart w:id="8" w:name="_Hlk156963289"/>
      <w:r w:rsidRPr="00942EB1">
        <w:rPr>
          <w:rFonts w:ascii="Arial" w:hAnsi="Arial" w:cs="Arial"/>
        </w:rPr>
        <w:lastRenderedPageBreak/>
        <w:t>Jones, O., Macpherson, A. and Jayawarna, D. 2022</w:t>
      </w:r>
      <w:bookmarkEnd w:id="8"/>
      <w:r w:rsidRPr="00942EB1">
        <w:rPr>
          <w:rFonts w:ascii="Arial" w:hAnsi="Arial" w:cs="Arial"/>
        </w:rPr>
        <w:t>. </w:t>
      </w:r>
      <w:r w:rsidRPr="00942EB1">
        <w:rPr>
          <w:rFonts w:ascii="Arial" w:hAnsi="Arial" w:cs="Arial"/>
          <w:i/>
          <w:iCs/>
        </w:rPr>
        <w:t>Resourcing the Start-up Business: Creating Dynamic Entrepreneurial Learning Capabilities.</w:t>
      </w:r>
      <w:r w:rsidRPr="00942EB1">
        <w:rPr>
          <w:rFonts w:ascii="Arial" w:hAnsi="Arial" w:cs="Arial"/>
        </w:rPr>
        <w:t> (2</w:t>
      </w:r>
      <w:r w:rsidRPr="00942EB1">
        <w:rPr>
          <w:rFonts w:ascii="Arial" w:hAnsi="Arial" w:cs="Arial"/>
          <w:vertAlign w:val="superscript"/>
        </w:rPr>
        <w:t>nd</w:t>
      </w:r>
      <w:r w:rsidRPr="00942EB1">
        <w:rPr>
          <w:rFonts w:ascii="Arial" w:hAnsi="Arial" w:cs="Arial"/>
        </w:rPr>
        <w:t xml:space="preserve"> ed.). United Kingdom: Taylor &amp; Francis.</w:t>
      </w:r>
    </w:p>
    <w:p w14:paraId="5D96A399" w14:textId="77777777" w:rsidR="007041B2" w:rsidRPr="00942EB1" w:rsidRDefault="007041B2" w:rsidP="007041B2">
      <w:pPr>
        <w:spacing w:after="0" w:line="360" w:lineRule="auto"/>
        <w:ind w:left="720" w:hanging="720"/>
        <w:rPr>
          <w:rFonts w:ascii="Arial" w:hAnsi="Arial" w:cs="Arial"/>
          <w:color w:val="222222"/>
          <w:shd w:val="clear" w:color="auto" w:fill="FFFFFF"/>
        </w:rPr>
      </w:pPr>
      <w:bookmarkStart w:id="9" w:name="_Hlk156965375"/>
      <w:r w:rsidRPr="00942EB1">
        <w:rPr>
          <w:rFonts w:ascii="Arial" w:hAnsi="Arial" w:cs="Arial"/>
          <w:color w:val="222222"/>
          <w:shd w:val="clear" w:color="auto" w:fill="FFFFFF"/>
        </w:rPr>
        <w:t>Kim, B., Yoo, M. and Yang, W., 2020</w:t>
      </w:r>
      <w:bookmarkEnd w:id="9"/>
      <w:r w:rsidRPr="00942EB1">
        <w:rPr>
          <w:rFonts w:ascii="Arial" w:hAnsi="Arial" w:cs="Arial"/>
          <w:color w:val="222222"/>
          <w:shd w:val="clear" w:color="auto" w:fill="FFFFFF"/>
        </w:rPr>
        <w:t>. Online engagement among restaurant customers: The importance of enhancing flow for social media users. </w:t>
      </w:r>
      <w:r w:rsidRPr="00942EB1">
        <w:rPr>
          <w:rFonts w:ascii="Arial" w:hAnsi="Arial" w:cs="Arial"/>
          <w:i/>
          <w:iCs/>
          <w:color w:val="222222"/>
          <w:shd w:val="clear" w:color="auto" w:fill="FFFFFF"/>
        </w:rPr>
        <w:t>Journal of Hospitality &amp; Tourism Research</w:t>
      </w:r>
      <w:r w:rsidRPr="00942EB1">
        <w:rPr>
          <w:rFonts w:ascii="Arial" w:hAnsi="Arial" w:cs="Arial"/>
          <w:color w:val="222222"/>
          <w:shd w:val="clear" w:color="auto" w:fill="FFFFFF"/>
        </w:rPr>
        <w:t>, </w:t>
      </w:r>
      <w:r w:rsidRPr="00942EB1">
        <w:rPr>
          <w:rFonts w:ascii="Arial" w:hAnsi="Arial" w:cs="Arial"/>
          <w:i/>
          <w:iCs/>
          <w:color w:val="222222"/>
          <w:shd w:val="clear" w:color="auto" w:fill="FFFFFF"/>
        </w:rPr>
        <w:t>44</w:t>
      </w:r>
      <w:r w:rsidRPr="00942EB1">
        <w:rPr>
          <w:rFonts w:ascii="Arial" w:hAnsi="Arial" w:cs="Arial"/>
          <w:color w:val="222222"/>
          <w:shd w:val="clear" w:color="auto" w:fill="FFFFFF"/>
        </w:rPr>
        <w:t>(2), pp.252-277.</w:t>
      </w:r>
      <w:r w:rsidRPr="00942EB1">
        <w:rPr>
          <w:rFonts w:ascii="Arial" w:hAnsi="Arial" w:cs="Arial"/>
        </w:rPr>
        <w:t xml:space="preserve"> </w:t>
      </w:r>
      <w:hyperlink r:id="rId13" w:history="1">
        <w:r w:rsidRPr="00942EB1">
          <w:rPr>
            <w:rStyle w:val="Hyperlink"/>
            <w:rFonts w:ascii="Arial" w:hAnsi="Arial" w:cs="Arial"/>
            <w:shd w:val="clear" w:color="auto" w:fill="FFFFFF"/>
          </w:rPr>
          <w:t>https://doi.org/10.1177/1096348019887202</w:t>
        </w:r>
      </w:hyperlink>
    </w:p>
    <w:p w14:paraId="5D96A39A" w14:textId="77777777" w:rsidR="007041B2" w:rsidRPr="00942EB1" w:rsidRDefault="007041B2" w:rsidP="007041B2">
      <w:pPr>
        <w:spacing w:after="0" w:line="360" w:lineRule="auto"/>
        <w:ind w:left="720" w:hanging="720"/>
        <w:rPr>
          <w:rFonts w:ascii="Arial" w:hAnsi="Arial" w:cs="Arial"/>
          <w:color w:val="222222"/>
          <w:shd w:val="clear" w:color="auto" w:fill="FFFFFF"/>
        </w:rPr>
      </w:pPr>
      <w:bookmarkStart w:id="10" w:name="_Hlk156965041"/>
      <w:r w:rsidRPr="00942EB1">
        <w:rPr>
          <w:rFonts w:ascii="Arial" w:hAnsi="Arial" w:cs="Arial"/>
          <w:color w:val="222222"/>
          <w:shd w:val="clear" w:color="auto" w:fill="FFFFFF"/>
        </w:rPr>
        <w:t>Lee</w:t>
      </w:r>
      <w:bookmarkEnd w:id="10"/>
      <w:r w:rsidRPr="00942EB1">
        <w:rPr>
          <w:rFonts w:ascii="Arial" w:hAnsi="Arial" w:cs="Arial"/>
          <w:color w:val="222222"/>
          <w:shd w:val="clear" w:color="auto" w:fill="FFFFFF"/>
        </w:rPr>
        <w:t>, P.Y., Koseoglu, M.A., Qi, L., Liu, E.C. and King, B., 2021. The sway of influencer marketing: Evidence from a restaurant group. </w:t>
      </w:r>
      <w:r w:rsidRPr="00942EB1">
        <w:rPr>
          <w:rFonts w:ascii="Arial" w:hAnsi="Arial" w:cs="Arial"/>
          <w:i/>
          <w:iCs/>
          <w:color w:val="222222"/>
          <w:shd w:val="clear" w:color="auto" w:fill="FFFFFF"/>
        </w:rPr>
        <w:t>International Journal of Hospitality Management</w:t>
      </w:r>
      <w:r w:rsidRPr="00942EB1">
        <w:rPr>
          <w:rFonts w:ascii="Arial" w:hAnsi="Arial" w:cs="Arial"/>
          <w:color w:val="222222"/>
          <w:shd w:val="clear" w:color="auto" w:fill="FFFFFF"/>
        </w:rPr>
        <w:t>, </w:t>
      </w:r>
      <w:r w:rsidRPr="00942EB1">
        <w:rPr>
          <w:rFonts w:ascii="Arial" w:hAnsi="Arial" w:cs="Arial"/>
          <w:i/>
          <w:iCs/>
          <w:color w:val="222222"/>
          <w:shd w:val="clear" w:color="auto" w:fill="FFFFFF"/>
        </w:rPr>
        <w:t>98</w:t>
      </w:r>
      <w:r w:rsidRPr="00942EB1">
        <w:rPr>
          <w:rFonts w:ascii="Arial" w:hAnsi="Arial" w:cs="Arial"/>
          <w:color w:val="222222"/>
          <w:shd w:val="clear" w:color="auto" w:fill="FFFFFF"/>
        </w:rPr>
        <w:t xml:space="preserve">. </w:t>
      </w:r>
      <w:hyperlink r:id="rId14" w:history="1">
        <w:r w:rsidRPr="00942EB1">
          <w:rPr>
            <w:rStyle w:val="Hyperlink"/>
            <w:rFonts w:ascii="Arial" w:hAnsi="Arial" w:cs="Arial"/>
            <w:shd w:val="clear" w:color="auto" w:fill="FFFFFF"/>
          </w:rPr>
          <w:t>https://doi.org/10.1016/j.ijhm.2021.103022</w:t>
        </w:r>
      </w:hyperlink>
    </w:p>
    <w:p w14:paraId="5D96A39B" w14:textId="77777777" w:rsidR="007041B2" w:rsidRPr="00942EB1" w:rsidRDefault="007041B2" w:rsidP="007041B2">
      <w:pPr>
        <w:spacing w:after="0" w:line="360" w:lineRule="auto"/>
        <w:ind w:left="720" w:hanging="720"/>
        <w:rPr>
          <w:rFonts w:ascii="Arial" w:hAnsi="Arial" w:cs="Arial"/>
          <w:color w:val="222222"/>
          <w:shd w:val="clear" w:color="auto" w:fill="FFFFFF"/>
        </w:rPr>
      </w:pPr>
      <w:bookmarkStart w:id="11" w:name="_Hlk156965649"/>
      <w:r w:rsidRPr="00942EB1">
        <w:rPr>
          <w:rFonts w:ascii="Arial" w:hAnsi="Arial" w:cs="Arial"/>
          <w:color w:val="222222"/>
          <w:shd w:val="clear" w:color="auto" w:fill="FFFFFF"/>
        </w:rPr>
        <w:t>Li</w:t>
      </w:r>
      <w:bookmarkEnd w:id="11"/>
      <w:r w:rsidRPr="00942EB1">
        <w:rPr>
          <w:rFonts w:ascii="Arial" w:hAnsi="Arial" w:cs="Arial"/>
          <w:color w:val="222222"/>
          <w:shd w:val="clear" w:color="auto" w:fill="FFFFFF"/>
        </w:rPr>
        <w:t>, M., Yin, D., Qiu, H. and Bai, B., 2021. A systematic review of AI technology-based service encounters: Implications for hospitality and tourism operations. </w:t>
      </w:r>
      <w:r w:rsidRPr="00942EB1">
        <w:rPr>
          <w:rFonts w:ascii="Arial" w:hAnsi="Arial" w:cs="Arial"/>
          <w:i/>
          <w:iCs/>
          <w:color w:val="222222"/>
          <w:shd w:val="clear" w:color="auto" w:fill="FFFFFF"/>
        </w:rPr>
        <w:t>International Journal of Hospitality Management</w:t>
      </w:r>
      <w:r w:rsidRPr="00942EB1">
        <w:rPr>
          <w:rFonts w:ascii="Arial" w:hAnsi="Arial" w:cs="Arial"/>
          <w:color w:val="222222"/>
          <w:shd w:val="clear" w:color="auto" w:fill="FFFFFF"/>
        </w:rPr>
        <w:t>, </w:t>
      </w:r>
      <w:r w:rsidRPr="00942EB1">
        <w:rPr>
          <w:rFonts w:ascii="Arial" w:hAnsi="Arial" w:cs="Arial"/>
          <w:i/>
          <w:iCs/>
          <w:color w:val="222222"/>
          <w:shd w:val="clear" w:color="auto" w:fill="FFFFFF"/>
        </w:rPr>
        <w:t>95</w:t>
      </w:r>
      <w:r w:rsidRPr="00942EB1">
        <w:rPr>
          <w:rFonts w:ascii="Arial" w:hAnsi="Arial" w:cs="Arial"/>
          <w:color w:val="222222"/>
          <w:shd w:val="clear" w:color="auto" w:fill="FFFFFF"/>
        </w:rPr>
        <w:t>, p.102930.</w:t>
      </w:r>
      <w:r w:rsidRPr="00942EB1">
        <w:rPr>
          <w:rFonts w:ascii="Arial" w:hAnsi="Arial" w:cs="Arial"/>
        </w:rPr>
        <w:t xml:space="preserve"> </w:t>
      </w:r>
      <w:hyperlink r:id="rId15" w:history="1">
        <w:r w:rsidRPr="00942EB1">
          <w:rPr>
            <w:rStyle w:val="Hyperlink"/>
            <w:rFonts w:ascii="Arial" w:hAnsi="Arial" w:cs="Arial"/>
            <w:shd w:val="clear" w:color="auto" w:fill="FFFFFF"/>
          </w:rPr>
          <w:t>https://doi.org/10.1016/j.ijhm.2021.102930</w:t>
        </w:r>
      </w:hyperlink>
    </w:p>
    <w:p w14:paraId="5D96A39C" w14:textId="77777777" w:rsidR="007041B2" w:rsidRPr="00942EB1" w:rsidRDefault="007041B2" w:rsidP="007041B2">
      <w:pPr>
        <w:spacing w:after="0" w:line="360" w:lineRule="auto"/>
        <w:ind w:left="720" w:hanging="720"/>
        <w:rPr>
          <w:rFonts w:ascii="Arial" w:hAnsi="Arial" w:cs="Arial"/>
          <w:color w:val="222222"/>
          <w:shd w:val="clear" w:color="auto" w:fill="FFFFFF"/>
        </w:rPr>
      </w:pPr>
      <w:bookmarkStart w:id="12" w:name="_Hlk156964793"/>
      <w:r w:rsidRPr="00942EB1">
        <w:rPr>
          <w:rFonts w:ascii="Arial" w:hAnsi="Arial" w:cs="Arial"/>
          <w:color w:val="222222"/>
          <w:shd w:val="clear" w:color="auto" w:fill="FFFFFF"/>
        </w:rPr>
        <w:t xml:space="preserve">Li, Y. and Singal, M., 2019. </w:t>
      </w:r>
      <w:bookmarkEnd w:id="12"/>
      <w:r w:rsidRPr="00942EB1">
        <w:rPr>
          <w:rFonts w:ascii="Arial" w:hAnsi="Arial" w:cs="Arial"/>
          <w:color w:val="222222"/>
          <w:shd w:val="clear" w:color="auto" w:fill="FFFFFF"/>
        </w:rPr>
        <w:t>Capital structure in the hospitality industry: The role of the asset-light and fee-oriented strategy. </w:t>
      </w:r>
      <w:r w:rsidRPr="00942EB1">
        <w:rPr>
          <w:rFonts w:ascii="Arial" w:hAnsi="Arial" w:cs="Arial"/>
          <w:i/>
          <w:iCs/>
          <w:color w:val="222222"/>
          <w:shd w:val="clear" w:color="auto" w:fill="FFFFFF"/>
        </w:rPr>
        <w:t>Tourism Management</w:t>
      </w:r>
      <w:r w:rsidRPr="00942EB1">
        <w:rPr>
          <w:rFonts w:ascii="Arial" w:hAnsi="Arial" w:cs="Arial"/>
          <w:color w:val="222222"/>
          <w:shd w:val="clear" w:color="auto" w:fill="FFFFFF"/>
        </w:rPr>
        <w:t>, </w:t>
      </w:r>
      <w:r w:rsidRPr="00942EB1">
        <w:rPr>
          <w:rFonts w:ascii="Arial" w:hAnsi="Arial" w:cs="Arial"/>
          <w:i/>
          <w:iCs/>
          <w:color w:val="222222"/>
          <w:shd w:val="clear" w:color="auto" w:fill="FFFFFF"/>
        </w:rPr>
        <w:t>70</w:t>
      </w:r>
      <w:r w:rsidRPr="00942EB1">
        <w:rPr>
          <w:rFonts w:ascii="Arial" w:hAnsi="Arial" w:cs="Arial"/>
          <w:color w:val="222222"/>
          <w:shd w:val="clear" w:color="auto" w:fill="FFFFFF"/>
        </w:rPr>
        <w:t>, pp.124-133.</w:t>
      </w:r>
      <w:r w:rsidRPr="00942EB1">
        <w:rPr>
          <w:rFonts w:ascii="Arial" w:hAnsi="Arial" w:cs="Arial"/>
        </w:rPr>
        <w:t xml:space="preserve"> </w:t>
      </w:r>
      <w:hyperlink r:id="rId16" w:history="1">
        <w:r w:rsidRPr="00942EB1">
          <w:rPr>
            <w:rStyle w:val="Hyperlink"/>
            <w:rFonts w:ascii="Arial" w:hAnsi="Arial" w:cs="Arial"/>
            <w:shd w:val="clear" w:color="auto" w:fill="FFFFFF"/>
          </w:rPr>
          <w:t>https://doi.org/10.1016/j.tourman.2018.08.004</w:t>
        </w:r>
      </w:hyperlink>
    </w:p>
    <w:p w14:paraId="5D96A39D" w14:textId="77777777" w:rsidR="007041B2" w:rsidRPr="00942EB1" w:rsidRDefault="007041B2" w:rsidP="007041B2">
      <w:pPr>
        <w:spacing w:after="0" w:line="360" w:lineRule="auto"/>
        <w:ind w:left="720" w:hanging="720"/>
        <w:rPr>
          <w:rFonts w:ascii="Arial" w:hAnsi="Arial" w:cs="Arial"/>
          <w:color w:val="222222"/>
          <w:shd w:val="clear" w:color="auto" w:fill="FFFFFF"/>
        </w:rPr>
      </w:pPr>
      <w:bookmarkStart w:id="13" w:name="_Hlk156964423"/>
      <w:r w:rsidRPr="00942EB1">
        <w:rPr>
          <w:rFonts w:ascii="Arial" w:hAnsi="Arial" w:cs="Arial"/>
          <w:color w:val="222222"/>
          <w:shd w:val="clear" w:color="auto" w:fill="FFFFFF"/>
        </w:rPr>
        <w:t>Önder, I. and Gunter, U., 2022</w:t>
      </w:r>
      <w:bookmarkEnd w:id="13"/>
      <w:r w:rsidRPr="00942EB1">
        <w:rPr>
          <w:rFonts w:ascii="Arial" w:hAnsi="Arial" w:cs="Arial"/>
          <w:color w:val="222222"/>
          <w:shd w:val="clear" w:color="auto" w:fill="FFFFFF"/>
        </w:rPr>
        <w:t>. Blockchain: Is it the future for the tourism and hospitality industry? </w:t>
      </w:r>
      <w:r w:rsidRPr="00942EB1">
        <w:rPr>
          <w:rFonts w:ascii="Arial" w:hAnsi="Arial" w:cs="Arial"/>
          <w:i/>
          <w:iCs/>
          <w:color w:val="222222"/>
          <w:shd w:val="clear" w:color="auto" w:fill="FFFFFF"/>
        </w:rPr>
        <w:t>Tourism Economics</w:t>
      </w:r>
      <w:r w:rsidRPr="00942EB1">
        <w:rPr>
          <w:rFonts w:ascii="Arial" w:hAnsi="Arial" w:cs="Arial"/>
          <w:color w:val="222222"/>
          <w:shd w:val="clear" w:color="auto" w:fill="FFFFFF"/>
        </w:rPr>
        <w:t>, </w:t>
      </w:r>
      <w:r w:rsidRPr="00942EB1">
        <w:rPr>
          <w:rFonts w:ascii="Arial" w:hAnsi="Arial" w:cs="Arial"/>
          <w:i/>
          <w:iCs/>
          <w:color w:val="222222"/>
          <w:shd w:val="clear" w:color="auto" w:fill="FFFFFF"/>
        </w:rPr>
        <w:t>28</w:t>
      </w:r>
      <w:r w:rsidRPr="00942EB1">
        <w:rPr>
          <w:rFonts w:ascii="Arial" w:hAnsi="Arial" w:cs="Arial"/>
          <w:color w:val="222222"/>
          <w:shd w:val="clear" w:color="auto" w:fill="FFFFFF"/>
        </w:rPr>
        <w:t>(2), pp.291-299.</w:t>
      </w:r>
      <w:r w:rsidRPr="00942EB1">
        <w:rPr>
          <w:rFonts w:ascii="Arial" w:hAnsi="Arial" w:cs="Arial"/>
        </w:rPr>
        <w:t xml:space="preserve"> </w:t>
      </w:r>
      <w:hyperlink r:id="rId17" w:history="1">
        <w:r w:rsidRPr="00942EB1">
          <w:rPr>
            <w:rStyle w:val="Hyperlink"/>
            <w:rFonts w:ascii="Arial" w:hAnsi="Arial" w:cs="Arial"/>
            <w:shd w:val="clear" w:color="auto" w:fill="FFFFFF"/>
          </w:rPr>
          <w:t>https://doi.org/10.1177/1354816620961707</w:t>
        </w:r>
      </w:hyperlink>
    </w:p>
    <w:p w14:paraId="5D96A39E" w14:textId="77777777" w:rsidR="007041B2" w:rsidRPr="00942EB1" w:rsidRDefault="007041B2" w:rsidP="007041B2">
      <w:pPr>
        <w:spacing w:after="0" w:line="360" w:lineRule="auto"/>
        <w:ind w:left="720" w:hanging="720"/>
        <w:rPr>
          <w:rFonts w:ascii="Arial" w:hAnsi="Arial" w:cs="Arial"/>
          <w:color w:val="333333"/>
          <w:shd w:val="clear" w:color="auto" w:fill="FCFCFC"/>
        </w:rPr>
      </w:pPr>
      <w:bookmarkStart w:id="14" w:name="_Hlk156968301"/>
      <w:r w:rsidRPr="00942EB1">
        <w:rPr>
          <w:rFonts w:ascii="Arial" w:hAnsi="Arial" w:cs="Arial"/>
          <w:color w:val="222222"/>
          <w:shd w:val="clear" w:color="auto" w:fill="FFFFFF"/>
        </w:rPr>
        <w:t xml:space="preserve">Parasecoli, F., 2019. </w:t>
      </w:r>
      <w:bookmarkEnd w:id="14"/>
      <w:r w:rsidRPr="00942EB1">
        <w:rPr>
          <w:rFonts w:ascii="Arial" w:hAnsi="Arial" w:cs="Arial"/>
          <w:color w:val="222222"/>
          <w:shd w:val="clear" w:color="auto" w:fill="FFFFFF"/>
        </w:rPr>
        <w:t>The invention of authentic Italian food: Narratives, rhetoric, and media. </w:t>
      </w:r>
      <w:r w:rsidRPr="00942EB1">
        <w:rPr>
          <w:rFonts w:ascii="Arial" w:hAnsi="Arial" w:cs="Arial"/>
          <w:i/>
          <w:iCs/>
          <w:color w:val="222222"/>
          <w:shd w:val="clear" w:color="auto" w:fill="FFFFFF"/>
        </w:rPr>
        <w:t>Italians and Food</w:t>
      </w:r>
      <w:r w:rsidRPr="00942EB1">
        <w:rPr>
          <w:rFonts w:ascii="Arial" w:hAnsi="Arial" w:cs="Arial"/>
          <w:color w:val="222222"/>
          <w:shd w:val="clear" w:color="auto" w:fill="FFFFFF"/>
        </w:rPr>
        <w:t>, pp.17-41.</w:t>
      </w:r>
      <w:r w:rsidRPr="00942EB1">
        <w:rPr>
          <w:rFonts w:ascii="Arial" w:hAnsi="Arial" w:cs="Arial"/>
          <w:color w:val="333333"/>
          <w:shd w:val="clear" w:color="auto" w:fill="FCFCFC"/>
        </w:rPr>
        <w:t xml:space="preserve"> </w:t>
      </w:r>
      <w:hyperlink r:id="rId18" w:history="1">
        <w:r w:rsidRPr="00942EB1">
          <w:rPr>
            <w:rStyle w:val="Hyperlink"/>
            <w:rFonts w:ascii="Arial" w:hAnsi="Arial" w:cs="Arial"/>
            <w:shd w:val="clear" w:color="auto" w:fill="FCFCFC"/>
          </w:rPr>
          <w:t>https://doi.org/10.1007/978-3-030-15681-7_2</w:t>
        </w:r>
      </w:hyperlink>
    </w:p>
    <w:p w14:paraId="5D96A39F" w14:textId="77777777" w:rsidR="007041B2" w:rsidRPr="00942EB1" w:rsidRDefault="007041B2" w:rsidP="007041B2">
      <w:pPr>
        <w:spacing w:after="0" w:line="360" w:lineRule="auto"/>
        <w:ind w:left="720" w:hanging="720"/>
        <w:rPr>
          <w:rFonts w:ascii="Arial" w:hAnsi="Arial" w:cs="Arial"/>
          <w:color w:val="222222"/>
          <w:shd w:val="clear" w:color="auto" w:fill="FFFFFF"/>
        </w:rPr>
      </w:pPr>
      <w:bookmarkStart w:id="15" w:name="_Hlk156967628"/>
      <w:r w:rsidRPr="00942EB1">
        <w:rPr>
          <w:rFonts w:ascii="Arial" w:hAnsi="Arial" w:cs="Arial"/>
          <w:color w:val="222222"/>
          <w:shd w:val="clear" w:color="auto" w:fill="FFFFFF"/>
        </w:rPr>
        <w:t>Sashi, C.M., Brynildsen, G. and Bilgihan, A., 2019</w:t>
      </w:r>
      <w:bookmarkEnd w:id="15"/>
      <w:r w:rsidRPr="00942EB1">
        <w:rPr>
          <w:rFonts w:ascii="Arial" w:hAnsi="Arial" w:cs="Arial"/>
          <w:color w:val="222222"/>
          <w:shd w:val="clear" w:color="auto" w:fill="FFFFFF"/>
        </w:rPr>
        <w:t>. Social media, customer engagement and advocacy: An empirical investigation using Twitter data for quick service restaurants. </w:t>
      </w:r>
      <w:r w:rsidRPr="00942EB1">
        <w:rPr>
          <w:rFonts w:ascii="Arial" w:hAnsi="Arial" w:cs="Arial"/>
          <w:i/>
          <w:iCs/>
          <w:color w:val="222222"/>
          <w:shd w:val="clear" w:color="auto" w:fill="FFFFFF"/>
        </w:rPr>
        <w:t>International Journal of Contemporary Hospitality Management</w:t>
      </w:r>
      <w:r w:rsidRPr="00942EB1">
        <w:rPr>
          <w:rFonts w:ascii="Arial" w:hAnsi="Arial" w:cs="Arial"/>
          <w:color w:val="222222"/>
          <w:shd w:val="clear" w:color="auto" w:fill="FFFFFF"/>
        </w:rPr>
        <w:t>, </w:t>
      </w:r>
      <w:r w:rsidRPr="00942EB1">
        <w:rPr>
          <w:rFonts w:ascii="Arial" w:hAnsi="Arial" w:cs="Arial"/>
          <w:i/>
          <w:iCs/>
          <w:color w:val="222222"/>
          <w:shd w:val="clear" w:color="auto" w:fill="FFFFFF"/>
        </w:rPr>
        <w:t>31</w:t>
      </w:r>
      <w:r w:rsidRPr="00942EB1">
        <w:rPr>
          <w:rFonts w:ascii="Arial" w:hAnsi="Arial" w:cs="Arial"/>
          <w:color w:val="222222"/>
          <w:shd w:val="clear" w:color="auto" w:fill="FFFFFF"/>
        </w:rPr>
        <w:t>(3), pp.1247-1272.</w:t>
      </w:r>
      <w:r w:rsidRPr="00942EB1">
        <w:rPr>
          <w:rFonts w:ascii="Arial" w:hAnsi="Arial" w:cs="Arial"/>
        </w:rPr>
        <w:t xml:space="preserve"> </w:t>
      </w:r>
      <w:hyperlink r:id="rId19" w:history="1">
        <w:r w:rsidRPr="00942EB1">
          <w:rPr>
            <w:rStyle w:val="Hyperlink"/>
            <w:rFonts w:ascii="Arial" w:hAnsi="Arial" w:cs="Arial"/>
            <w:shd w:val="clear" w:color="auto" w:fill="FFFFFF"/>
          </w:rPr>
          <w:t>https://doi.org/10.1108/IJCHM-02-2018-0108</w:t>
        </w:r>
      </w:hyperlink>
    </w:p>
    <w:p w14:paraId="5D96A3A0" w14:textId="77777777" w:rsidR="007041B2" w:rsidRPr="00942EB1" w:rsidRDefault="007041B2" w:rsidP="007041B2">
      <w:pPr>
        <w:spacing w:after="0" w:line="360" w:lineRule="auto"/>
        <w:ind w:left="720" w:hanging="720"/>
        <w:rPr>
          <w:rFonts w:ascii="Arial" w:hAnsi="Arial" w:cs="Arial"/>
          <w:color w:val="222222"/>
          <w:shd w:val="clear" w:color="auto" w:fill="FFFFFF"/>
        </w:rPr>
      </w:pPr>
      <w:bookmarkStart w:id="16" w:name="_Hlk156966792"/>
      <w:r w:rsidRPr="00942EB1">
        <w:rPr>
          <w:rFonts w:ascii="Arial" w:hAnsi="Arial" w:cs="Arial"/>
          <w:color w:val="222222"/>
          <w:shd w:val="clear" w:color="auto" w:fill="FFFFFF"/>
        </w:rPr>
        <w:t>Shah</w:t>
      </w:r>
      <w:bookmarkEnd w:id="16"/>
      <w:r w:rsidRPr="00942EB1">
        <w:rPr>
          <w:rFonts w:ascii="Arial" w:hAnsi="Arial" w:cs="Arial"/>
          <w:color w:val="222222"/>
          <w:shd w:val="clear" w:color="auto" w:fill="FFFFFF"/>
        </w:rPr>
        <w:t>, H.A., Yasir, M., Majid, A. and Javed, A., 2019. Impact of networking capability on organizational survival of SMEs: Mediating role of strategic renewal. </w:t>
      </w:r>
      <w:r w:rsidRPr="00942EB1">
        <w:rPr>
          <w:rFonts w:ascii="Arial" w:hAnsi="Arial" w:cs="Arial"/>
          <w:i/>
          <w:iCs/>
          <w:color w:val="222222"/>
          <w:shd w:val="clear" w:color="auto" w:fill="FFFFFF"/>
        </w:rPr>
        <w:t>Pakistan Journal of Commerce and Social Sciences (PJCSS)</w:t>
      </w:r>
      <w:r w:rsidRPr="00942EB1">
        <w:rPr>
          <w:rFonts w:ascii="Arial" w:hAnsi="Arial" w:cs="Arial"/>
          <w:color w:val="222222"/>
          <w:shd w:val="clear" w:color="auto" w:fill="FFFFFF"/>
        </w:rPr>
        <w:t>, </w:t>
      </w:r>
      <w:r w:rsidRPr="00942EB1">
        <w:rPr>
          <w:rFonts w:ascii="Arial" w:hAnsi="Arial" w:cs="Arial"/>
          <w:i/>
          <w:iCs/>
          <w:color w:val="222222"/>
          <w:shd w:val="clear" w:color="auto" w:fill="FFFFFF"/>
        </w:rPr>
        <w:t>13</w:t>
      </w:r>
      <w:r w:rsidRPr="00942EB1">
        <w:rPr>
          <w:rFonts w:ascii="Arial" w:hAnsi="Arial" w:cs="Arial"/>
          <w:color w:val="222222"/>
          <w:shd w:val="clear" w:color="auto" w:fill="FFFFFF"/>
        </w:rPr>
        <w:t>(3), pp.559-580.</w:t>
      </w:r>
      <w:r w:rsidRPr="00942EB1">
        <w:rPr>
          <w:rFonts w:ascii="Arial" w:hAnsi="Arial" w:cs="Arial"/>
        </w:rPr>
        <w:t xml:space="preserve"> </w:t>
      </w:r>
      <w:hyperlink r:id="rId20" w:history="1">
        <w:r w:rsidRPr="00942EB1">
          <w:rPr>
            <w:rStyle w:val="Hyperlink"/>
            <w:rFonts w:ascii="Arial" w:hAnsi="Arial" w:cs="Arial"/>
            <w:shd w:val="clear" w:color="auto" w:fill="FFFFFF"/>
          </w:rPr>
          <w:t>https://www.econstor.eu/bitstream/10419/205267/1/4351.pdf</w:t>
        </w:r>
      </w:hyperlink>
    </w:p>
    <w:p w14:paraId="5D96A3A1" w14:textId="77777777" w:rsidR="007041B2" w:rsidRPr="00942EB1" w:rsidRDefault="007041B2" w:rsidP="007041B2">
      <w:pPr>
        <w:spacing w:after="0" w:line="360" w:lineRule="auto"/>
        <w:ind w:left="720" w:hanging="720"/>
        <w:rPr>
          <w:rFonts w:ascii="Arial" w:hAnsi="Arial" w:cs="Arial"/>
          <w:color w:val="222222"/>
          <w:shd w:val="clear" w:color="auto" w:fill="FFFFFF"/>
        </w:rPr>
      </w:pPr>
      <w:bookmarkStart w:id="17" w:name="_Hlk156965174"/>
      <w:r w:rsidRPr="00942EB1">
        <w:rPr>
          <w:rFonts w:ascii="Arial" w:hAnsi="Arial" w:cs="Arial"/>
          <w:color w:val="222222"/>
          <w:shd w:val="clear" w:color="auto" w:fill="FFFFFF"/>
        </w:rPr>
        <w:lastRenderedPageBreak/>
        <w:t>Singh, S., Singh, G. and Dhir, S., 2022</w:t>
      </w:r>
      <w:bookmarkEnd w:id="17"/>
      <w:r w:rsidRPr="00942EB1">
        <w:rPr>
          <w:rFonts w:ascii="Arial" w:hAnsi="Arial" w:cs="Arial"/>
          <w:color w:val="222222"/>
          <w:shd w:val="clear" w:color="auto" w:fill="FFFFFF"/>
        </w:rPr>
        <w:t>. Impact of digital marketing on the competitiveness of the restaurant industry. </w:t>
      </w:r>
      <w:r w:rsidRPr="00942EB1">
        <w:rPr>
          <w:rFonts w:ascii="Arial" w:hAnsi="Arial" w:cs="Arial"/>
          <w:i/>
          <w:iCs/>
          <w:color w:val="222222"/>
          <w:shd w:val="clear" w:color="auto" w:fill="FFFFFF"/>
        </w:rPr>
        <w:t>Journal of Foodservice Business Research</w:t>
      </w:r>
      <w:r w:rsidRPr="00942EB1">
        <w:rPr>
          <w:rFonts w:ascii="Arial" w:hAnsi="Arial" w:cs="Arial"/>
          <w:color w:val="222222"/>
          <w:shd w:val="clear" w:color="auto" w:fill="FFFFFF"/>
        </w:rPr>
        <w:t>, pp.1-29.</w:t>
      </w:r>
      <w:r w:rsidRPr="00942EB1">
        <w:rPr>
          <w:rFonts w:ascii="Arial" w:hAnsi="Arial" w:cs="Arial"/>
        </w:rPr>
        <w:t xml:space="preserve"> </w:t>
      </w:r>
      <w:hyperlink r:id="rId21" w:history="1">
        <w:r w:rsidRPr="00942EB1">
          <w:rPr>
            <w:rStyle w:val="Hyperlink"/>
            <w:rFonts w:ascii="Arial" w:hAnsi="Arial" w:cs="Arial"/>
            <w:shd w:val="clear" w:color="auto" w:fill="FFFFFF"/>
          </w:rPr>
          <w:t>https://doi.org/10.1080/15378020.2022.2077088</w:t>
        </w:r>
      </w:hyperlink>
    </w:p>
    <w:p w14:paraId="5D96A3A2" w14:textId="77777777" w:rsidR="007041B2" w:rsidRPr="00942EB1" w:rsidRDefault="007041B2" w:rsidP="007041B2">
      <w:pPr>
        <w:spacing w:after="0" w:line="360" w:lineRule="auto"/>
        <w:ind w:left="720" w:hanging="720"/>
        <w:rPr>
          <w:rFonts w:ascii="Arial" w:hAnsi="Arial" w:cs="Arial"/>
        </w:rPr>
      </w:pPr>
      <w:bookmarkStart w:id="18" w:name="_Hlk156964680"/>
      <w:r w:rsidRPr="00942EB1">
        <w:rPr>
          <w:rFonts w:ascii="Arial" w:hAnsi="Arial" w:cs="Arial"/>
        </w:rPr>
        <w:t>Walker, J. R. 2021</w:t>
      </w:r>
      <w:bookmarkEnd w:id="18"/>
      <w:r w:rsidRPr="00942EB1">
        <w:rPr>
          <w:rFonts w:ascii="Arial" w:hAnsi="Arial" w:cs="Arial"/>
        </w:rPr>
        <w:t>. </w:t>
      </w:r>
      <w:r w:rsidRPr="00942EB1">
        <w:rPr>
          <w:rFonts w:ascii="Arial" w:hAnsi="Arial" w:cs="Arial"/>
          <w:i/>
          <w:iCs/>
        </w:rPr>
        <w:t>The Restaurant: From Concept to Operation</w:t>
      </w:r>
      <w:r w:rsidRPr="00942EB1">
        <w:rPr>
          <w:rFonts w:ascii="Arial" w:hAnsi="Arial" w:cs="Arial"/>
        </w:rPr>
        <w:t>. (9</w:t>
      </w:r>
      <w:r w:rsidRPr="00942EB1">
        <w:rPr>
          <w:rFonts w:ascii="Arial" w:hAnsi="Arial" w:cs="Arial"/>
          <w:vertAlign w:val="superscript"/>
        </w:rPr>
        <w:t>th</w:t>
      </w:r>
      <w:r w:rsidRPr="00942EB1">
        <w:rPr>
          <w:rFonts w:ascii="Arial" w:hAnsi="Arial" w:cs="Arial"/>
        </w:rPr>
        <w:t xml:space="preserve"> ed.). United Kingdom: Wiley.</w:t>
      </w:r>
    </w:p>
    <w:p w14:paraId="5D96A3A3" w14:textId="77777777" w:rsidR="007041B2" w:rsidRPr="00942EB1" w:rsidRDefault="007041B2" w:rsidP="007041B2">
      <w:pPr>
        <w:spacing w:after="0" w:line="360" w:lineRule="auto"/>
        <w:ind w:left="720" w:hanging="720"/>
        <w:rPr>
          <w:rFonts w:ascii="Arial" w:hAnsi="Arial" w:cs="Arial"/>
        </w:rPr>
      </w:pPr>
      <w:bookmarkStart w:id="19" w:name="_Hlk156967441"/>
      <w:bookmarkStart w:id="20" w:name="_Hlk156967864"/>
      <w:r w:rsidRPr="00942EB1">
        <w:rPr>
          <w:rFonts w:ascii="Arial" w:hAnsi="Arial" w:cs="Arial"/>
        </w:rPr>
        <w:t>Williams, S. 2021</w:t>
      </w:r>
      <w:bookmarkEnd w:id="19"/>
      <w:r w:rsidRPr="00942EB1">
        <w:rPr>
          <w:rFonts w:ascii="Arial" w:hAnsi="Arial" w:cs="Arial"/>
        </w:rPr>
        <w:t xml:space="preserve">. </w:t>
      </w:r>
      <w:bookmarkEnd w:id="20"/>
      <w:r w:rsidRPr="00942EB1">
        <w:rPr>
          <w:rFonts w:ascii="Arial" w:hAnsi="Arial" w:cs="Arial"/>
          <w:i/>
          <w:iCs/>
        </w:rPr>
        <w:t>FT Guide to business startup: The most comprehensive guide for entrepreneurs</w:t>
      </w:r>
      <w:r w:rsidRPr="00942EB1">
        <w:rPr>
          <w:rFonts w:ascii="Arial" w:hAnsi="Arial" w:cs="Arial"/>
        </w:rPr>
        <w:t>. (32nd Ed.). Financial Times Press: Harlow</w:t>
      </w:r>
    </w:p>
    <w:p w14:paraId="5D96A3A4" w14:textId="77777777" w:rsidR="007041B2" w:rsidRPr="00942EB1" w:rsidRDefault="007041B2" w:rsidP="007041B2">
      <w:pPr>
        <w:spacing w:after="0" w:line="360" w:lineRule="auto"/>
        <w:ind w:left="720" w:hanging="720"/>
        <w:rPr>
          <w:rFonts w:ascii="Arial" w:hAnsi="Arial" w:cs="Arial"/>
          <w:color w:val="222222"/>
          <w:shd w:val="clear" w:color="auto" w:fill="FFFFFF"/>
        </w:rPr>
      </w:pPr>
      <w:bookmarkStart w:id="21" w:name="_Hlk156966005"/>
      <w:r w:rsidRPr="00942EB1">
        <w:rPr>
          <w:rFonts w:ascii="Arial" w:hAnsi="Arial" w:cs="Arial"/>
          <w:color w:val="222222"/>
          <w:shd w:val="clear" w:color="auto" w:fill="FFFFFF"/>
        </w:rPr>
        <w:t>Wu, S.H. and Gao, Y., 2019</w:t>
      </w:r>
      <w:bookmarkEnd w:id="21"/>
      <w:r w:rsidRPr="00942EB1">
        <w:rPr>
          <w:rFonts w:ascii="Arial" w:hAnsi="Arial" w:cs="Arial"/>
          <w:color w:val="222222"/>
          <w:shd w:val="clear" w:color="auto" w:fill="FFFFFF"/>
        </w:rPr>
        <w:t>. Understanding emotional customer experience and co-creation behaviours in luxury hotels. </w:t>
      </w:r>
      <w:r w:rsidRPr="00942EB1">
        <w:rPr>
          <w:rFonts w:ascii="Arial" w:hAnsi="Arial" w:cs="Arial"/>
          <w:i/>
          <w:iCs/>
          <w:color w:val="222222"/>
          <w:shd w:val="clear" w:color="auto" w:fill="FFFFFF"/>
        </w:rPr>
        <w:t>International Journal of Contemporary Hospitality Management</w:t>
      </w:r>
      <w:r w:rsidRPr="00942EB1">
        <w:rPr>
          <w:rFonts w:ascii="Arial" w:hAnsi="Arial" w:cs="Arial"/>
          <w:color w:val="222222"/>
          <w:shd w:val="clear" w:color="auto" w:fill="FFFFFF"/>
        </w:rPr>
        <w:t>, </w:t>
      </w:r>
      <w:r w:rsidRPr="00942EB1">
        <w:rPr>
          <w:rFonts w:ascii="Arial" w:hAnsi="Arial" w:cs="Arial"/>
          <w:i/>
          <w:iCs/>
          <w:color w:val="222222"/>
          <w:shd w:val="clear" w:color="auto" w:fill="FFFFFF"/>
        </w:rPr>
        <w:t>31</w:t>
      </w:r>
      <w:r w:rsidRPr="00942EB1">
        <w:rPr>
          <w:rFonts w:ascii="Arial" w:hAnsi="Arial" w:cs="Arial"/>
          <w:color w:val="222222"/>
          <w:shd w:val="clear" w:color="auto" w:fill="FFFFFF"/>
        </w:rPr>
        <w:t>(11), pp.4247-4275.</w:t>
      </w:r>
      <w:r w:rsidRPr="00942EB1">
        <w:rPr>
          <w:rFonts w:ascii="Arial" w:hAnsi="Arial" w:cs="Arial"/>
        </w:rPr>
        <w:t xml:space="preserve"> </w:t>
      </w:r>
      <w:hyperlink r:id="rId22" w:history="1">
        <w:r w:rsidRPr="00942EB1">
          <w:rPr>
            <w:rStyle w:val="Hyperlink"/>
            <w:rFonts w:ascii="Arial" w:hAnsi="Arial" w:cs="Arial"/>
            <w:shd w:val="clear" w:color="auto" w:fill="FFFFFF"/>
          </w:rPr>
          <w:t>https://doi.org/10.1108/IJCHM-04-2018-0302</w:t>
        </w:r>
      </w:hyperlink>
    </w:p>
    <w:p w14:paraId="5D96A3A5" w14:textId="77777777" w:rsidR="007041B2" w:rsidRPr="00942EB1" w:rsidRDefault="007041B2" w:rsidP="007041B2">
      <w:pPr>
        <w:spacing w:after="0" w:line="360" w:lineRule="auto"/>
        <w:ind w:left="720" w:hanging="720"/>
        <w:rPr>
          <w:rFonts w:ascii="Arial" w:hAnsi="Arial" w:cs="Arial"/>
          <w:color w:val="222222"/>
          <w:shd w:val="clear" w:color="auto" w:fill="FFFFFF"/>
        </w:rPr>
      </w:pPr>
      <w:bookmarkStart w:id="22" w:name="_Hlk156965827"/>
      <w:r w:rsidRPr="00942EB1">
        <w:rPr>
          <w:rFonts w:ascii="Arial" w:hAnsi="Arial" w:cs="Arial"/>
          <w:color w:val="222222"/>
          <w:shd w:val="clear" w:color="auto" w:fill="FFFFFF"/>
        </w:rPr>
        <w:t>Zhu</w:t>
      </w:r>
      <w:bookmarkEnd w:id="22"/>
      <w:r w:rsidRPr="00942EB1">
        <w:rPr>
          <w:rFonts w:ascii="Arial" w:hAnsi="Arial" w:cs="Arial"/>
          <w:color w:val="222222"/>
          <w:shd w:val="clear" w:color="auto" w:fill="FFFFFF"/>
        </w:rPr>
        <w:t>, D.H., Zhang, Z.J., Chang, Y.P. and Liang, S., 2019. Good discounts earn good reviews in return? Effects of price promotion on online restaurant reviews. </w:t>
      </w:r>
      <w:r w:rsidRPr="00942EB1">
        <w:rPr>
          <w:rFonts w:ascii="Arial" w:hAnsi="Arial" w:cs="Arial"/>
          <w:i/>
          <w:iCs/>
          <w:color w:val="222222"/>
          <w:shd w:val="clear" w:color="auto" w:fill="FFFFFF"/>
        </w:rPr>
        <w:t>International Journal of Hospitality Management</w:t>
      </w:r>
      <w:r w:rsidRPr="00942EB1">
        <w:rPr>
          <w:rFonts w:ascii="Arial" w:hAnsi="Arial" w:cs="Arial"/>
          <w:color w:val="222222"/>
          <w:shd w:val="clear" w:color="auto" w:fill="FFFFFF"/>
        </w:rPr>
        <w:t>, </w:t>
      </w:r>
      <w:r w:rsidRPr="00942EB1">
        <w:rPr>
          <w:rFonts w:ascii="Arial" w:hAnsi="Arial" w:cs="Arial"/>
          <w:i/>
          <w:iCs/>
          <w:color w:val="222222"/>
          <w:shd w:val="clear" w:color="auto" w:fill="FFFFFF"/>
        </w:rPr>
        <w:t>77</w:t>
      </w:r>
      <w:r w:rsidRPr="00942EB1">
        <w:rPr>
          <w:rFonts w:ascii="Arial" w:hAnsi="Arial" w:cs="Arial"/>
          <w:color w:val="222222"/>
          <w:shd w:val="clear" w:color="auto" w:fill="FFFFFF"/>
        </w:rPr>
        <w:t>, pp.178-186.</w:t>
      </w:r>
      <w:r w:rsidRPr="00942EB1">
        <w:rPr>
          <w:rFonts w:ascii="Arial" w:hAnsi="Arial" w:cs="Arial"/>
        </w:rPr>
        <w:t xml:space="preserve"> </w:t>
      </w:r>
      <w:hyperlink r:id="rId23" w:history="1">
        <w:r w:rsidRPr="00942EB1">
          <w:rPr>
            <w:rStyle w:val="Hyperlink"/>
            <w:rFonts w:ascii="Arial" w:hAnsi="Arial" w:cs="Arial"/>
            <w:shd w:val="clear" w:color="auto" w:fill="FFFFFF"/>
          </w:rPr>
          <w:t>https://doi.org/10.1016/j.ijhm.2018.06.028</w:t>
        </w:r>
      </w:hyperlink>
    </w:p>
    <w:p w14:paraId="5D96A3A6" w14:textId="77777777" w:rsidR="00701500" w:rsidRDefault="00701500" w:rsidP="00942EB1">
      <w:pPr>
        <w:spacing w:after="0" w:line="360" w:lineRule="auto"/>
        <w:rPr>
          <w:rFonts w:ascii="Arial" w:hAnsi="Arial" w:cs="Arial"/>
        </w:rPr>
      </w:pPr>
    </w:p>
    <w:p w14:paraId="4EFA730E" w14:textId="77777777" w:rsidR="00F723E9" w:rsidRDefault="00F723E9" w:rsidP="00942EB1">
      <w:pPr>
        <w:spacing w:after="0" w:line="360" w:lineRule="auto"/>
        <w:rPr>
          <w:rFonts w:ascii="Arial" w:hAnsi="Arial" w:cs="Arial"/>
        </w:rPr>
      </w:pPr>
    </w:p>
    <w:p w14:paraId="5F407D51" w14:textId="77777777" w:rsidR="00F723E9" w:rsidRDefault="00F723E9" w:rsidP="00942EB1">
      <w:pPr>
        <w:spacing w:after="0" w:line="360" w:lineRule="auto"/>
        <w:rPr>
          <w:rFonts w:ascii="Arial" w:hAnsi="Arial" w:cs="Arial"/>
        </w:rPr>
      </w:pPr>
    </w:p>
    <w:p w14:paraId="565B5A0F" w14:textId="77777777" w:rsidR="00F723E9" w:rsidRDefault="00F723E9" w:rsidP="00942EB1">
      <w:pPr>
        <w:spacing w:after="0" w:line="360" w:lineRule="auto"/>
        <w:rPr>
          <w:rFonts w:ascii="Arial" w:hAnsi="Arial" w:cs="Arial"/>
        </w:rPr>
      </w:pPr>
    </w:p>
    <w:p w14:paraId="11B7F018" w14:textId="77777777" w:rsidR="00F723E9" w:rsidRDefault="00F723E9" w:rsidP="00942EB1">
      <w:pPr>
        <w:spacing w:after="0" w:line="360" w:lineRule="auto"/>
        <w:rPr>
          <w:rFonts w:ascii="Arial" w:hAnsi="Arial" w:cs="Arial"/>
        </w:rPr>
      </w:pPr>
    </w:p>
    <w:p w14:paraId="215656AA" w14:textId="77777777" w:rsidR="00F723E9" w:rsidRDefault="00F723E9" w:rsidP="00942EB1">
      <w:pPr>
        <w:spacing w:after="0" w:line="360" w:lineRule="auto"/>
        <w:rPr>
          <w:rFonts w:ascii="Arial" w:hAnsi="Arial" w:cs="Arial"/>
        </w:rPr>
      </w:pPr>
    </w:p>
    <w:p w14:paraId="3AE340B0" w14:textId="77777777" w:rsidR="00F723E9" w:rsidRDefault="00F723E9" w:rsidP="00942EB1">
      <w:pPr>
        <w:spacing w:after="0" w:line="360" w:lineRule="auto"/>
        <w:rPr>
          <w:rFonts w:ascii="Arial" w:hAnsi="Arial" w:cs="Arial"/>
        </w:rPr>
      </w:pPr>
    </w:p>
    <w:p w14:paraId="0D541B8E" w14:textId="77777777" w:rsidR="00F723E9" w:rsidRDefault="00F723E9" w:rsidP="00942EB1">
      <w:pPr>
        <w:spacing w:after="0" w:line="360" w:lineRule="auto"/>
        <w:rPr>
          <w:rFonts w:ascii="Arial" w:hAnsi="Arial" w:cs="Arial"/>
        </w:rPr>
      </w:pPr>
    </w:p>
    <w:p w14:paraId="366AD06F" w14:textId="77777777" w:rsidR="00F723E9" w:rsidRDefault="00F723E9" w:rsidP="00942EB1">
      <w:pPr>
        <w:spacing w:after="0" w:line="360" w:lineRule="auto"/>
        <w:rPr>
          <w:rFonts w:ascii="Arial" w:hAnsi="Arial" w:cs="Arial"/>
        </w:rPr>
      </w:pPr>
    </w:p>
    <w:p w14:paraId="17909C1C" w14:textId="77777777" w:rsidR="00F723E9" w:rsidRDefault="00F723E9" w:rsidP="00942EB1">
      <w:pPr>
        <w:spacing w:after="0" w:line="360" w:lineRule="auto"/>
        <w:rPr>
          <w:rFonts w:ascii="Arial" w:hAnsi="Arial" w:cs="Arial"/>
        </w:rPr>
      </w:pPr>
    </w:p>
    <w:p w14:paraId="1B2E1145" w14:textId="77777777" w:rsidR="00F723E9" w:rsidRDefault="00F723E9" w:rsidP="00942EB1">
      <w:pPr>
        <w:spacing w:after="0" w:line="360" w:lineRule="auto"/>
        <w:rPr>
          <w:rFonts w:ascii="Arial" w:hAnsi="Arial" w:cs="Arial"/>
        </w:rPr>
      </w:pPr>
    </w:p>
    <w:p w14:paraId="6A29F955" w14:textId="77777777" w:rsidR="00F723E9" w:rsidRDefault="00F723E9" w:rsidP="00942EB1">
      <w:pPr>
        <w:spacing w:after="0" w:line="360" w:lineRule="auto"/>
        <w:rPr>
          <w:rFonts w:ascii="Arial" w:hAnsi="Arial" w:cs="Arial"/>
        </w:rPr>
      </w:pPr>
    </w:p>
    <w:p w14:paraId="63B167C4" w14:textId="77777777" w:rsidR="00F723E9" w:rsidRDefault="00F723E9" w:rsidP="00942EB1">
      <w:pPr>
        <w:spacing w:after="0" w:line="360" w:lineRule="auto"/>
        <w:rPr>
          <w:rFonts w:ascii="Arial" w:hAnsi="Arial" w:cs="Arial"/>
        </w:rPr>
      </w:pPr>
    </w:p>
    <w:p w14:paraId="5840F3DF" w14:textId="77777777" w:rsidR="00F723E9" w:rsidRDefault="00F723E9" w:rsidP="00942EB1">
      <w:pPr>
        <w:spacing w:after="0" w:line="360" w:lineRule="auto"/>
        <w:rPr>
          <w:rFonts w:ascii="Arial" w:hAnsi="Arial" w:cs="Arial"/>
        </w:rPr>
      </w:pPr>
    </w:p>
    <w:p w14:paraId="65C1AD1F" w14:textId="77777777" w:rsidR="00F723E9" w:rsidRDefault="00F723E9" w:rsidP="00942EB1">
      <w:pPr>
        <w:spacing w:after="0" w:line="360" w:lineRule="auto"/>
        <w:rPr>
          <w:rFonts w:ascii="Arial" w:hAnsi="Arial" w:cs="Arial"/>
        </w:rPr>
      </w:pPr>
    </w:p>
    <w:p w14:paraId="0253FDFA" w14:textId="77777777" w:rsidR="00F723E9" w:rsidRDefault="00F723E9" w:rsidP="00942EB1">
      <w:pPr>
        <w:spacing w:after="0" w:line="360" w:lineRule="auto"/>
        <w:rPr>
          <w:rFonts w:ascii="Arial" w:hAnsi="Arial" w:cs="Arial"/>
        </w:rPr>
      </w:pPr>
    </w:p>
    <w:p w14:paraId="083F512A" w14:textId="1C3C288C" w:rsidR="00F723E9" w:rsidRDefault="00AE4275" w:rsidP="00942EB1">
      <w:pPr>
        <w:spacing w:after="0" w:line="360" w:lineRule="auto"/>
        <w:rPr>
          <w:rFonts w:ascii="Arial" w:hAnsi="Arial" w:cs="Arial"/>
        </w:rPr>
      </w:pPr>
      <w:r>
        <w:rPr>
          <w:rFonts w:ascii="Arial" w:hAnsi="Arial" w:cs="Arial"/>
        </w:rPr>
        <w:lastRenderedPageBreak/>
        <w:t>Appendix</w:t>
      </w:r>
    </w:p>
    <w:p w14:paraId="6C4C45B0" w14:textId="77777777" w:rsidR="00F723E9" w:rsidRDefault="00F723E9" w:rsidP="00942EB1">
      <w:pPr>
        <w:spacing w:after="0" w:line="360" w:lineRule="auto"/>
        <w:rPr>
          <w:rFonts w:ascii="Arial" w:hAnsi="Arial" w:cs="Arial"/>
        </w:rPr>
      </w:pPr>
    </w:p>
    <w:p w14:paraId="2073A87C" w14:textId="77777777" w:rsidR="00F723E9" w:rsidRDefault="00F723E9" w:rsidP="00942EB1">
      <w:pPr>
        <w:spacing w:after="0" w:line="360" w:lineRule="auto"/>
        <w:rPr>
          <w:rFonts w:ascii="Arial" w:hAnsi="Arial" w:cs="Arial"/>
        </w:rPr>
      </w:pPr>
    </w:p>
    <w:p w14:paraId="52077F34" w14:textId="77777777" w:rsidR="00F723E9" w:rsidRDefault="00F723E9" w:rsidP="00942EB1">
      <w:pPr>
        <w:spacing w:after="0" w:line="360" w:lineRule="auto"/>
        <w:rPr>
          <w:rFonts w:ascii="Arial" w:hAnsi="Arial" w:cs="Arial"/>
        </w:rPr>
      </w:pPr>
    </w:p>
    <w:p w14:paraId="32449284" w14:textId="0EFD91D2" w:rsidR="00F723E9" w:rsidRDefault="00F723E9" w:rsidP="00942EB1">
      <w:pPr>
        <w:spacing w:after="0" w:line="360" w:lineRule="auto"/>
        <w:rPr>
          <w:rFonts w:ascii="Arial" w:hAnsi="Arial" w:cs="Arial"/>
        </w:rPr>
      </w:pPr>
      <w:r>
        <w:rPr>
          <w:rFonts w:ascii="Arial" w:hAnsi="Arial" w:cs="Arial"/>
          <w:noProof/>
          <w14:ligatures w14:val="standardContextual"/>
        </w:rPr>
        <w:drawing>
          <wp:inline distT="0" distB="0" distL="0" distR="0" wp14:anchorId="30CFE461" wp14:editId="5D7AA038">
            <wp:extent cx="6132786" cy="3893820"/>
            <wp:effectExtent l="0" t="0" r="1905" b="0"/>
            <wp:docPr id="1199875921"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875921" name="Picture 3" descr="A screenshot of a computer&#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132786" cy="3893820"/>
                    </a:xfrm>
                    <a:prstGeom prst="rect">
                      <a:avLst/>
                    </a:prstGeom>
                  </pic:spPr>
                </pic:pic>
              </a:graphicData>
            </a:graphic>
          </wp:inline>
        </w:drawing>
      </w:r>
    </w:p>
    <w:p w14:paraId="4EF4B150" w14:textId="77777777" w:rsidR="00F723E9" w:rsidRDefault="00F723E9" w:rsidP="00942EB1">
      <w:pPr>
        <w:spacing w:after="0" w:line="360" w:lineRule="auto"/>
        <w:rPr>
          <w:rFonts w:ascii="Arial" w:hAnsi="Arial" w:cs="Arial"/>
        </w:rPr>
      </w:pPr>
    </w:p>
    <w:p w14:paraId="56550BA2" w14:textId="77777777" w:rsidR="00F723E9" w:rsidRDefault="00F723E9" w:rsidP="00942EB1">
      <w:pPr>
        <w:spacing w:after="0" w:line="360" w:lineRule="auto"/>
        <w:rPr>
          <w:rFonts w:ascii="Arial" w:hAnsi="Arial" w:cs="Arial"/>
        </w:rPr>
      </w:pPr>
    </w:p>
    <w:p w14:paraId="424E2F34" w14:textId="656C02E7" w:rsidR="00F723E9" w:rsidRDefault="003172B5" w:rsidP="00942EB1">
      <w:pPr>
        <w:spacing w:after="0" w:line="360" w:lineRule="auto"/>
        <w:rPr>
          <w:rFonts w:ascii="Arial" w:hAnsi="Arial" w:cs="Arial"/>
        </w:rPr>
      </w:pPr>
      <w:r>
        <w:rPr>
          <w:rFonts w:ascii="Arial" w:hAnsi="Arial" w:cs="Arial"/>
        </w:rPr>
        <w:t xml:space="preserve">   </w:t>
      </w:r>
    </w:p>
    <w:p w14:paraId="68700212" w14:textId="77777777" w:rsidR="003172B5" w:rsidRDefault="003172B5" w:rsidP="00942EB1">
      <w:pPr>
        <w:spacing w:after="0" w:line="360" w:lineRule="auto"/>
        <w:rPr>
          <w:rFonts w:ascii="Arial" w:hAnsi="Arial" w:cs="Arial"/>
        </w:rPr>
      </w:pPr>
    </w:p>
    <w:p w14:paraId="69CD4B05" w14:textId="77777777" w:rsidR="003172B5" w:rsidRDefault="003172B5" w:rsidP="00942EB1">
      <w:pPr>
        <w:spacing w:after="0" w:line="360" w:lineRule="auto"/>
        <w:rPr>
          <w:rFonts w:ascii="Arial" w:hAnsi="Arial" w:cs="Arial"/>
        </w:rPr>
      </w:pPr>
    </w:p>
    <w:p w14:paraId="0EDC4E5B" w14:textId="77777777" w:rsidR="003172B5" w:rsidRDefault="003172B5" w:rsidP="00942EB1">
      <w:pPr>
        <w:spacing w:after="0" w:line="360" w:lineRule="auto"/>
        <w:rPr>
          <w:rFonts w:ascii="Arial" w:hAnsi="Arial" w:cs="Arial"/>
        </w:rPr>
      </w:pPr>
    </w:p>
    <w:p w14:paraId="61BD7625" w14:textId="77777777" w:rsidR="003172B5" w:rsidRDefault="003172B5" w:rsidP="00942EB1">
      <w:pPr>
        <w:spacing w:after="0" w:line="360" w:lineRule="auto"/>
        <w:rPr>
          <w:rFonts w:ascii="Arial" w:hAnsi="Arial" w:cs="Arial"/>
        </w:rPr>
      </w:pPr>
    </w:p>
    <w:p w14:paraId="53987358" w14:textId="77777777" w:rsidR="003172B5" w:rsidRDefault="003172B5" w:rsidP="00942EB1">
      <w:pPr>
        <w:spacing w:after="0" w:line="360" w:lineRule="auto"/>
        <w:rPr>
          <w:rFonts w:ascii="Arial" w:hAnsi="Arial" w:cs="Arial"/>
        </w:rPr>
      </w:pPr>
    </w:p>
    <w:p w14:paraId="4FF78B32" w14:textId="77777777" w:rsidR="003172B5" w:rsidRDefault="003172B5" w:rsidP="00942EB1">
      <w:pPr>
        <w:spacing w:after="0" w:line="360" w:lineRule="auto"/>
        <w:rPr>
          <w:rFonts w:ascii="Arial" w:hAnsi="Arial" w:cs="Arial"/>
        </w:rPr>
      </w:pPr>
    </w:p>
    <w:p w14:paraId="367C1309" w14:textId="77777777" w:rsidR="003172B5" w:rsidRDefault="003172B5" w:rsidP="00942EB1">
      <w:pPr>
        <w:spacing w:after="0" w:line="360" w:lineRule="auto"/>
        <w:rPr>
          <w:rFonts w:ascii="Arial" w:hAnsi="Arial" w:cs="Arial"/>
        </w:rPr>
      </w:pPr>
    </w:p>
    <w:p w14:paraId="5C4FA482" w14:textId="69766EC4" w:rsidR="00F723E9" w:rsidRPr="00942EB1" w:rsidRDefault="00F723E9" w:rsidP="00942EB1">
      <w:pPr>
        <w:spacing w:after="0" w:line="360" w:lineRule="auto"/>
        <w:rPr>
          <w:rFonts w:ascii="Arial" w:hAnsi="Arial" w:cs="Arial"/>
        </w:rPr>
      </w:pPr>
    </w:p>
    <w:p w14:paraId="5D96A3A7" w14:textId="601A9E5A" w:rsidR="00BA7C4D" w:rsidRPr="00942EB1" w:rsidRDefault="00110AE5" w:rsidP="00942EB1">
      <w:pPr>
        <w:spacing w:after="0" w:line="360" w:lineRule="auto"/>
        <w:rPr>
          <w:rFonts w:ascii="Arial" w:hAnsi="Arial" w:cs="Arial"/>
        </w:rPr>
      </w:pPr>
      <w:r>
        <w:rPr>
          <w:rFonts w:ascii="Arial" w:hAnsi="Arial" w:cs="Arial"/>
          <w:noProof/>
          <w14:ligatures w14:val="standardContextual"/>
        </w:rPr>
        <w:lastRenderedPageBreak/>
        <w:drawing>
          <wp:inline distT="0" distB="0" distL="0" distR="0" wp14:anchorId="7839BDE1" wp14:editId="1A24DC55">
            <wp:extent cx="3703320" cy="8229600"/>
            <wp:effectExtent l="0" t="0" r="0" b="0"/>
            <wp:docPr id="1191513680" name="Picture 4"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513680" name="Picture 4" descr="A screenshot of a phone&#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703320" cy="8229600"/>
                    </a:xfrm>
                    <a:prstGeom prst="rect">
                      <a:avLst/>
                    </a:prstGeom>
                  </pic:spPr>
                </pic:pic>
              </a:graphicData>
            </a:graphic>
          </wp:inline>
        </w:drawing>
      </w:r>
    </w:p>
    <w:sectPr w:rsidR="00BA7C4D" w:rsidRPr="00942EB1" w:rsidSect="000F38F6">
      <w:headerReference w:type="default" r:id="rId26"/>
      <w:headerReference w:type="first" r:id="rId27"/>
      <w:pgSz w:w="12240" w:h="15840" w:code="1"/>
      <w:pgMar w:top="1440" w:right="1440" w:bottom="1440" w:left="1440"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15159F" w14:textId="77777777" w:rsidR="000F38F6" w:rsidRDefault="000F38F6" w:rsidP="009061E4">
      <w:pPr>
        <w:spacing w:after="0" w:line="240" w:lineRule="auto"/>
      </w:pPr>
      <w:r>
        <w:separator/>
      </w:r>
    </w:p>
  </w:endnote>
  <w:endnote w:type="continuationSeparator" w:id="0">
    <w:p w14:paraId="3D2CF959" w14:textId="77777777" w:rsidR="000F38F6" w:rsidRDefault="000F38F6" w:rsidP="00906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54B898" w14:textId="77777777" w:rsidR="000F38F6" w:rsidRDefault="000F38F6" w:rsidP="009061E4">
      <w:pPr>
        <w:spacing w:after="0" w:line="240" w:lineRule="auto"/>
      </w:pPr>
      <w:r>
        <w:separator/>
      </w:r>
    </w:p>
  </w:footnote>
  <w:footnote w:type="continuationSeparator" w:id="0">
    <w:p w14:paraId="4B4ACC42" w14:textId="77777777" w:rsidR="000F38F6" w:rsidRDefault="000F38F6" w:rsidP="009061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9591344"/>
      <w:docPartObj>
        <w:docPartGallery w:val="Page Numbers (Top of Page)"/>
        <w:docPartUnique/>
      </w:docPartObj>
    </w:sdtPr>
    <w:sdtEndPr>
      <w:rPr>
        <w:noProof/>
      </w:rPr>
    </w:sdtEndPr>
    <w:sdtContent>
      <w:p w14:paraId="5D96A3AC" w14:textId="77777777" w:rsidR="00565CB8" w:rsidRDefault="00565CB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D96A3AD" w14:textId="783D8219" w:rsidR="00565CB8" w:rsidRDefault="00565C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9252261"/>
      <w:docPartObj>
        <w:docPartGallery w:val="Page Numbers (Top of Page)"/>
        <w:docPartUnique/>
      </w:docPartObj>
    </w:sdtPr>
    <w:sdtEndPr>
      <w:rPr>
        <w:noProof/>
      </w:rPr>
    </w:sdtEndPr>
    <w:sdtContent>
      <w:p w14:paraId="5D96A3AE" w14:textId="77777777" w:rsidR="009061E4" w:rsidRDefault="009061E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D96A3AF" w14:textId="60DD2D91" w:rsidR="009061E4" w:rsidRDefault="009061E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2BD"/>
    <w:rsid w:val="0001059D"/>
    <w:rsid w:val="000145F7"/>
    <w:rsid w:val="00020FC8"/>
    <w:rsid w:val="0002135B"/>
    <w:rsid w:val="00033B3A"/>
    <w:rsid w:val="00033D92"/>
    <w:rsid w:val="00033F41"/>
    <w:rsid w:val="000368E3"/>
    <w:rsid w:val="00046BE2"/>
    <w:rsid w:val="00050F02"/>
    <w:rsid w:val="00051905"/>
    <w:rsid w:val="000519DE"/>
    <w:rsid w:val="00051B8F"/>
    <w:rsid w:val="00051D0E"/>
    <w:rsid w:val="00061A3B"/>
    <w:rsid w:val="00061FFD"/>
    <w:rsid w:val="0007438B"/>
    <w:rsid w:val="00075C8A"/>
    <w:rsid w:val="000800A5"/>
    <w:rsid w:val="00080AB9"/>
    <w:rsid w:val="00085070"/>
    <w:rsid w:val="0009024E"/>
    <w:rsid w:val="00094EAD"/>
    <w:rsid w:val="00095561"/>
    <w:rsid w:val="000A2AAD"/>
    <w:rsid w:val="000C24D3"/>
    <w:rsid w:val="000D0BEA"/>
    <w:rsid w:val="000D2CCC"/>
    <w:rsid w:val="000D5D83"/>
    <w:rsid w:val="000D7C71"/>
    <w:rsid w:val="000E0763"/>
    <w:rsid w:val="000E5F2C"/>
    <w:rsid w:val="000F0663"/>
    <w:rsid w:val="000F2A1D"/>
    <w:rsid w:val="000F38F6"/>
    <w:rsid w:val="000F7EA5"/>
    <w:rsid w:val="00104045"/>
    <w:rsid w:val="001052BA"/>
    <w:rsid w:val="00110AE5"/>
    <w:rsid w:val="00112FA5"/>
    <w:rsid w:val="001205AE"/>
    <w:rsid w:val="00120EFE"/>
    <w:rsid w:val="00121D55"/>
    <w:rsid w:val="001239FD"/>
    <w:rsid w:val="001252CE"/>
    <w:rsid w:val="0014141F"/>
    <w:rsid w:val="00145A3E"/>
    <w:rsid w:val="00147CF5"/>
    <w:rsid w:val="00156AF2"/>
    <w:rsid w:val="00160698"/>
    <w:rsid w:val="001636D7"/>
    <w:rsid w:val="00166B86"/>
    <w:rsid w:val="0016779B"/>
    <w:rsid w:val="00174C7C"/>
    <w:rsid w:val="0017571B"/>
    <w:rsid w:val="00183147"/>
    <w:rsid w:val="001874FB"/>
    <w:rsid w:val="0019143C"/>
    <w:rsid w:val="00192F30"/>
    <w:rsid w:val="00195AAD"/>
    <w:rsid w:val="001A665D"/>
    <w:rsid w:val="001B6440"/>
    <w:rsid w:val="001C0D06"/>
    <w:rsid w:val="001C3D7D"/>
    <w:rsid w:val="001C4C65"/>
    <w:rsid w:val="001C7386"/>
    <w:rsid w:val="001E176A"/>
    <w:rsid w:val="001E67AC"/>
    <w:rsid w:val="001F26C6"/>
    <w:rsid w:val="001F2AF1"/>
    <w:rsid w:val="001F776A"/>
    <w:rsid w:val="00221F5D"/>
    <w:rsid w:val="0022364A"/>
    <w:rsid w:val="002309CC"/>
    <w:rsid w:val="002316EA"/>
    <w:rsid w:val="00233541"/>
    <w:rsid w:val="00235CAB"/>
    <w:rsid w:val="00235DDA"/>
    <w:rsid w:val="0023642A"/>
    <w:rsid w:val="00243088"/>
    <w:rsid w:val="00243126"/>
    <w:rsid w:val="00244928"/>
    <w:rsid w:val="00245CA7"/>
    <w:rsid w:val="00251006"/>
    <w:rsid w:val="00255915"/>
    <w:rsid w:val="002563DA"/>
    <w:rsid w:val="002640C7"/>
    <w:rsid w:val="00266EA5"/>
    <w:rsid w:val="002733BF"/>
    <w:rsid w:val="00277523"/>
    <w:rsid w:val="002806C9"/>
    <w:rsid w:val="002814C3"/>
    <w:rsid w:val="00282458"/>
    <w:rsid w:val="00283160"/>
    <w:rsid w:val="002913EA"/>
    <w:rsid w:val="002924CC"/>
    <w:rsid w:val="00295DE1"/>
    <w:rsid w:val="002A2481"/>
    <w:rsid w:val="002A61DD"/>
    <w:rsid w:val="002B424E"/>
    <w:rsid w:val="002B4D7F"/>
    <w:rsid w:val="002B6D7B"/>
    <w:rsid w:val="002C69D5"/>
    <w:rsid w:val="002D3A63"/>
    <w:rsid w:val="002F1511"/>
    <w:rsid w:val="002F455F"/>
    <w:rsid w:val="002F575A"/>
    <w:rsid w:val="00300C74"/>
    <w:rsid w:val="003020C3"/>
    <w:rsid w:val="00302B4F"/>
    <w:rsid w:val="003032AD"/>
    <w:rsid w:val="0030534A"/>
    <w:rsid w:val="0030675E"/>
    <w:rsid w:val="00306CFE"/>
    <w:rsid w:val="00310856"/>
    <w:rsid w:val="003132C8"/>
    <w:rsid w:val="003172B5"/>
    <w:rsid w:val="00326DC5"/>
    <w:rsid w:val="003279B3"/>
    <w:rsid w:val="003323D7"/>
    <w:rsid w:val="00332F80"/>
    <w:rsid w:val="00333228"/>
    <w:rsid w:val="00335F1F"/>
    <w:rsid w:val="00344B57"/>
    <w:rsid w:val="00345812"/>
    <w:rsid w:val="00347F5B"/>
    <w:rsid w:val="0035008C"/>
    <w:rsid w:val="0035189C"/>
    <w:rsid w:val="00351AB1"/>
    <w:rsid w:val="00356E7B"/>
    <w:rsid w:val="00363F6D"/>
    <w:rsid w:val="00365067"/>
    <w:rsid w:val="0037763D"/>
    <w:rsid w:val="00377E37"/>
    <w:rsid w:val="00390B8D"/>
    <w:rsid w:val="0039492F"/>
    <w:rsid w:val="00395D48"/>
    <w:rsid w:val="003A00F9"/>
    <w:rsid w:val="003A59F9"/>
    <w:rsid w:val="003B04FC"/>
    <w:rsid w:val="003B24ED"/>
    <w:rsid w:val="003B2893"/>
    <w:rsid w:val="003B467D"/>
    <w:rsid w:val="003C1D12"/>
    <w:rsid w:val="003C55FA"/>
    <w:rsid w:val="003D0A97"/>
    <w:rsid w:val="003D24AE"/>
    <w:rsid w:val="003D56E8"/>
    <w:rsid w:val="003D7F5A"/>
    <w:rsid w:val="003E3FCF"/>
    <w:rsid w:val="003E4D19"/>
    <w:rsid w:val="003E5DEA"/>
    <w:rsid w:val="003E7567"/>
    <w:rsid w:val="003F0031"/>
    <w:rsid w:val="003F0E42"/>
    <w:rsid w:val="003F60F5"/>
    <w:rsid w:val="0040048D"/>
    <w:rsid w:val="00400A0A"/>
    <w:rsid w:val="004012E2"/>
    <w:rsid w:val="00402736"/>
    <w:rsid w:val="00410FC9"/>
    <w:rsid w:val="004112AF"/>
    <w:rsid w:val="00412DFF"/>
    <w:rsid w:val="00413FD2"/>
    <w:rsid w:val="004141F8"/>
    <w:rsid w:val="00416A1B"/>
    <w:rsid w:val="00417508"/>
    <w:rsid w:val="004178EC"/>
    <w:rsid w:val="00433309"/>
    <w:rsid w:val="004356B9"/>
    <w:rsid w:val="00436387"/>
    <w:rsid w:val="00441445"/>
    <w:rsid w:val="00444419"/>
    <w:rsid w:val="0044485A"/>
    <w:rsid w:val="004453DD"/>
    <w:rsid w:val="00452FBB"/>
    <w:rsid w:val="004531C2"/>
    <w:rsid w:val="004531D6"/>
    <w:rsid w:val="004604D7"/>
    <w:rsid w:val="00461706"/>
    <w:rsid w:val="00461FFA"/>
    <w:rsid w:val="00463618"/>
    <w:rsid w:val="0047089F"/>
    <w:rsid w:val="00470E24"/>
    <w:rsid w:val="004716C5"/>
    <w:rsid w:val="00473C16"/>
    <w:rsid w:val="00486E09"/>
    <w:rsid w:val="0048753B"/>
    <w:rsid w:val="00494A9F"/>
    <w:rsid w:val="00496071"/>
    <w:rsid w:val="004A1390"/>
    <w:rsid w:val="004A2670"/>
    <w:rsid w:val="004A405B"/>
    <w:rsid w:val="004A4A79"/>
    <w:rsid w:val="004B0525"/>
    <w:rsid w:val="004B3BC8"/>
    <w:rsid w:val="004B4164"/>
    <w:rsid w:val="004B5D94"/>
    <w:rsid w:val="004B6C54"/>
    <w:rsid w:val="004D1EBF"/>
    <w:rsid w:val="004D2695"/>
    <w:rsid w:val="004D328A"/>
    <w:rsid w:val="004D5793"/>
    <w:rsid w:val="004E0E62"/>
    <w:rsid w:val="004E672E"/>
    <w:rsid w:val="004E676A"/>
    <w:rsid w:val="004E72BD"/>
    <w:rsid w:val="004E7DBF"/>
    <w:rsid w:val="004F1C26"/>
    <w:rsid w:val="004F4AD5"/>
    <w:rsid w:val="004F5FF7"/>
    <w:rsid w:val="00500CFA"/>
    <w:rsid w:val="0050276D"/>
    <w:rsid w:val="00503BA2"/>
    <w:rsid w:val="00505992"/>
    <w:rsid w:val="00510D85"/>
    <w:rsid w:val="00514856"/>
    <w:rsid w:val="0052296B"/>
    <w:rsid w:val="00531C15"/>
    <w:rsid w:val="00533BF3"/>
    <w:rsid w:val="005343D7"/>
    <w:rsid w:val="0054354B"/>
    <w:rsid w:val="00543AEE"/>
    <w:rsid w:val="00543D3F"/>
    <w:rsid w:val="00551CDD"/>
    <w:rsid w:val="0055302E"/>
    <w:rsid w:val="0055430C"/>
    <w:rsid w:val="005551DB"/>
    <w:rsid w:val="00555944"/>
    <w:rsid w:val="005561E2"/>
    <w:rsid w:val="00565CB8"/>
    <w:rsid w:val="00567589"/>
    <w:rsid w:val="00570ABE"/>
    <w:rsid w:val="0057285B"/>
    <w:rsid w:val="00573729"/>
    <w:rsid w:val="00574113"/>
    <w:rsid w:val="005822FB"/>
    <w:rsid w:val="00586607"/>
    <w:rsid w:val="00586E84"/>
    <w:rsid w:val="00592DC0"/>
    <w:rsid w:val="005A0AB4"/>
    <w:rsid w:val="005A3862"/>
    <w:rsid w:val="005A72D9"/>
    <w:rsid w:val="005A7A78"/>
    <w:rsid w:val="005B26B8"/>
    <w:rsid w:val="005D33E4"/>
    <w:rsid w:val="005D4C01"/>
    <w:rsid w:val="005D534C"/>
    <w:rsid w:val="005D6BD0"/>
    <w:rsid w:val="005E06BA"/>
    <w:rsid w:val="005E55D6"/>
    <w:rsid w:val="005E5FFD"/>
    <w:rsid w:val="005E7A38"/>
    <w:rsid w:val="005F21D0"/>
    <w:rsid w:val="005F68DC"/>
    <w:rsid w:val="006019E7"/>
    <w:rsid w:val="0061714D"/>
    <w:rsid w:val="006172EE"/>
    <w:rsid w:val="00621212"/>
    <w:rsid w:val="0062436D"/>
    <w:rsid w:val="00624B20"/>
    <w:rsid w:val="00626F10"/>
    <w:rsid w:val="00631EDB"/>
    <w:rsid w:val="00645153"/>
    <w:rsid w:val="00650615"/>
    <w:rsid w:val="00654E47"/>
    <w:rsid w:val="006579F3"/>
    <w:rsid w:val="00657AEA"/>
    <w:rsid w:val="00661B23"/>
    <w:rsid w:val="0066356E"/>
    <w:rsid w:val="00664B69"/>
    <w:rsid w:val="006650C5"/>
    <w:rsid w:val="00667BC8"/>
    <w:rsid w:val="006714F2"/>
    <w:rsid w:val="006726A0"/>
    <w:rsid w:val="006747F8"/>
    <w:rsid w:val="00675613"/>
    <w:rsid w:val="00686CDA"/>
    <w:rsid w:val="006871E5"/>
    <w:rsid w:val="006900D6"/>
    <w:rsid w:val="00696006"/>
    <w:rsid w:val="0069683F"/>
    <w:rsid w:val="00697386"/>
    <w:rsid w:val="006A2D70"/>
    <w:rsid w:val="006A4928"/>
    <w:rsid w:val="006A6702"/>
    <w:rsid w:val="006A7A4A"/>
    <w:rsid w:val="006B25FE"/>
    <w:rsid w:val="006B4360"/>
    <w:rsid w:val="006B4AB3"/>
    <w:rsid w:val="006B5E2C"/>
    <w:rsid w:val="006C1558"/>
    <w:rsid w:val="006C41BF"/>
    <w:rsid w:val="006C437B"/>
    <w:rsid w:val="006C58C0"/>
    <w:rsid w:val="006D30F1"/>
    <w:rsid w:val="006D437D"/>
    <w:rsid w:val="006D4414"/>
    <w:rsid w:val="006D4FAB"/>
    <w:rsid w:val="006D58A5"/>
    <w:rsid w:val="006E0000"/>
    <w:rsid w:val="006F0652"/>
    <w:rsid w:val="006F0A0B"/>
    <w:rsid w:val="006F5C97"/>
    <w:rsid w:val="00701417"/>
    <w:rsid w:val="00701500"/>
    <w:rsid w:val="00701710"/>
    <w:rsid w:val="007020A1"/>
    <w:rsid w:val="007041B2"/>
    <w:rsid w:val="00706FB4"/>
    <w:rsid w:val="00711CF3"/>
    <w:rsid w:val="00714649"/>
    <w:rsid w:val="00714E83"/>
    <w:rsid w:val="00716626"/>
    <w:rsid w:val="00720B8C"/>
    <w:rsid w:val="00727B67"/>
    <w:rsid w:val="00735226"/>
    <w:rsid w:val="00736DAB"/>
    <w:rsid w:val="007405AD"/>
    <w:rsid w:val="00753CEA"/>
    <w:rsid w:val="00755052"/>
    <w:rsid w:val="007559CA"/>
    <w:rsid w:val="00755D03"/>
    <w:rsid w:val="007614C0"/>
    <w:rsid w:val="007624C1"/>
    <w:rsid w:val="00764101"/>
    <w:rsid w:val="007677E5"/>
    <w:rsid w:val="00775784"/>
    <w:rsid w:val="00786CDE"/>
    <w:rsid w:val="0079419D"/>
    <w:rsid w:val="007A313C"/>
    <w:rsid w:val="007A6A08"/>
    <w:rsid w:val="007B2A59"/>
    <w:rsid w:val="007B5241"/>
    <w:rsid w:val="007B5656"/>
    <w:rsid w:val="007D026D"/>
    <w:rsid w:val="007D23A0"/>
    <w:rsid w:val="007E4C72"/>
    <w:rsid w:val="007F1B3D"/>
    <w:rsid w:val="007F1BBD"/>
    <w:rsid w:val="007F35EB"/>
    <w:rsid w:val="007F5624"/>
    <w:rsid w:val="007F6813"/>
    <w:rsid w:val="007F698D"/>
    <w:rsid w:val="007F7305"/>
    <w:rsid w:val="00802B40"/>
    <w:rsid w:val="008053B9"/>
    <w:rsid w:val="00810E5D"/>
    <w:rsid w:val="00814181"/>
    <w:rsid w:val="00816F64"/>
    <w:rsid w:val="00817D81"/>
    <w:rsid w:val="00825A83"/>
    <w:rsid w:val="008272B0"/>
    <w:rsid w:val="00841AEC"/>
    <w:rsid w:val="00847A10"/>
    <w:rsid w:val="00851405"/>
    <w:rsid w:val="00852E1E"/>
    <w:rsid w:val="00860F50"/>
    <w:rsid w:val="00861A6A"/>
    <w:rsid w:val="008625EF"/>
    <w:rsid w:val="008642CA"/>
    <w:rsid w:val="00866BB9"/>
    <w:rsid w:val="00873412"/>
    <w:rsid w:val="008736B5"/>
    <w:rsid w:val="00877D4A"/>
    <w:rsid w:val="00882CBE"/>
    <w:rsid w:val="00890FD1"/>
    <w:rsid w:val="008A36B4"/>
    <w:rsid w:val="008B4E82"/>
    <w:rsid w:val="008C4727"/>
    <w:rsid w:val="008C4E88"/>
    <w:rsid w:val="008C79D3"/>
    <w:rsid w:val="008D5AAB"/>
    <w:rsid w:val="008D5CA9"/>
    <w:rsid w:val="008E6A0C"/>
    <w:rsid w:val="008F17DD"/>
    <w:rsid w:val="008F1A10"/>
    <w:rsid w:val="008F252E"/>
    <w:rsid w:val="008F3A10"/>
    <w:rsid w:val="009024F0"/>
    <w:rsid w:val="00905D75"/>
    <w:rsid w:val="009061E4"/>
    <w:rsid w:val="0090789E"/>
    <w:rsid w:val="00910B47"/>
    <w:rsid w:val="009129D0"/>
    <w:rsid w:val="00914214"/>
    <w:rsid w:val="00914AF7"/>
    <w:rsid w:val="0092416D"/>
    <w:rsid w:val="0092633B"/>
    <w:rsid w:val="0093284B"/>
    <w:rsid w:val="00934507"/>
    <w:rsid w:val="00942EB1"/>
    <w:rsid w:val="009510C3"/>
    <w:rsid w:val="00965D4C"/>
    <w:rsid w:val="00977A5F"/>
    <w:rsid w:val="009806F4"/>
    <w:rsid w:val="009A0A0F"/>
    <w:rsid w:val="009A1773"/>
    <w:rsid w:val="009A66C5"/>
    <w:rsid w:val="009A6E8D"/>
    <w:rsid w:val="009B0460"/>
    <w:rsid w:val="009C6C7D"/>
    <w:rsid w:val="009D1CED"/>
    <w:rsid w:val="009D37AD"/>
    <w:rsid w:val="009D5114"/>
    <w:rsid w:val="009D6962"/>
    <w:rsid w:val="009E2D96"/>
    <w:rsid w:val="009F2E53"/>
    <w:rsid w:val="009F5A15"/>
    <w:rsid w:val="009F61F2"/>
    <w:rsid w:val="00A144E2"/>
    <w:rsid w:val="00A2011B"/>
    <w:rsid w:val="00A2129C"/>
    <w:rsid w:val="00A23C9E"/>
    <w:rsid w:val="00A26FFD"/>
    <w:rsid w:val="00A2735E"/>
    <w:rsid w:val="00A314C0"/>
    <w:rsid w:val="00A43F73"/>
    <w:rsid w:val="00A4565C"/>
    <w:rsid w:val="00A45CB2"/>
    <w:rsid w:val="00A53562"/>
    <w:rsid w:val="00A571EE"/>
    <w:rsid w:val="00A61735"/>
    <w:rsid w:val="00A75482"/>
    <w:rsid w:val="00A772E0"/>
    <w:rsid w:val="00A80639"/>
    <w:rsid w:val="00A82CEE"/>
    <w:rsid w:val="00A87576"/>
    <w:rsid w:val="00A87729"/>
    <w:rsid w:val="00A87817"/>
    <w:rsid w:val="00A95AB9"/>
    <w:rsid w:val="00AA17A2"/>
    <w:rsid w:val="00AA6F91"/>
    <w:rsid w:val="00AB5B32"/>
    <w:rsid w:val="00AC3D80"/>
    <w:rsid w:val="00AC465A"/>
    <w:rsid w:val="00AC67BB"/>
    <w:rsid w:val="00AD0F27"/>
    <w:rsid w:val="00AD5693"/>
    <w:rsid w:val="00AD76ED"/>
    <w:rsid w:val="00AD77CA"/>
    <w:rsid w:val="00AE1A01"/>
    <w:rsid w:val="00AE1DCE"/>
    <w:rsid w:val="00AE3733"/>
    <w:rsid w:val="00AE4275"/>
    <w:rsid w:val="00AF1BBF"/>
    <w:rsid w:val="00AF591A"/>
    <w:rsid w:val="00B028D0"/>
    <w:rsid w:val="00B102D6"/>
    <w:rsid w:val="00B15F01"/>
    <w:rsid w:val="00B448FA"/>
    <w:rsid w:val="00B46020"/>
    <w:rsid w:val="00B50D10"/>
    <w:rsid w:val="00B54E2E"/>
    <w:rsid w:val="00B55135"/>
    <w:rsid w:val="00B638C7"/>
    <w:rsid w:val="00B63C2B"/>
    <w:rsid w:val="00B70F8A"/>
    <w:rsid w:val="00B77AAB"/>
    <w:rsid w:val="00B8356A"/>
    <w:rsid w:val="00B84FA8"/>
    <w:rsid w:val="00B84FCC"/>
    <w:rsid w:val="00B85909"/>
    <w:rsid w:val="00B87922"/>
    <w:rsid w:val="00B910E1"/>
    <w:rsid w:val="00BA69C5"/>
    <w:rsid w:val="00BA7C4D"/>
    <w:rsid w:val="00BB7302"/>
    <w:rsid w:val="00BB7AEE"/>
    <w:rsid w:val="00BC12D5"/>
    <w:rsid w:val="00BD6854"/>
    <w:rsid w:val="00BD6C3F"/>
    <w:rsid w:val="00BE07E1"/>
    <w:rsid w:val="00BE09BF"/>
    <w:rsid w:val="00BE0A98"/>
    <w:rsid w:val="00BE4283"/>
    <w:rsid w:val="00C00F56"/>
    <w:rsid w:val="00C02F12"/>
    <w:rsid w:val="00C138C3"/>
    <w:rsid w:val="00C1644B"/>
    <w:rsid w:val="00C23EF0"/>
    <w:rsid w:val="00C263FA"/>
    <w:rsid w:val="00C2782D"/>
    <w:rsid w:val="00C46B78"/>
    <w:rsid w:val="00C53F64"/>
    <w:rsid w:val="00C62A81"/>
    <w:rsid w:val="00C63B67"/>
    <w:rsid w:val="00C67F8D"/>
    <w:rsid w:val="00C7280F"/>
    <w:rsid w:val="00C7394E"/>
    <w:rsid w:val="00C74EB9"/>
    <w:rsid w:val="00C75FC1"/>
    <w:rsid w:val="00C76C7B"/>
    <w:rsid w:val="00C80D57"/>
    <w:rsid w:val="00C85704"/>
    <w:rsid w:val="00C8636C"/>
    <w:rsid w:val="00C931C0"/>
    <w:rsid w:val="00CA2AD0"/>
    <w:rsid w:val="00CA38A6"/>
    <w:rsid w:val="00CB526E"/>
    <w:rsid w:val="00CC5BF6"/>
    <w:rsid w:val="00CC7CEC"/>
    <w:rsid w:val="00CD2800"/>
    <w:rsid w:val="00CD2E74"/>
    <w:rsid w:val="00CE15E8"/>
    <w:rsid w:val="00CE20BC"/>
    <w:rsid w:val="00CF5A8F"/>
    <w:rsid w:val="00D00207"/>
    <w:rsid w:val="00D03D0A"/>
    <w:rsid w:val="00D1027C"/>
    <w:rsid w:val="00D103E8"/>
    <w:rsid w:val="00D12886"/>
    <w:rsid w:val="00D17911"/>
    <w:rsid w:val="00D25B4A"/>
    <w:rsid w:val="00D3386B"/>
    <w:rsid w:val="00D36E90"/>
    <w:rsid w:val="00D475CB"/>
    <w:rsid w:val="00D547E3"/>
    <w:rsid w:val="00D55E0F"/>
    <w:rsid w:val="00D5793D"/>
    <w:rsid w:val="00D602BB"/>
    <w:rsid w:val="00D61514"/>
    <w:rsid w:val="00D70667"/>
    <w:rsid w:val="00D72A64"/>
    <w:rsid w:val="00D736B8"/>
    <w:rsid w:val="00D81D26"/>
    <w:rsid w:val="00D82667"/>
    <w:rsid w:val="00D837C6"/>
    <w:rsid w:val="00D92284"/>
    <w:rsid w:val="00D96461"/>
    <w:rsid w:val="00D96D09"/>
    <w:rsid w:val="00D972CC"/>
    <w:rsid w:val="00DA087F"/>
    <w:rsid w:val="00DA3123"/>
    <w:rsid w:val="00DA31A0"/>
    <w:rsid w:val="00DA7E42"/>
    <w:rsid w:val="00DB11D5"/>
    <w:rsid w:val="00DB2CC7"/>
    <w:rsid w:val="00DB399D"/>
    <w:rsid w:val="00DC15C7"/>
    <w:rsid w:val="00DC436B"/>
    <w:rsid w:val="00DD0D29"/>
    <w:rsid w:val="00DD680F"/>
    <w:rsid w:val="00DD7EC4"/>
    <w:rsid w:val="00DE548E"/>
    <w:rsid w:val="00DF0E15"/>
    <w:rsid w:val="00DF19F0"/>
    <w:rsid w:val="00DF2663"/>
    <w:rsid w:val="00DF3117"/>
    <w:rsid w:val="00E07121"/>
    <w:rsid w:val="00E14F24"/>
    <w:rsid w:val="00E15809"/>
    <w:rsid w:val="00E200C0"/>
    <w:rsid w:val="00E22E29"/>
    <w:rsid w:val="00E24A1A"/>
    <w:rsid w:val="00E307C9"/>
    <w:rsid w:val="00E312B7"/>
    <w:rsid w:val="00E331F6"/>
    <w:rsid w:val="00E34B0E"/>
    <w:rsid w:val="00E36745"/>
    <w:rsid w:val="00E4084E"/>
    <w:rsid w:val="00E41D5E"/>
    <w:rsid w:val="00E45F16"/>
    <w:rsid w:val="00E6099D"/>
    <w:rsid w:val="00E6638D"/>
    <w:rsid w:val="00E7156C"/>
    <w:rsid w:val="00E71B36"/>
    <w:rsid w:val="00E7342B"/>
    <w:rsid w:val="00E7358E"/>
    <w:rsid w:val="00E8164E"/>
    <w:rsid w:val="00E82DF5"/>
    <w:rsid w:val="00E831E3"/>
    <w:rsid w:val="00E87DF0"/>
    <w:rsid w:val="00E9265C"/>
    <w:rsid w:val="00E92881"/>
    <w:rsid w:val="00E9324C"/>
    <w:rsid w:val="00E9356C"/>
    <w:rsid w:val="00E939F8"/>
    <w:rsid w:val="00E95D4E"/>
    <w:rsid w:val="00E96714"/>
    <w:rsid w:val="00EA0FD4"/>
    <w:rsid w:val="00EA3F16"/>
    <w:rsid w:val="00EA47DA"/>
    <w:rsid w:val="00EA4D9A"/>
    <w:rsid w:val="00EA7CB4"/>
    <w:rsid w:val="00EA7FD0"/>
    <w:rsid w:val="00EB0512"/>
    <w:rsid w:val="00EB3E87"/>
    <w:rsid w:val="00EC0FFB"/>
    <w:rsid w:val="00EC6D8F"/>
    <w:rsid w:val="00EC7279"/>
    <w:rsid w:val="00ED1FA6"/>
    <w:rsid w:val="00EE31A7"/>
    <w:rsid w:val="00EE743F"/>
    <w:rsid w:val="00EF3814"/>
    <w:rsid w:val="00EF4368"/>
    <w:rsid w:val="00EF4DFC"/>
    <w:rsid w:val="00F01AAA"/>
    <w:rsid w:val="00F02754"/>
    <w:rsid w:val="00F10D57"/>
    <w:rsid w:val="00F14BA1"/>
    <w:rsid w:val="00F22347"/>
    <w:rsid w:val="00F2347B"/>
    <w:rsid w:val="00F236B7"/>
    <w:rsid w:val="00F25264"/>
    <w:rsid w:val="00F27A10"/>
    <w:rsid w:val="00F34380"/>
    <w:rsid w:val="00F3505A"/>
    <w:rsid w:val="00F42090"/>
    <w:rsid w:val="00F44AB4"/>
    <w:rsid w:val="00F50C34"/>
    <w:rsid w:val="00F53581"/>
    <w:rsid w:val="00F57764"/>
    <w:rsid w:val="00F62029"/>
    <w:rsid w:val="00F6357D"/>
    <w:rsid w:val="00F63743"/>
    <w:rsid w:val="00F7019C"/>
    <w:rsid w:val="00F723E9"/>
    <w:rsid w:val="00F83901"/>
    <w:rsid w:val="00F8397C"/>
    <w:rsid w:val="00F90694"/>
    <w:rsid w:val="00F95E9D"/>
    <w:rsid w:val="00FA2788"/>
    <w:rsid w:val="00FB0978"/>
    <w:rsid w:val="00FB3082"/>
    <w:rsid w:val="00FB3977"/>
    <w:rsid w:val="00FB4FCC"/>
    <w:rsid w:val="00FB681D"/>
    <w:rsid w:val="00FC7868"/>
    <w:rsid w:val="00FD0198"/>
    <w:rsid w:val="00FD1E7D"/>
    <w:rsid w:val="00FE2868"/>
    <w:rsid w:val="00FE3438"/>
    <w:rsid w:val="00FE525C"/>
    <w:rsid w:val="00FF1BC9"/>
    <w:rsid w:val="00FF3A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6A36A"/>
  <w15:docId w15:val="{E18F5B7A-02C9-4CE2-8BD4-DEE14791C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72BD"/>
    <w:rPr>
      <w:kern w:val="0"/>
      <w:lang w:val="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6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1E4"/>
    <w:rPr>
      <w:kern w:val="0"/>
      <w:lang w:val="en-GB"/>
      <w14:ligatures w14:val="none"/>
    </w:rPr>
  </w:style>
  <w:style w:type="paragraph" w:styleId="Footer">
    <w:name w:val="footer"/>
    <w:basedOn w:val="Normal"/>
    <w:link w:val="FooterChar"/>
    <w:uiPriority w:val="99"/>
    <w:unhideWhenUsed/>
    <w:rsid w:val="00906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61E4"/>
    <w:rPr>
      <w:kern w:val="0"/>
      <w:lang w:val="en-GB"/>
      <w14:ligatures w14:val="none"/>
    </w:rPr>
  </w:style>
  <w:style w:type="paragraph" w:styleId="NormalWeb">
    <w:name w:val="Normal (Web)"/>
    <w:basedOn w:val="Normal"/>
    <w:uiPriority w:val="99"/>
    <w:semiHidden/>
    <w:unhideWhenUsed/>
    <w:rsid w:val="007624C1"/>
    <w:pPr>
      <w:spacing w:before="100" w:beforeAutospacing="1" w:after="100" w:afterAutospacing="1" w:line="240" w:lineRule="auto"/>
    </w:pPr>
    <w:rPr>
      <w:rFonts w:eastAsia="Times New Roman"/>
      <w:lang w:val="en-US"/>
    </w:rPr>
  </w:style>
  <w:style w:type="character" w:styleId="Strong">
    <w:name w:val="Strong"/>
    <w:basedOn w:val="DefaultParagraphFont"/>
    <w:uiPriority w:val="22"/>
    <w:qFormat/>
    <w:rsid w:val="007624C1"/>
    <w:rPr>
      <w:b/>
      <w:bCs/>
    </w:rPr>
  </w:style>
  <w:style w:type="character" w:styleId="Hyperlink">
    <w:name w:val="Hyperlink"/>
    <w:basedOn w:val="DefaultParagraphFont"/>
    <w:uiPriority w:val="99"/>
    <w:unhideWhenUsed/>
    <w:rsid w:val="00AD0F2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35227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21603/2308-4057-2023-1-559" TargetMode="External"/><Relationship Id="rId13" Type="http://schemas.openxmlformats.org/officeDocument/2006/relationships/hyperlink" Target="https://doi.org/10.1177/1096348019887202" TargetMode="External"/><Relationship Id="rId18" Type="http://schemas.openxmlformats.org/officeDocument/2006/relationships/hyperlink" Target="https://doi.org/10.1007/978-3-030-15681-7_2" TargetMode="External"/><Relationship Id="rId26"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hyperlink" Target="https://doi.org/10.1080/15378020.2022.2077088" TargetMode="External"/><Relationship Id="rId7" Type="http://schemas.openxmlformats.org/officeDocument/2006/relationships/hyperlink" Target="https://doi.org/10.1080/10963758.2018.1480959" TargetMode="External"/><Relationship Id="rId12" Type="http://schemas.openxmlformats.org/officeDocument/2006/relationships/hyperlink" Target="https://www.italianfoodnews.com/en/news/144-the-italian-culinary-industry-a-worth-of-over-228-billion-opportunities-and-challenges-in-the-food-sector" TargetMode="External"/><Relationship Id="rId17" Type="http://schemas.openxmlformats.org/officeDocument/2006/relationships/hyperlink" Target="https://doi.org/10.1177/1354816620961707" TargetMode="External"/><Relationship Id="rId25" Type="http://schemas.openxmlformats.org/officeDocument/2006/relationships/image" Target="media/image2.jpeg"/><Relationship Id="rId2" Type="http://schemas.openxmlformats.org/officeDocument/2006/relationships/settings" Target="settings.xml"/><Relationship Id="rId16" Type="http://schemas.openxmlformats.org/officeDocument/2006/relationships/hyperlink" Target="https://doi.org/10.1016/j.tourman.2018.08.004" TargetMode="External"/><Relationship Id="rId20" Type="http://schemas.openxmlformats.org/officeDocument/2006/relationships/hyperlink" Target="https://www.econstor.eu/bitstream/10419/205267/1/4351.pdf"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doi.org/10.15640/jthm.v7n1a14" TargetMode="External"/><Relationship Id="rId11" Type="http://schemas.openxmlformats.org/officeDocument/2006/relationships/hyperlink" Target="https://doi.org/10.1016/j.ijhm.2019.04.003" TargetMode="External"/><Relationship Id="rId24" Type="http://schemas.openxmlformats.org/officeDocument/2006/relationships/image" Target="media/image1.png"/><Relationship Id="rId5" Type="http://schemas.openxmlformats.org/officeDocument/2006/relationships/endnotes" Target="endnotes.xml"/><Relationship Id="rId15" Type="http://schemas.openxmlformats.org/officeDocument/2006/relationships/hyperlink" Target="https://doi.org/10.1016/j.ijhm.2021.102930" TargetMode="External"/><Relationship Id="rId23" Type="http://schemas.openxmlformats.org/officeDocument/2006/relationships/hyperlink" Target="https://doi.org/10.1016/j.ijhm.2018.06.028" TargetMode="External"/><Relationship Id="rId28" Type="http://schemas.openxmlformats.org/officeDocument/2006/relationships/fontTable" Target="fontTable.xml"/><Relationship Id="rId10" Type="http://schemas.openxmlformats.org/officeDocument/2006/relationships/hyperlink" Target="https://doi.org/10.3390/educsci12090594" TargetMode="External"/><Relationship Id="rId19" Type="http://schemas.openxmlformats.org/officeDocument/2006/relationships/hyperlink" Target="https://doi.org/10.1108/IJCHM-02-2018-0108" TargetMode="External"/><Relationship Id="rId4" Type="http://schemas.openxmlformats.org/officeDocument/2006/relationships/footnotes" Target="footnotes.xml"/><Relationship Id="rId9" Type="http://schemas.openxmlformats.org/officeDocument/2006/relationships/hyperlink" Target="https://doi.org/10.1108/IJCHM-12-2021-1528" TargetMode="External"/><Relationship Id="rId14" Type="http://schemas.openxmlformats.org/officeDocument/2006/relationships/hyperlink" Target="https://doi.org/10.1016/j.ijhm.2021.103022" TargetMode="External"/><Relationship Id="rId22" Type="http://schemas.openxmlformats.org/officeDocument/2006/relationships/hyperlink" Target="https://doi.org/10.1108/IJCHM-04-2018-0302" TargetMode="External"/><Relationship Id="rId27"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13</Pages>
  <Words>3244</Words>
  <Characters>18496</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 Computer</dc:creator>
  <cp:keywords/>
  <dc:description/>
  <cp:lastModifiedBy>Luminita Geanina Marinescu</cp:lastModifiedBy>
  <cp:revision>16</cp:revision>
  <dcterms:created xsi:type="dcterms:W3CDTF">2024-02-05T20:45:00Z</dcterms:created>
  <dcterms:modified xsi:type="dcterms:W3CDTF">2024-02-05T21:59:00Z</dcterms:modified>
</cp:coreProperties>
</file>