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251C2" w14:textId="77777777" w:rsidR="00F442A0" w:rsidRPr="005F0361" w:rsidRDefault="00F442A0" w:rsidP="00F442A0">
      <w:pPr>
        <w:spacing w:line="360" w:lineRule="auto"/>
        <w:rPr>
          <w:rFonts w:ascii="Arial" w:hAnsi="Arial" w:cs="Arial"/>
          <w:sz w:val="28"/>
          <w:szCs w:val="28"/>
        </w:rPr>
      </w:pPr>
    </w:p>
    <w:p w14:paraId="47275079" w14:textId="77777777" w:rsidR="00F442A0" w:rsidRPr="005F0361" w:rsidRDefault="00F442A0" w:rsidP="00F442A0">
      <w:pPr>
        <w:spacing w:before="100" w:beforeAutospacing="1" w:after="100" w:afterAutospacing="1" w:line="360" w:lineRule="auto"/>
        <w:outlineLvl w:val="1"/>
        <w:rPr>
          <w:rFonts w:ascii="Arial" w:eastAsia="Times New Roman" w:hAnsi="Arial" w:cs="Arial"/>
          <w:b/>
          <w:bCs/>
          <w:color w:val="000000"/>
          <w:sz w:val="28"/>
          <w:szCs w:val="28"/>
        </w:rPr>
      </w:pPr>
      <w:r w:rsidRPr="005F0361">
        <w:rPr>
          <w:noProof/>
        </w:rPr>
        <w:drawing>
          <wp:inline distT="0" distB="0" distL="0" distR="0" wp14:anchorId="631F2520" wp14:editId="3CE01CE9">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4A47195C" w14:textId="77777777" w:rsidR="00F442A0" w:rsidRPr="005F0361" w:rsidRDefault="00F442A0" w:rsidP="00F442A0">
      <w:pPr>
        <w:spacing w:before="100" w:beforeAutospacing="1" w:after="100" w:afterAutospacing="1" w:line="360" w:lineRule="auto"/>
        <w:outlineLvl w:val="1"/>
        <w:rPr>
          <w:rFonts w:ascii="Arial" w:eastAsia="Times New Roman" w:hAnsi="Arial" w:cs="Arial"/>
          <w:b/>
          <w:bCs/>
          <w:color w:val="000000"/>
          <w:sz w:val="28"/>
          <w:szCs w:val="28"/>
        </w:rPr>
      </w:pPr>
    </w:p>
    <w:p w14:paraId="24A4AB60" w14:textId="77777777" w:rsidR="00F442A0" w:rsidRPr="005F0361" w:rsidRDefault="00F442A0" w:rsidP="00F442A0">
      <w:pPr>
        <w:spacing w:before="100" w:beforeAutospacing="1" w:after="100" w:afterAutospacing="1" w:line="360" w:lineRule="auto"/>
        <w:jc w:val="center"/>
        <w:outlineLvl w:val="1"/>
        <w:rPr>
          <w:rFonts w:ascii="Arial" w:eastAsia="Arial" w:hAnsi="Arial" w:cs="Arial"/>
          <w:b/>
          <w:bCs/>
          <w:color w:val="000000" w:themeColor="text1"/>
          <w:spacing w:val="-2"/>
          <w:kern w:val="24"/>
          <w:sz w:val="40"/>
          <w:szCs w:val="40"/>
        </w:rPr>
      </w:pPr>
      <w:r w:rsidRPr="005F0361">
        <w:rPr>
          <w:rFonts w:ascii="Arial" w:eastAsiaTheme="majorEastAsia" w:hAnsi="Arial" w:cs="Arial"/>
          <w:b/>
          <w:bCs/>
          <w:color w:val="000000" w:themeColor="text1"/>
          <w:kern w:val="24"/>
          <w:sz w:val="40"/>
          <w:szCs w:val="40"/>
        </w:rPr>
        <w:t>Psychology in Health and Social Care</w:t>
      </w:r>
      <w:r w:rsidRPr="005F0361">
        <w:rPr>
          <w:rFonts w:ascii="Arial" w:eastAsiaTheme="majorEastAsia" w:hAnsi="Arial" w:cs="Arial"/>
          <w:b/>
          <w:bCs/>
          <w:color w:val="000000" w:themeColor="text1"/>
          <w:kern w:val="24"/>
          <w:sz w:val="40"/>
          <w:szCs w:val="40"/>
        </w:rPr>
        <w:br/>
      </w:r>
      <w:r w:rsidRPr="005F0361">
        <w:rPr>
          <w:rFonts w:ascii="Arial" w:eastAsia="Arial" w:hAnsi="Arial" w:cs="Arial"/>
          <w:b/>
          <w:bCs/>
          <w:color w:val="000000" w:themeColor="text1"/>
          <w:spacing w:val="-2"/>
          <w:kern w:val="24"/>
          <w:sz w:val="40"/>
          <w:szCs w:val="40"/>
        </w:rPr>
        <w:t>LCHS4010</w:t>
      </w:r>
      <w:r w:rsidRPr="005F0361">
        <w:rPr>
          <w:rFonts w:ascii="Arial" w:eastAsia="Arial" w:hAnsi="Arial" w:cs="Arial"/>
          <w:b/>
          <w:bCs/>
          <w:color w:val="000000" w:themeColor="text1"/>
          <w:spacing w:val="-2"/>
          <w:kern w:val="24"/>
          <w:sz w:val="40"/>
          <w:szCs w:val="40"/>
        </w:rPr>
        <w:br/>
      </w:r>
      <w:r w:rsidRPr="005F0361">
        <w:rPr>
          <w:rFonts w:ascii="Arial" w:eastAsia="Arial" w:hAnsi="Arial" w:cs="Arial"/>
          <w:b/>
          <w:bCs/>
          <w:color w:val="000000" w:themeColor="text1"/>
          <w:spacing w:val="-2"/>
          <w:kern w:val="24"/>
          <w:sz w:val="40"/>
          <w:szCs w:val="40"/>
        </w:rPr>
        <w:br/>
        <w:t>Component 2: Written task – report</w:t>
      </w:r>
    </w:p>
    <w:p w14:paraId="5C4F4A41" w14:textId="77777777" w:rsidR="00F442A0" w:rsidRPr="005F0361" w:rsidRDefault="00F442A0" w:rsidP="00F442A0">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68E08B48" w14:textId="77777777" w:rsidR="00F442A0" w:rsidRPr="005F0361" w:rsidRDefault="00F442A0" w:rsidP="00F442A0">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094C4A09" w14:textId="77777777" w:rsidR="00F442A0" w:rsidRPr="005F0361" w:rsidRDefault="00F442A0" w:rsidP="00F442A0">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4EC0FEEE" w14:textId="13ADB8C2" w:rsidR="00F442A0" w:rsidRPr="009E21A3" w:rsidRDefault="00F442A0" w:rsidP="00F442A0">
      <w:pPr>
        <w:pStyle w:val="NormalWeb"/>
        <w:spacing w:before="200" w:beforeAutospacing="0" w:after="0" w:afterAutospacing="0" w:line="216" w:lineRule="auto"/>
        <w:rPr>
          <w:rFonts w:ascii="Arial" w:hAnsi="Arial" w:cs="Arial"/>
          <w:b/>
          <w:bCs/>
          <w:sz w:val="32"/>
          <w:szCs w:val="32"/>
          <w:lang w:val="nl-NL"/>
        </w:rPr>
      </w:pPr>
      <w:r w:rsidRPr="009E21A3">
        <w:rPr>
          <w:rFonts w:ascii="Arial" w:eastAsiaTheme="minorEastAsia" w:hAnsi="Arial" w:cs="Arial"/>
          <w:b/>
          <w:bCs/>
          <w:color w:val="000000" w:themeColor="text1"/>
          <w:kern w:val="24"/>
          <w:sz w:val="32"/>
          <w:szCs w:val="32"/>
          <w:lang w:val="nl-NL"/>
        </w:rPr>
        <w:t xml:space="preserve">Student name: </w:t>
      </w:r>
      <w:r w:rsidR="00841F87" w:rsidRPr="009E21A3">
        <w:rPr>
          <w:rFonts w:ascii="Arial" w:eastAsiaTheme="minorEastAsia" w:hAnsi="Arial" w:cs="Arial"/>
          <w:color w:val="000000" w:themeColor="text1"/>
          <w:kern w:val="24"/>
          <w:sz w:val="32"/>
          <w:szCs w:val="32"/>
          <w:lang w:val="nl-NL"/>
        </w:rPr>
        <w:t>Erika Cabrera Lopez</w:t>
      </w:r>
    </w:p>
    <w:p w14:paraId="5D00CB1F" w14:textId="258A8FC1" w:rsidR="00F442A0" w:rsidRPr="009E21A3" w:rsidRDefault="00F442A0" w:rsidP="00F442A0">
      <w:pPr>
        <w:pStyle w:val="NormalWeb"/>
        <w:spacing w:before="200" w:beforeAutospacing="0" w:after="0" w:afterAutospacing="0" w:line="216" w:lineRule="auto"/>
        <w:rPr>
          <w:rFonts w:ascii="Arial" w:hAnsi="Arial" w:cs="Arial"/>
          <w:sz w:val="32"/>
          <w:szCs w:val="32"/>
          <w:lang w:val="nl-NL"/>
        </w:rPr>
      </w:pPr>
      <w:r w:rsidRPr="009E21A3">
        <w:rPr>
          <w:rFonts w:ascii="Arial" w:eastAsiaTheme="minorEastAsia" w:hAnsi="Arial" w:cs="Arial"/>
          <w:b/>
          <w:bCs/>
          <w:color w:val="000000" w:themeColor="text1"/>
          <w:kern w:val="24"/>
          <w:sz w:val="32"/>
          <w:szCs w:val="32"/>
          <w:lang w:val="nl-NL"/>
        </w:rPr>
        <w:t>Student ID:</w:t>
      </w:r>
      <w:r w:rsidR="00841F87" w:rsidRPr="009E21A3">
        <w:rPr>
          <w:rFonts w:ascii="Arial" w:eastAsiaTheme="minorEastAsia" w:hAnsi="Arial" w:cs="Arial"/>
          <w:b/>
          <w:bCs/>
          <w:color w:val="000000" w:themeColor="text1"/>
          <w:kern w:val="24"/>
          <w:sz w:val="32"/>
          <w:szCs w:val="32"/>
          <w:lang w:val="nl-NL"/>
        </w:rPr>
        <w:t xml:space="preserve"> </w:t>
      </w:r>
      <w:r w:rsidR="00841F87" w:rsidRPr="009E21A3">
        <w:rPr>
          <w:rFonts w:ascii="Arial" w:eastAsiaTheme="minorEastAsia" w:hAnsi="Arial" w:cs="Arial"/>
          <w:color w:val="000000" w:themeColor="text1"/>
          <w:kern w:val="24"/>
          <w:sz w:val="32"/>
          <w:szCs w:val="32"/>
          <w:lang w:val="nl-NL"/>
        </w:rPr>
        <w:t>2424586</w:t>
      </w:r>
    </w:p>
    <w:p w14:paraId="027D5C3A" w14:textId="77777777" w:rsidR="00F442A0" w:rsidRPr="005F0361" w:rsidRDefault="00F442A0" w:rsidP="00F442A0">
      <w:pPr>
        <w:pStyle w:val="NormalWeb"/>
        <w:spacing w:before="200" w:beforeAutospacing="0" w:after="0" w:afterAutospacing="0" w:line="216" w:lineRule="auto"/>
        <w:rPr>
          <w:rFonts w:ascii="Arial" w:hAnsi="Arial" w:cs="Arial"/>
          <w:b/>
          <w:bCs/>
          <w:sz w:val="32"/>
          <w:szCs w:val="32"/>
        </w:rPr>
      </w:pPr>
      <w:r w:rsidRPr="005F0361">
        <w:rPr>
          <w:rFonts w:ascii="Arial" w:eastAsiaTheme="minorEastAsia" w:hAnsi="Arial" w:cs="Arial"/>
          <w:b/>
          <w:bCs/>
          <w:color w:val="000000" w:themeColor="text1"/>
          <w:kern w:val="24"/>
          <w:sz w:val="32"/>
          <w:szCs w:val="32"/>
        </w:rPr>
        <w:t xml:space="preserve">Lecturer: </w:t>
      </w:r>
      <w:r w:rsidRPr="005F0361">
        <w:rPr>
          <w:rFonts w:ascii="Arial" w:eastAsiaTheme="minorEastAsia" w:hAnsi="Arial" w:cs="Arial"/>
          <w:color w:val="000000" w:themeColor="text1"/>
          <w:kern w:val="24"/>
          <w:sz w:val="32"/>
          <w:szCs w:val="32"/>
        </w:rPr>
        <w:t>Bianca Sanfilippo</w:t>
      </w:r>
      <w:r w:rsidRPr="005F0361">
        <w:rPr>
          <w:rFonts w:ascii="Arial" w:eastAsiaTheme="minorEastAsia" w:hAnsi="Arial" w:cs="Arial"/>
          <w:b/>
          <w:bCs/>
          <w:color w:val="000000" w:themeColor="text1"/>
          <w:kern w:val="24"/>
          <w:sz w:val="32"/>
          <w:szCs w:val="32"/>
        </w:rPr>
        <w:t xml:space="preserve"> </w:t>
      </w:r>
    </w:p>
    <w:p w14:paraId="1E47C921" w14:textId="77777777" w:rsidR="00F442A0" w:rsidRPr="005F0361" w:rsidRDefault="00F442A0"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2C62E294" w14:textId="77777777" w:rsidR="00841F87" w:rsidRPr="005F0361" w:rsidRDefault="00841F87"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1D82A13D" w14:textId="77777777" w:rsidR="00841F87" w:rsidRPr="005F0361" w:rsidRDefault="00841F87"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1E04179B" w14:textId="77777777" w:rsidR="00841F87" w:rsidRPr="005F0361" w:rsidRDefault="00841F87"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0ED8B331" w14:textId="77777777" w:rsidR="00841F87" w:rsidRPr="005F0361" w:rsidRDefault="00841F87"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4E3E3533" w14:textId="2A5F0BFC" w:rsidR="00841F87" w:rsidRPr="005F0361" w:rsidRDefault="00841F87" w:rsidP="00841F87">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r w:rsidRPr="005F0361">
        <w:rPr>
          <w:rFonts w:ascii="Arial" w:eastAsia="Arial" w:hAnsi="Arial" w:cs="Arial"/>
          <w:b/>
          <w:bCs/>
          <w:color w:val="000000" w:themeColor="text1"/>
          <w:spacing w:val="-2"/>
          <w:kern w:val="24"/>
          <w:sz w:val="32"/>
          <w:szCs w:val="32"/>
        </w:rPr>
        <w:lastRenderedPageBreak/>
        <w:t>Introduction</w:t>
      </w:r>
    </w:p>
    <w:p w14:paraId="6B67ECE3" w14:textId="3BBAD4A2" w:rsidR="00841F87" w:rsidRPr="005F0361" w:rsidRDefault="005E2047" w:rsidP="00F442A0">
      <w:pPr>
        <w:spacing w:before="100" w:beforeAutospacing="1" w:after="100" w:afterAutospacing="1" w:line="360" w:lineRule="auto"/>
        <w:outlineLvl w:val="1"/>
        <w:rPr>
          <w:rFonts w:ascii="Arial" w:eastAsia="Arial" w:hAnsi="Arial" w:cs="Arial"/>
          <w:color w:val="000000" w:themeColor="text1"/>
          <w:spacing w:val="-2"/>
          <w:kern w:val="24"/>
        </w:rPr>
      </w:pPr>
      <w:r w:rsidRPr="005F0361">
        <w:rPr>
          <w:rFonts w:ascii="Arial" w:eastAsia="Arial" w:hAnsi="Arial" w:cs="Arial"/>
          <w:color w:val="000000" w:themeColor="text1"/>
          <w:spacing w:val="-2"/>
          <w:kern w:val="24"/>
        </w:rPr>
        <w:t xml:space="preserve">The </w:t>
      </w:r>
      <w:r w:rsidR="00D44570" w:rsidRPr="005F0361">
        <w:rPr>
          <w:rFonts w:ascii="Arial" w:eastAsia="Arial" w:hAnsi="Arial" w:cs="Arial"/>
          <w:color w:val="000000" w:themeColor="text1"/>
          <w:spacing w:val="-2"/>
          <w:kern w:val="24"/>
        </w:rPr>
        <w:t xml:space="preserve">worldwide population is aging  fast, and to be able to understand the Psychological needs of adults aged 65 and over is </w:t>
      </w:r>
      <w:r w:rsidR="00D24327" w:rsidRPr="005F0361">
        <w:rPr>
          <w:rFonts w:ascii="Arial" w:eastAsia="Arial" w:hAnsi="Arial" w:cs="Arial"/>
          <w:color w:val="000000" w:themeColor="text1"/>
          <w:spacing w:val="-2"/>
          <w:kern w:val="24"/>
        </w:rPr>
        <w:t>influential</w:t>
      </w:r>
      <w:r w:rsidR="00D44570" w:rsidRPr="005F0361">
        <w:rPr>
          <w:rFonts w:ascii="Arial" w:eastAsia="Arial" w:hAnsi="Arial" w:cs="Arial"/>
          <w:color w:val="000000" w:themeColor="text1"/>
          <w:spacing w:val="-2"/>
          <w:kern w:val="24"/>
        </w:rPr>
        <w:t xml:space="preserve"> for promoting wellbeing and their life quality</w:t>
      </w:r>
      <w:r w:rsidR="00D32D4D" w:rsidRPr="005F0361">
        <w:rPr>
          <w:rFonts w:ascii="Arial" w:eastAsia="Arial" w:hAnsi="Arial" w:cs="Arial"/>
          <w:color w:val="000000" w:themeColor="text1"/>
          <w:spacing w:val="-2"/>
          <w:kern w:val="24"/>
        </w:rPr>
        <w:t>,</w:t>
      </w:r>
      <w:r w:rsidR="00C00F37">
        <w:rPr>
          <w:rFonts w:ascii="Arial" w:eastAsia="Arial" w:hAnsi="Arial" w:cs="Arial"/>
          <w:color w:val="000000" w:themeColor="text1"/>
          <w:spacing w:val="-2"/>
          <w:kern w:val="24"/>
        </w:rPr>
        <w:t xml:space="preserve"> </w:t>
      </w:r>
      <w:r w:rsidR="00C00F37" w:rsidRPr="00C00F37">
        <w:rPr>
          <w:i/>
          <w:iCs/>
        </w:rPr>
        <w:t>Zubiashvili, Tamaz, and Nino Zubiashvili</w:t>
      </w:r>
      <w:r w:rsidR="00C00F37" w:rsidRPr="00C00F37">
        <w:rPr>
          <w:rFonts w:ascii="Arial" w:eastAsia="Arial" w:hAnsi="Arial" w:cs="Arial"/>
          <w:i/>
          <w:iCs/>
          <w:color w:val="000000" w:themeColor="text1"/>
          <w:spacing w:val="-2"/>
          <w:kern w:val="24"/>
        </w:rPr>
        <w:t>,</w:t>
      </w:r>
      <w:r w:rsidR="00D32D4D" w:rsidRPr="005F0361">
        <w:rPr>
          <w:rFonts w:ascii="Arial" w:eastAsia="Arial" w:hAnsi="Arial" w:cs="Arial"/>
          <w:color w:val="000000" w:themeColor="text1"/>
          <w:spacing w:val="-2"/>
          <w:kern w:val="24"/>
        </w:rPr>
        <w:t>(2021).</w:t>
      </w:r>
      <w:r w:rsidR="00D24327" w:rsidRPr="005F0361">
        <w:rPr>
          <w:rFonts w:ascii="Arial" w:eastAsia="Arial" w:hAnsi="Arial" w:cs="Arial"/>
          <w:color w:val="000000" w:themeColor="text1"/>
          <w:spacing w:val="-2"/>
          <w:kern w:val="24"/>
        </w:rPr>
        <w:t xml:space="preserve"> These two Psychological Theories from </w:t>
      </w:r>
      <w:r w:rsidR="001E6628" w:rsidRPr="005F0361">
        <w:rPr>
          <w:rFonts w:ascii="Arial" w:eastAsia="Arial" w:hAnsi="Arial" w:cs="Arial"/>
          <w:color w:val="000000" w:themeColor="text1"/>
          <w:spacing w:val="-2"/>
          <w:kern w:val="24"/>
        </w:rPr>
        <w:t>J</w:t>
      </w:r>
      <w:r w:rsidR="00DD1832">
        <w:rPr>
          <w:rFonts w:ascii="Arial" w:eastAsia="Arial" w:hAnsi="Arial" w:cs="Arial"/>
          <w:color w:val="000000" w:themeColor="text1"/>
          <w:spacing w:val="-2"/>
          <w:kern w:val="24"/>
        </w:rPr>
        <w:t>ohn</w:t>
      </w:r>
      <w:r w:rsidR="001E6628" w:rsidRPr="005F0361">
        <w:rPr>
          <w:rFonts w:ascii="Arial" w:eastAsia="Arial" w:hAnsi="Arial" w:cs="Arial"/>
          <w:color w:val="000000" w:themeColor="text1"/>
          <w:spacing w:val="-2"/>
          <w:kern w:val="24"/>
        </w:rPr>
        <w:t xml:space="preserve"> Bowlby and Erik Erikson provide a structure to describe behaviours, emotional states to cope with the process for the elderly years.</w:t>
      </w:r>
      <w:r w:rsidR="00787076">
        <w:rPr>
          <w:rFonts w:ascii="Arial" w:eastAsia="Arial" w:hAnsi="Arial" w:cs="Arial"/>
          <w:color w:val="000000" w:themeColor="text1"/>
          <w:spacing w:val="-2"/>
          <w:kern w:val="24"/>
        </w:rPr>
        <w:t xml:space="preserve"> </w:t>
      </w:r>
      <w:r w:rsidR="001E6628" w:rsidRPr="005F0361">
        <w:rPr>
          <w:rFonts w:ascii="Arial" w:eastAsia="Arial" w:hAnsi="Arial" w:cs="Arial"/>
          <w:color w:val="000000" w:themeColor="text1"/>
          <w:spacing w:val="-2"/>
          <w:kern w:val="24"/>
        </w:rPr>
        <w:t xml:space="preserve">Jhon Bowlby’s </w:t>
      </w:r>
      <w:r w:rsidR="000E40D9" w:rsidRPr="005F0361">
        <w:rPr>
          <w:rFonts w:ascii="Arial" w:eastAsia="Arial" w:hAnsi="Arial" w:cs="Arial"/>
          <w:color w:val="000000" w:themeColor="text1"/>
          <w:spacing w:val="-2"/>
          <w:kern w:val="24"/>
        </w:rPr>
        <w:t>A</w:t>
      </w:r>
      <w:r w:rsidR="001E6628" w:rsidRPr="005F0361">
        <w:rPr>
          <w:rFonts w:ascii="Arial" w:eastAsia="Arial" w:hAnsi="Arial" w:cs="Arial"/>
          <w:color w:val="000000" w:themeColor="text1"/>
          <w:spacing w:val="-2"/>
          <w:kern w:val="24"/>
        </w:rPr>
        <w:t xml:space="preserve">ttachment </w:t>
      </w:r>
      <w:r w:rsidR="000E40D9" w:rsidRPr="005F0361">
        <w:rPr>
          <w:rFonts w:ascii="Arial" w:eastAsia="Arial" w:hAnsi="Arial" w:cs="Arial"/>
          <w:color w:val="000000" w:themeColor="text1"/>
          <w:spacing w:val="-2"/>
          <w:kern w:val="24"/>
        </w:rPr>
        <w:t xml:space="preserve">Theory and Erik Erikson’s Psychosocial. Both theories </w:t>
      </w:r>
      <w:r w:rsidR="00E64460" w:rsidRPr="005F0361">
        <w:rPr>
          <w:rFonts w:ascii="Arial" w:eastAsia="Arial" w:hAnsi="Arial" w:cs="Arial"/>
          <w:color w:val="000000" w:themeColor="text1"/>
          <w:spacing w:val="-2"/>
          <w:kern w:val="24"/>
        </w:rPr>
        <w:t xml:space="preserve">suggests awareness into progress and health behaviour specially in the context of dementia care in Home </w:t>
      </w:r>
      <w:r w:rsidR="006242A6">
        <w:rPr>
          <w:rFonts w:ascii="Arial" w:eastAsia="Arial" w:hAnsi="Arial" w:cs="Arial"/>
          <w:color w:val="000000" w:themeColor="text1"/>
          <w:spacing w:val="-2"/>
          <w:kern w:val="24"/>
        </w:rPr>
        <w:t>R</w:t>
      </w:r>
      <w:r w:rsidR="00E64460" w:rsidRPr="005F0361">
        <w:rPr>
          <w:rFonts w:ascii="Arial" w:eastAsia="Arial" w:hAnsi="Arial" w:cs="Arial"/>
          <w:color w:val="000000" w:themeColor="text1"/>
          <w:spacing w:val="-2"/>
          <w:kern w:val="24"/>
        </w:rPr>
        <w:t>esidential setting. Th</w:t>
      </w:r>
      <w:r w:rsidR="009E21A3">
        <w:rPr>
          <w:rFonts w:ascii="Arial" w:eastAsia="Arial" w:hAnsi="Arial" w:cs="Arial"/>
          <w:color w:val="000000" w:themeColor="text1"/>
          <w:spacing w:val="-2"/>
          <w:kern w:val="24"/>
        </w:rPr>
        <w:t>is report</w:t>
      </w:r>
      <w:r w:rsidR="00C04912" w:rsidRPr="005F0361">
        <w:rPr>
          <w:rFonts w:ascii="Arial" w:eastAsia="Arial" w:hAnsi="Arial" w:cs="Arial"/>
          <w:color w:val="000000" w:themeColor="text1"/>
          <w:spacing w:val="-2"/>
          <w:kern w:val="24"/>
        </w:rPr>
        <w:t xml:space="preserve"> will describe each theory in detail</w:t>
      </w:r>
      <w:r w:rsidR="00D86961" w:rsidRPr="005F0361">
        <w:rPr>
          <w:rFonts w:ascii="Arial" w:eastAsia="Arial" w:hAnsi="Arial" w:cs="Arial"/>
          <w:color w:val="000000" w:themeColor="text1"/>
          <w:spacing w:val="-2"/>
          <w:kern w:val="24"/>
        </w:rPr>
        <w:t>, amplifying their application to the elderly adults and provide a comparative perspective.</w:t>
      </w:r>
      <w:r w:rsidR="00A31F60">
        <w:rPr>
          <w:rFonts w:ascii="Arial" w:eastAsia="Arial" w:hAnsi="Arial" w:cs="Arial"/>
          <w:color w:val="000000" w:themeColor="text1"/>
          <w:spacing w:val="-2"/>
          <w:kern w:val="24"/>
        </w:rPr>
        <w:t xml:space="preserve"> Two theories that continue to </w:t>
      </w:r>
      <w:r w:rsidR="000F3C3B">
        <w:rPr>
          <w:rFonts w:ascii="Arial" w:eastAsia="Arial" w:hAnsi="Arial" w:cs="Arial"/>
          <w:color w:val="000000" w:themeColor="text1"/>
          <w:spacing w:val="-2"/>
          <w:kern w:val="24"/>
        </w:rPr>
        <w:t>hold cohe</w:t>
      </w:r>
      <w:r w:rsidR="006242A6">
        <w:rPr>
          <w:rFonts w:ascii="Arial" w:eastAsia="Arial" w:hAnsi="Arial" w:cs="Arial"/>
          <w:color w:val="000000" w:themeColor="text1"/>
          <w:spacing w:val="-2"/>
          <w:kern w:val="24"/>
        </w:rPr>
        <w:t>rence</w:t>
      </w:r>
      <w:r w:rsidR="000F3C3B">
        <w:rPr>
          <w:rFonts w:ascii="Arial" w:eastAsia="Arial" w:hAnsi="Arial" w:cs="Arial"/>
          <w:color w:val="000000" w:themeColor="text1"/>
          <w:spacing w:val="-2"/>
          <w:kern w:val="24"/>
        </w:rPr>
        <w:t xml:space="preserve"> in </w:t>
      </w:r>
      <w:r w:rsidR="006242A6">
        <w:rPr>
          <w:rFonts w:ascii="Arial" w:eastAsia="Arial" w:hAnsi="Arial" w:cs="Arial"/>
          <w:color w:val="000000" w:themeColor="text1"/>
          <w:spacing w:val="-2"/>
          <w:kern w:val="24"/>
        </w:rPr>
        <w:t>modern</w:t>
      </w:r>
      <w:r w:rsidR="000F3C3B">
        <w:rPr>
          <w:rFonts w:ascii="Arial" w:eastAsia="Arial" w:hAnsi="Arial" w:cs="Arial"/>
          <w:color w:val="000000" w:themeColor="text1"/>
          <w:spacing w:val="-2"/>
          <w:kern w:val="24"/>
        </w:rPr>
        <w:t xml:space="preserve"> practice</w:t>
      </w:r>
      <w:r w:rsidR="00DD1832">
        <w:rPr>
          <w:rFonts w:ascii="Arial" w:eastAsia="Arial" w:hAnsi="Arial" w:cs="Arial"/>
          <w:color w:val="000000" w:themeColor="text1"/>
          <w:spacing w:val="-2"/>
          <w:kern w:val="24"/>
        </w:rPr>
        <w:t xml:space="preserve">. </w:t>
      </w:r>
      <w:r w:rsidR="000F3C3B">
        <w:rPr>
          <w:rFonts w:ascii="Arial" w:eastAsia="Arial" w:hAnsi="Arial" w:cs="Arial"/>
          <w:color w:val="000000" w:themeColor="text1"/>
          <w:spacing w:val="-2"/>
          <w:kern w:val="24"/>
        </w:rPr>
        <w:t xml:space="preserve">Although </w:t>
      </w:r>
      <w:r w:rsidR="00DD1832">
        <w:rPr>
          <w:rFonts w:ascii="Arial" w:eastAsia="Arial" w:hAnsi="Arial" w:cs="Arial"/>
          <w:color w:val="000000" w:themeColor="text1"/>
          <w:spacing w:val="-2"/>
          <w:kern w:val="24"/>
        </w:rPr>
        <w:t xml:space="preserve">for instance, Bowlby’s attachment theory was </w:t>
      </w:r>
      <w:r w:rsidR="000F3C3B">
        <w:rPr>
          <w:rFonts w:ascii="Arial" w:eastAsia="Arial" w:hAnsi="Arial" w:cs="Arial"/>
          <w:color w:val="000000" w:themeColor="text1"/>
          <w:spacing w:val="-2"/>
          <w:kern w:val="24"/>
        </w:rPr>
        <w:t xml:space="preserve">originally developed for children, </w:t>
      </w:r>
      <w:r w:rsidR="00DD1832">
        <w:rPr>
          <w:rFonts w:ascii="Arial" w:eastAsia="Arial" w:hAnsi="Arial" w:cs="Arial"/>
          <w:color w:val="000000" w:themeColor="text1"/>
          <w:spacing w:val="-2"/>
          <w:kern w:val="24"/>
        </w:rPr>
        <w:t xml:space="preserve">it </w:t>
      </w:r>
      <w:r w:rsidR="000F3C3B">
        <w:rPr>
          <w:rFonts w:ascii="Arial" w:eastAsia="Arial" w:hAnsi="Arial" w:cs="Arial"/>
          <w:color w:val="000000" w:themeColor="text1"/>
          <w:spacing w:val="-2"/>
          <w:kern w:val="24"/>
        </w:rPr>
        <w:t>offer</w:t>
      </w:r>
      <w:r w:rsidR="00DD1832">
        <w:rPr>
          <w:rFonts w:ascii="Arial" w:eastAsia="Arial" w:hAnsi="Arial" w:cs="Arial"/>
          <w:color w:val="000000" w:themeColor="text1"/>
          <w:spacing w:val="-2"/>
          <w:kern w:val="24"/>
        </w:rPr>
        <w:t xml:space="preserve">s </w:t>
      </w:r>
      <w:r w:rsidR="000F3C3B">
        <w:rPr>
          <w:rFonts w:ascii="Arial" w:eastAsia="Arial" w:hAnsi="Arial" w:cs="Arial"/>
          <w:color w:val="000000" w:themeColor="text1"/>
          <w:spacing w:val="-2"/>
          <w:kern w:val="24"/>
        </w:rPr>
        <w:t xml:space="preserve">valuable insight into how behaviour is shaped by early life experiences, interpersonal relationships and psychosocial difficulties over the lifespan. This report demonstrates how both theories can be applied to adults aged 65 and above, critically </w:t>
      </w:r>
      <w:r w:rsidR="006242A6">
        <w:rPr>
          <w:rFonts w:ascii="Arial" w:eastAsia="Arial" w:hAnsi="Arial" w:cs="Arial"/>
          <w:color w:val="000000" w:themeColor="text1"/>
          <w:spacing w:val="-2"/>
          <w:kern w:val="24"/>
        </w:rPr>
        <w:t>study</w:t>
      </w:r>
      <w:r w:rsidR="000F3C3B">
        <w:rPr>
          <w:rFonts w:ascii="Arial" w:eastAsia="Arial" w:hAnsi="Arial" w:cs="Arial"/>
          <w:color w:val="000000" w:themeColor="text1"/>
          <w:spacing w:val="-2"/>
          <w:kern w:val="24"/>
        </w:rPr>
        <w:t xml:space="preserve"> the usefulness, evaluates professional challenges in applying them, with supportive strategies for addressing psychosocial and behavioural challenges associated with dementia. </w:t>
      </w:r>
    </w:p>
    <w:p w14:paraId="6C7EBD76" w14:textId="76B56560" w:rsidR="00B4755E" w:rsidRPr="005F0361" w:rsidRDefault="00B4755E"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r w:rsidRPr="005F0361">
        <w:rPr>
          <w:rFonts w:ascii="Arial" w:eastAsia="Arial" w:hAnsi="Arial" w:cs="Arial"/>
          <w:b/>
          <w:bCs/>
          <w:color w:val="000000" w:themeColor="text1"/>
          <w:spacing w:val="-2"/>
          <w:kern w:val="24"/>
          <w:sz w:val="32"/>
          <w:szCs w:val="32"/>
        </w:rPr>
        <w:t>1. Overview of Theories</w:t>
      </w:r>
    </w:p>
    <w:p w14:paraId="7F74A847" w14:textId="4DD7CF37" w:rsidR="00FE0572" w:rsidRPr="005F0361" w:rsidRDefault="00B4755E" w:rsidP="00F442A0">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r w:rsidRPr="005F0361">
        <w:rPr>
          <w:rFonts w:ascii="Arial" w:eastAsia="Arial" w:hAnsi="Arial" w:cs="Arial"/>
          <w:b/>
          <w:bCs/>
          <w:color w:val="000000" w:themeColor="text1"/>
          <w:spacing w:val="-2"/>
          <w:kern w:val="24"/>
          <w:sz w:val="32"/>
          <w:szCs w:val="32"/>
        </w:rPr>
        <w:t xml:space="preserve">1.1 </w:t>
      </w:r>
      <w:r w:rsidR="00FE0572" w:rsidRPr="005F0361">
        <w:rPr>
          <w:rFonts w:ascii="Arial" w:eastAsia="Arial" w:hAnsi="Arial" w:cs="Arial"/>
          <w:b/>
          <w:bCs/>
          <w:color w:val="000000" w:themeColor="text1"/>
          <w:spacing w:val="-2"/>
          <w:kern w:val="24"/>
          <w:sz w:val="32"/>
          <w:szCs w:val="32"/>
        </w:rPr>
        <w:t xml:space="preserve">John Bowlby’s Attachment Theory </w:t>
      </w:r>
    </w:p>
    <w:p w14:paraId="2C904AF9" w14:textId="392DAFD9" w:rsidR="00FE0572" w:rsidRPr="005F0361" w:rsidRDefault="00FE0572" w:rsidP="00F442A0">
      <w:pPr>
        <w:spacing w:before="100" w:beforeAutospacing="1" w:after="100" w:afterAutospacing="1" w:line="360" w:lineRule="auto"/>
        <w:outlineLvl w:val="1"/>
        <w:rPr>
          <w:rFonts w:ascii="Arial" w:eastAsia="Arial" w:hAnsi="Arial" w:cs="Arial"/>
          <w:color w:val="000000" w:themeColor="text1"/>
          <w:spacing w:val="-2"/>
          <w:kern w:val="24"/>
        </w:rPr>
      </w:pPr>
      <w:r w:rsidRPr="005F0361">
        <w:rPr>
          <w:rFonts w:ascii="Arial" w:eastAsia="Arial" w:hAnsi="Arial" w:cs="Arial"/>
          <w:color w:val="000000" w:themeColor="text1"/>
          <w:spacing w:val="-2"/>
          <w:kern w:val="24"/>
        </w:rPr>
        <w:t xml:space="preserve">Bowlby’s Attachment Theory is based in the natural human needs to create emotional bonds for survival and psychological security. Initially developed to explain child caregiver relationships, Bowlby’s argues that attachment behaviours persist throughout life, this theory identifies key components such as secure </w:t>
      </w:r>
      <w:r w:rsidR="00012292" w:rsidRPr="005F0361">
        <w:rPr>
          <w:rFonts w:ascii="Arial" w:eastAsia="Arial" w:hAnsi="Arial" w:cs="Arial"/>
          <w:color w:val="000000" w:themeColor="text1"/>
          <w:spacing w:val="-2"/>
          <w:kern w:val="24"/>
        </w:rPr>
        <w:t>base</w:t>
      </w:r>
      <w:r w:rsidR="00296D6E" w:rsidRPr="005F0361">
        <w:rPr>
          <w:rFonts w:ascii="Arial" w:eastAsia="Arial" w:hAnsi="Arial" w:cs="Arial"/>
          <w:color w:val="000000" w:themeColor="text1"/>
          <w:spacing w:val="-2"/>
          <w:kern w:val="24"/>
        </w:rPr>
        <w:t xml:space="preserve">, closeness, and separation anxiety. </w:t>
      </w:r>
      <w:r w:rsidR="00971F52" w:rsidRPr="005F0361">
        <w:rPr>
          <w:rFonts w:ascii="Arial" w:eastAsia="Arial" w:hAnsi="Arial" w:cs="Arial"/>
          <w:color w:val="000000" w:themeColor="text1"/>
          <w:spacing w:val="-2"/>
          <w:kern w:val="24"/>
        </w:rPr>
        <w:t xml:space="preserve">These components are not </w:t>
      </w:r>
      <w:r w:rsidR="007126B9" w:rsidRPr="005F0361">
        <w:rPr>
          <w:rFonts w:ascii="Arial" w:eastAsia="Arial" w:hAnsi="Arial" w:cs="Arial"/>
          <w:color w:val="000000" w:themeColor="text1"/>
          <w:spacing w:val="-2"/>
          <w:kern w:val="24"/>
        </w:rPr>
        <w:t>limited to childhood, they remain relevant in adulthood and old age</w:t>
      </w:r>
    </w:p>
    <w:p w14:paraId="23AEFB31" w14:textId="284B8969" w:rsidR="006914AE" w:rsidRPr="002D765D" w:rsidRDefault="007126B9" w:rsidP="00F442A0">
      <w:pPr>
        <w:spacing w:before="100" w:beforeAutospacing="1" w:after="100" w:afterAutospacing="1" w:line="360" w:lineRule="auto"/>
        <w:outlineLvl w:val="1"/>
        <w:rPr>
          <w:rFonts w:ascii="Arial" w:eastAsia="Arial" w:hAnsi="Arial" w:cs="Arial"/>
          <w:b/>
          <w:bCs/>
          <w:color w:val="000000" w:themeColor="text1"/>
          <w:spacing w:val="-2"/>
          <w:kern w:val="24"/>
        </w:rPr>
      </w:pPr>
      <w:r w:rsidRPr="005F0361">
        <w:rPr>
          <w:rFonts w:ascii="Arial" w:eastAsia="Arial" w:hAnsi="Arial" w:cs="Arial"/>
          <w:color w:val="000000" w:themeColor="text1"/>
          <w:spacing w:val="-2"/>
          <w:kern w:val="24"/>
        </w:rPr>
        <w:t xml:space="preserve">For senior adults, especially those with cognitive impairments like dementia, attachment needs become </w:t>
      </w:r>
      <w:r w:rsidR="00402633" w:rsidRPr="005F0361">
        <w:rPr>
          <w:rFonts w:ascii="Arial" w:eastAsia="Arial" w:hAnsi="Arial" w:cs="Arial"/>
          <w:color w:val="000000" w:themeColor="text1"/>
          <w:spacing w:val="-2"/>
          <w:kern w:val="24"/>
        </w:rPr>
        <w:t xml:space="preserve">evident. Dementia often leads to confusion, memory loss, </w:t>
      </w:r>
      <w:r w:rsidR="00EF47C0" w:rsidRPr="005F0361">
        <w:rPr>
          <w:rFonts w:ascii="Arial" w:eastAsia="Arial" w:hAnsi="Arial" w:cs="Arial"/>
          <w:color w:val="000000" w:themeColor="text1"/>
          <w:spacing w:val="-2"/>
          <w:kern w:val="24"/>
        </w:rPr>
        <w:t>increase vulnerability, activates attachment behaviours. Senior residential care homes may look for comfort from carers or consistently ask for family members</w:t>
      </w:r>
      <w:r w:rsidR="007F7138" w:rsidRPr="005F0361">
        <w:rPr>
          <w:rFonts w:ascii="Arial" w:eastAsia="Arial" w:hAnsi="Arial" w:cs="Arial"/>
          <w:color w:val="000000" w:themeColor="text1"/>
          <w:spacing w:val="-2"/>
          <w:kern w:val="24"/>
        </w:rPr>
        <w:t xml:space="preserve">, reflecting </w:t>
      </w:r>
      <w:r w:rsidR="0021022E" w:rsidRPr="005F0361">
        <w:rPr>
          <w:rFonts w:ascii="Arial" w:eastAsia="Arial" w:hAnsi="Arial" w:cs="Arial"/>
          <w:color w:val="000000" w:themeColor="text1"/>
          <w:spacing w:val="-2"/>
          <w:kern w:val="24"/>
        </w:rPr>
        <w:t>closeness seeking behaviours, being separated from their love ones can produce distress, manifesting retraction, depression, and short of breath.</w:t>
      </w:r>
      <w:r w:rsidR="006914AE" w:rsidRPr="005F0361">
        <w:rPr>
          <w:rFonts w:ascii="Arial" w:eastAsia="Arial" w:hAnsi="Arial" w:cs="Arial"/>
          <w:color w:val="000000" w:themeColor="text1"/>
          <w:spacing w:val="-2"/>
          <w:kern w:val="24"/>
        </w:rPr>
        <w:t xml:space="preserve"> </w:t>
      </w:r>
      <w:r w:rsidR="00E80126" w:rsidRPr="00E80126">
        <w:rPr>
          <w:b/>
          <w:bCs/>
        </w:rPr>
        <w:t>Besdine,M</w:t>
      </w:r>
      <w:r w:rsidR="00E80126" w:rsidRPr="002D765D">
        <w:rPr>
          <w:b/>
          <w:bCs/>
        </w:rPr>
        <w:t>.</w:t>
      </w:r>
      <w:r w:rsidR="00E80126" w:rsidRPr="00E80126">
        <w:rPr>
          <w:b/>
          <w:bCs/>
        </w:rPr>
        <w:t>(1972)</w:t>
      </w:r>
    </w:p>
    <w:p w14:paraId="45BDAD51" w14:textId="3E6DF337" w:rsidR="0021022E" w:rsidRPr="002D765D" w:rsidRDefault="0021022E" w:rsidP="00F442A0">
      <w:pPr>
        <w:spacing w:before="100" w:beforeAutospacing="1" w:after="100" w:afterAutospacing="1" w:line="360" w:lineRule="auto"/>
        <w:outlineLvl w:val="1"/>
        <w:rPr>
          <w:rFonts w:ascii="Arial" w:eastAsia="Arial" w:hAnsi="Arial" w:cs="Arial"/>
          <w:b/>
          <w:bCs/>
          <w:color w:val="000000" w:themeColor="text1"/>
          <w:spacing w:val="-2"/>
          <w:kern w:val="24"/>
        </w:rPr>
      </w:pPr>
      <w:r w:rsidRPr="005F0361">
        <w:rPr>
          <w:rFonts w:ascii="Arial" w:eastAsia="Arial" w:hAnsi="Arial" w:cs="Arial"/>
          <w:color w:val="000000" w:themeColor="text1"/>
          <w:spacing w:val="-2"/>
          <w:kern w:val="24"/>
        </w:rPr>
        <w:t xml:space="preserve">Care strategies informed by Bowlby’s theory prioritize emotional </w:t>
      </w:r>
      <w:r w:rsidR="00D75738" w:rsidRPr="005F0361">
        <w:rPr>
          <w:rFonts w:ascii="Arial" w:eastAsia="Arial" w:hAnsi="Arial" w:cs="Arial"/>
          <w:color w:val="000000" w:themeColor="text1"/>
          <w:spacing w:val="-2"/>
          <w:kern w:val="24"/>
        </w:rPr>
        <w:t xml:space="preserve">wellbeing. Consistent caregivers, daily routines, and family participation help establish a secure </w:t>
      </w:r>
      <w:r w:rsidR="0035205F" w:rsidRPr="005F0361">
        <w:rPr>
          <w:rFonts w:ascii="Arial" w:eastAsia="Arial" w:hAnsi="Arial" w:cs="Arial"/>
          <w:color w:val="000000" w:themeColor="text1"/>
          <w:spacing w:val="-2"/>
          <w:kern w:val="24"/>
        </w:rPr>
        <w:t>base. Consent</w:t>
      </w:r>
      <w:r w:rsidR="00E80126">
        <w:rPr>
          <w:rFonts w:ascii="Arial" w:eastAsia="Arial" w:hAnsi="Arial" w:cs="Arial"/>
          <w:color w:val="000000" w:themeColor="text1"/>
          <w:spacing w:val="-2"/>
          <w:kern w:val="24"/>
        </w:rPr>
        <w:t xml:space="preserve"> </w:t>
      </w:r>
      <w:r w:rsidR="0035205F" w:rsidRPr="005F0361">
        <w:rPr>
          <w:rFonts w:ascii="Arial" w:eastAsia="Arial" w:hAnsi="Arial" w:cs="Arial"/>
          <w:color w:val="000000" w:themeColor="text1"/>
          <w:spacing w:val="-2"/>
          <w:kern w:val="24"/>
        </w:rPr>
        <w:t xml:space="preserve"> </w:t>
      </w:r>
      <w:r w:rsidR="0035205F" w:rsidRPr="005F0361">
        <w:rPr>
          <w:rFonts w:ascii="Arial" w:eastAsia="Arial" w:hAnsi="Arial" w:cs="Arial"/>
          <w:color w:val="000000" w:themeColor="text1"/>
          <w:spacing w:val="-2"/>
          <w:kern w:val="24"/>
        </w:rPr>
        <w:lastRenderedPageBreak/>
        <w:t>therapy, which acknowledges feeling rather than clarifying confusion, supports attachment needs</w:t>
      </w:r>
      <w:r w:rsidR="00DD1832">
        <w:rPr>
          <w:rFonts w:ascii="Arial" w:eastAsia="Arial" w:hAnsi="Arial" w:cs="Arial"/>
          <w:color w:val="000000" w:themeColor="text1"/>
          <w:spacing w:val="-2"/>
          <w:kern w:val="24"/>
        </w:rPr>
        <w:t xml:space="preserve">. </w:t>
      </w:r>
      <w:r w:rsidR="0035205F" w:rsidRPr="005F0361">
        <w:rPr>
          <w:rFonts w:ascii="Arial" w:eastAsia="Arial" w:hAnsi="Arial" w:cs="Arial"/>
          <w:color w:val="000000" w:themeColor="text1"/>
          <w:spacing w:val="-2"/>
          <w:kern w:val="24"/>
        </w:rPr>
        <w:t>Understanding these actions as expressions of emotional needs rather than resistance to care improves the quality of life for residents.</w:t>
      </w:r>
      <w:r w:rsidR="002D765D">
        <w:rPr>
          <w:rFonts w:ascii="Arial" w:eastAsia="Arial" w:hAnsi="Arial" w:cs="Arial"/>
          <w:color w:val="000000" w:themeColor="text1"/>
          <w:spacing w:val="-2"/>
          <w:kern w:val="24"/>
        </w:rPr>
        <w:t xml:space="preserve"> </w:t>
      </w:r>
      <w:r w:rsidR="002D765D" w:rsidRPr="002D765D">
        <w:rPr>
          <w:rFonts w:ascii="Arial" w:eastAsia="Arial" w:hAnsi="Arial" w:cs="Arial"/>
          <w:b/>
          <w:bCs/>
          <w:color w:val="000000" w:themeColor="text1"/>
          <w:spacing w:val="-2"/>
          <w:kern w:val="24"/>
        </w:rPr>
        <w:t>Bowlby,J.(1969)</w:t>
      </w:r>
    </w:p>
    <w:p w14:paraId="769EA5DA" w14:textId="0032B534" w:rsidR="0035205F" w:rsidRPr="005F0361" w:rsidRDefault="00B4755E" w:rsidP="00F442A0">
      <w:pPr>
        <w:spacing w:before="100" w:beforeAutospacing="1" w:after="100" w:afterAutospacing="1" w:line="360" w:lineRule="auto"/>
        <w:outlineLvl w:val="1"/>
        <w:rPr>
          <w:rFonts w:ascii="Arial" w:eastAsia="Times New Roman" w:hAnsi="Arial" w:cs="Arial"/>
          <w:b/>
          <w:bCs/>
          <w:color w:val="000000"/>
          <w:sz w:val="32"/>
          <w:szCs w:val="32"/>
        </w:rPr>
      </w:pPr>
      <w:r w:rsidRPr="005F0361">
        <w:rPr>
          <w:rFonts w:ascii="Arial" w:eastAsia="Times New Roman" w:hAnsi="Arial" w:cs="Arial"/>
          <w:b/>
          <w:bCs/>
          <w:color w:val="000000"/>
          <w:sz w:val="32"/>
          <w:szCs w:val="32"/>
        </w:rPr>
        <w:t xml:space="preserve">1.2 </w:t>
      </w:r>
      <w:r w:rsidR="0035205F" w:rsidRPr="005F0361">
        <w:rPr>
          <w:rFonts w:ascii="Arial" w:eastAsia="Times New Roman" w:hAnsi="Arial" w:cs="Arial"/>
          <w:b/>
          <w:bCs/>
          <w:color w:val="000000"/>
          <w:sz w:val="32"/>
          <w:szCs w:val="32"/>
        </w:rPr>
        <w:t xml:space="preserve">Erik Erikson’s Psychological Theory </w:t>
      </w:r>
    </w:p>
    <w:p w14:paraId="7088E301" w14:textId="04D81DC6" w:rsidR="0035205F" w:rsidRPr="000B6399" w:rsidRDefault="0035205F" w:rsidP="00F442A0">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color w:val="000000"/>
        </w:rPr>
        <w:t>Erik Erikson</w:t>
      </w:r>
      <w:r w:rsidR="0063709E" w:rsidRPr="005F0361">
        <w:rPr>
          <w:rFonts w:ascii="Arial" w:eastAsia="Times New Roman" w:hAnsi="Arial" w:cs="Arial"/>
          <w:color w:val="000000"/>
        </w:rPr>
        <w:t xml:space="preserve"> proposed eight stages of Psychosocial progress, with the final stage, integrity vs. Despair-occurring in late adulthood (65+). This stage includes reflecting its definition. Successful </w:t>
      </w:r>
      <w:r w:rsidR="004D5E06" w:rsidRPr="005F0361">
        <w:rPr>
          <w:rFonts w:ascii="Arial" w:eastAsia="Times New Roman" w:hAnsi="Arial" w:cs="Arial"/>
          <w:color w:val="000000"/>
        </w:rPr>
        <w:t>purpose leads to integrity, characteri</w:t>
      </w:r>
      <w:r w:rsidR="00DD1832">
        <w:rPr>
          <w:rFonts w:ascii="Arial" w:eastAsia="Times New Roman" w:hAnsi="Arial" w:cs="Arial"/>
          <w:color w:val="000000"/>
        </w:rPr>
        <w:t>s</w:t>
      </w:r>
      <w:r w:rsidR="004D5E06" w:rsidRPr="005F0361">
        <w:rPr>
          <w:rFonts w:ascii="Arial" w:eastAsia="Times New Roman" w:hAnsi="Arial" w:cs="Arial"/>
          <w:color w:val="000000"/>
        </w:rPr>
        <w:t>ed by acceptance and wisdom, while failure can result in despair, marked by regret and fear or death.</w:t>
      </w:r>
      <w:r w:rsidR="009E21A3">
        <w:rPr>
          <w:rFonts w:ascii="Arial" w:eastAsia="Times New Roman" w:hAnsi="Arial" w:cs="Arial"/>
          <w:color w:val="000000"/>
        </w:rPr>
        <w:t xml:space="preserve"> Th</w:t>
      </w:r>
      <w:r w:rsidR="00DD1832">
        <w:rPr>
          <w:rFonts w:ascii="Arial" w:eastAsia="Times New Roman" w:hAnsi="Arial" w:cs="Arial"/>
          <w:color w:val="000000"/>
        </w:rPr>
        <w:t>is is</w:t>
      </w:r>
      <w:r w:rsidR="009E21A3">
        <w:rPr>
          <w:rFonts w:ascii="Arial" w:eastAsia="Times New Roman" w:hAnsi="Arial" w:cs="Arial"/>
          <w:color w:val="000000"/>
        </w:rPr>
        <w:t xml:space="preserve"> why it is important how you talk to people to support them, finding what they have done well.</w:t>
      </w:r>
      <w:r w:rsidR="000B6399">
        <w:rPr>
          <w:rFonts w:ascii="Arial" w:eastAsia="Times New Roman" w:hAnsi="Arial" w:cs="Arial"/>
          <w:color w:val="000000"/>
        </w:rPr>
        <w:t xml:space="preserve"> </w:t>
      </w:r>
      <w:r w:rsidR="000B6399" w:rsidRPr="000B6399">
        <w:rPr>
          <w:b/>
          <w:bCs/>
        </w:rPr>
        <w:t>Gilleard,</w:t>
      </w:r>
      <w:r w:rsidR="00A75931">
        <w:rPr>
          <w:b/>
          <w:bCs/>
        </w:rPr>
        <w:t xml:space="preserve"> </w:t>
      </w:r>
      <w:r w:rsidR="000B6399" w:rsidRPr="000B6399">
        <w:rPr>
          <w:b/>
          <w:bCs/>
        </w:rPr>
        <w:t>C.</w:t>
      </w:r>
      <w:r w:rsidR="00A75931">
        <w:rPr>
          <w:b/>
          <w:bCs/>
        </w:rPr>
        <w:t xml:space="preserve"> </w:t>
      </w:r>
      <w:r w:rsidR="000B6399" w:rsidRPr="000B6399">
        <w:rPr>
          <w:b/>
          <w:bCs/>
        </w:rPr>
        <w:t xml:space="preserve">(2020) </w:t>
      </w:r>
    </w:p>
    <w:p w14:paraId="73CC2786" w14:textId="62D9C2B8" w:rsidR="002B4CA6" w:rsidRPr="00A75931" w:rsidRDefault="004D5E06" w:rsidP="00F442A0">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color w:val="000000"/>
        </w:rPr>
        <w:t xml:space="preserve">Elderly persons often engaged in life review, assessing goals and losses. Dementia complicates this process, as cognitive decline may </w:t>
      </w:r>
      <w:r w:rsidR="00DE138D" w:rsidRPr="005F0361">
        <w:rPr>
          <w:rFonts w:ascii="Arial" w:eastAsia="Times New Roman" w:hAnsi="Arial" w:cs="Arial"/>
          <w:color w:val="000000"/>
        </w:rPr>
        <w:t xml:space="preserve">prevent coherent reflection, increasing the risk of depression. Care practises </w:t>
      </w:r>
      <w:r w:rsidR="009B5AE8" w:rsidRPr="005F0361">
        <w:rPr>
          <w:rFonts w:ascii="Arial" w:eastAsia="Times New Roman" w:hAnsi="Arial" w:cs="Arial"/>
          <w:color w:val="000000"/>
        </w:rPr>
        <w:t xml:space="preserve">compassion and </w:t>
      </w:r>
      <w:r w:rsidR="00DE138D" w:rsidRPr="005F0361">
        <w:rPr>
          <w:rFonts w:ascii="Arial" w:eastAsia="Times New Roman" w:hAnsi="Arial" w:cs="Arial"/>
          <w:color w:val="000000"/>
        </w:rPr>
        <w:t xml:space="preserve">that encourage </w:t>
      </w:r>
      <w:r w:rsidR="009B5AE8" w:rsidRPr="005F0361">
        <w:rPr>
          <w:rFonts w:ascii="Arial" w:eastAsia="Times New Roman" w:hAnsi="Arial" w:cs="Arial"/>
          <w:color w:val="000000"/>
        </w:rPr>
        <w:t>reminiscence therapy, storytelling and validation can foster integrity. Building opportunities for meaningful engagement and affirming personal identity are essential for important for psychological well-being.</w:t>
      </w:r>
      <w:r w:rsidR="00A75931" w:rsidRPr="00A75931">
        <w:t xml:space="preserve"> </w:t>
      </w:r>
      <w:r w:rsidR="00A75931" w:rsidRPr="000B6399">
        <w:rPr>
          <w:b/>
          <w:bCs/>
        </w:rPr>
        <w:t xml:space="preserve">Wang, S.-M. </w:t>
      </w:r>
      <w:r w:rsidR="00A75931" w:rsidRPr="000B6399">
        <w:rPr>
          <w:b/>
          <w:bCs/>
          <w:i/>
          <w:iCs/>
        </w:rPr>
        <w:t>et al.</w:t>
      </w:r>
      <w:r w:rsidR="00A75931" w:rsidRPr="000B6399">
        <w:rPr>
          <w:b/>
          <w:bCs/>
        </w:rPr>
        <w:t xml:space="preserve"> (2021)</w:t>
      </w:r>
      <w:r w:rsidR="00A75931">
        <w:rPr>
          <w:rFonts w:ascii="Arial" w:eastAsia="Times New Roman" w:hAnsi="Arial" w:cs="Arial"/>
          <w:b/>
          <w:bCs/>
          <w:color w:val="000000"/>
        </w:rPr>
        <w:t xml:space="preserve"> </w:t>
      </w:r>
      <w:r w:rsidR="002B4CA6" w:rsidRPr="005F0361">
        <w:rPr>
          <w:rFonts w:ascii="Arial" w:eastAsia="Times New Roman" w:hAnsi="Arial" w:cs="Arial"/>
          <w:color w:val="000000"/>
        </w:rPr>
        <w:t>Health behaviours are influenced by this psychosocial conflict. Individuals experiencing integrity are more likely to support with care plans and maintain emotional stability. On the other hand</w:t>
      </w:r>
      <w:r w:rsidR="005A4E09" w:rsidRPr="005F0361">
        <w:rPr>
          <w:rFonts w:ascii="Arial" w:eastAsia="Times New Roman" w:hAnsi="Arial" w:cs="Arial"/>
          <w:color w:val="000000"/>
        </w:rPr>
        <w:t>,</w:t>
      </w:r>
      <w:r w:rsidR="002B4CA6" w:rsidRPr="005F0361">
        <w:rPr>
          <w:rFonts w:ascii="Arial" w:eastAsia="Times New Roman" w:hAnsi="Arial" w:cs="Arial"/>
          <w:color w:val="000000"/>
        </w:rPr>
        <w:t xml:space="preserve"> those </w:t>
      </w:r>
      <w:r w:rsidR="005A4E09" w:rsidRPr="005F0361">
        <w:rPr>
          <w:rFonts w:ascii="Arial" w:eastAsia="Times New Roman" w:hAnsi="Arial" w:cs="Arial"/>
          <w:color w:val="000000"/>
        </w:rPr>
        <w:t xml:space="preserve">who are struggling in anguish may manifest depression, withdrawal, anxiety, negatively impacting their health outcomes. </w:t>
      </w:r>
    </w:p>
    <w:p w14:paraId="1EBD4A4F" w14:textId="38150F12" w:rsidR="00B4755E" w:rsidRPr="005F0361" w:rsidRDefault="00B4755E" w:rsidP="00B4755E">
      <w:pPr>
        <w:pStyle w:val="Heading2"/>
        <w:numPr>
          <w:ilvl w:val="0"/>
          <w:numId w:val="0"/>
        </w:numPr>
        <w:rPr>
          <w:rFonts w:eastAsia="Times New Roman"/>
        </w:rPr>
      </w:pPr>
      <w:r w:rsidRPr="005F0361">
        <w:rPr>
          <w:rFonts w:eastAsia="Times New Roman"/>
        </w:rPr>
        <w:t xml:space="preserve">2. Application in Health and Social Care </w:t>
      </w:r>
    </w:p>
    <w:p w14:paraId="0095C6E9" w14:textId="0CBB518D" w:rsidR="00B4755E" w:rsidRPr="005F0361" w:rsidRDefault="00B4755E" w:rsidP="00B4755E">
      <w:pPr>
        <w:pStyle w:val="Heading1"/>
        <w:numPr>
          <w:ilvl w:val="0"/>
          <w:numId w:val="0"/>
        </w:numPr>
        <w:rPr>
          <w:rFonts w:ascii="Arial" w:hAnsi="Arial" w:cs="Arial"/>
          <w:sz w:val="32"/>
          <w:szCs w:val="32"/>
        </w:rPr>
      </w:pPr>
      <w:r w:rsidRPr="005F0361">
        <w:rPr>
          <w:rFonts w:ascii="Arial" w:hAnsi="Arial" w:cs="Arial"/>
          <w:sz w:val="32"/>
          <w:szCs w:val="32"/>
        </w:rPr>
        <w:t>2.1 Applying Bowlby’s Theory</w:t>
      </w:r>
    </w:p>
    <w:p w14:paraId="26C6FCF4" w14:textId="69A7E8B2" w:rsidR="00787076" w:rsidRDefault="00B4755E"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 xml:space="preserve">Senior adults </w:t>
      </w:r>
      <w:r w:rsidR="00DB1466" w:rsidRPr="005F0361">
        <w:rPr>
          <w:rFonts w:ascii="Arial" w:eastAsia="Times New Roman" w:hAnsi="Arial" w:cs="Arial"/>
          <w:color w:val="000000"/>
        </w:rPr>
        <w:t xml:space="preserve">often experience loss </w:t>
      </w:r>
      <w:r w:rsidR="009E24F9" w:rsidRPr="005F0361">
        <w:rPr>
          <w:rFonts w:ascii="Arial" w:eastAsia="Times New Roman" w:hAnsi="Arial" w:cs="Arial"/>
          <w:color w:val="000000"/>
        </w:rPr>
        <w:t>of</w:t>
      </w:r>
      <w:r w:rsidR="00DD1832">
        <w:rPr>
          <w:rFonts w:ascii="Arial" w:eastAsia="Times New Roman" w:hAnsi="Arial" w:cs="Arial"/>
          <w:color w:val="000000"/>
        </w:rPr>
        <w:t xml:space="preserve"> memory and</w:t>
      </w:r>
      <w:r w:rsidR="00DB1466" w:rsidRPr="005F0361">
        <w:rPr>
          <w:rFonts w:ascii="Arial" w:eastAsia="Times New Roman" w:hAnsi="Arial" w:cs="Arial"/>
          <w:color w:val="000000"/>
        </w:rPr>
        <w:t xml:space="preserve"> autonomy,</w:t>
      </w:r>
      <w:r w:rsidR="00DD1832">
        <w:rPr>
          <w:rFonts w:ascii="Arial" w:eastAsia="Times New Roman" w:hAnsi="Arial" w:cs="Arial"/>
          <w:color w:val="000000"/>
        </w:rPr>
        <w:t xml:space="preserve"> experience emotional vulnerability</w:t>
      </w:r>
      <w:r w:rsidR="00DB1466" w:rsidRPr="005F0361">
        <w:rPr>
          <w:rFonts w:ascii="Arial" w:eastAsia="Times New Roman" w:hAnsi="Arial" w:cs="Arial"/>
          <w:color w:val="000000"/>
        </w:rPr>
        <w:t>,</w:t>
      </w:r>
      <w:r w:rsidR="00787076">
        <w:rPr>
          <w:rFonts w:ascii="Arial" w:eastAsia="Times New Roman" w:hAnsi="Arial" w:cs="Arial"/>
          <w:color w:val="000000"/>
        </w:rPr>
        <w:t xml:space="preserve"> declining health, and reduce independence, which can activate earlier attachment patterns,</w:t>
      </w:r>
      <w:r w:rsidR="00DB1466" w:rsidRPr="005F0361">
        <w:rPr>
          <w:rFonts w:ascii="Arial" w:eastAsia="Times New Roman" w:hAnsi="Arial" w:cs="Arial"/>
          <w:color w:val="000000"/>
        </w:rPr>
        <w:t xml:space="preserve"> moving in to a new care home, generating attachment connected with stress.</w:t>
      </w:r>
      <w:r w:rsidR="00237BF3" w:rsidRPr="005F0361">
        <w:rPr>
          <w:rFonts w:ascii="Arial" w:eastAsia="Times New Roman" w:hAnsi="Arial" w:cs="Arial"/>
          <w:color w:val="000000"/>
        </w:rPr>
        <w:t xml:space="preserve"> </w:t>
      </w:r>
      <w:r w:rsidR="00787076">
        <w:rPr>
          <w:rFonts w:ascii="Arial" w:eastAsia="Times New Roman" w:hAnsi="Arial" w:cs="Arial"/>
          <w:color w:val="000000"/>
        </w:rPr>
        <w:t>For individuals aged 65+ attachment needs to manifest through:</w:t>
      </w:r>
    </w:p>
    <w:p w14:paraId="2D593DEA" w14:textId="1C5B636F" w:rsidR="00787076" w:rsidRDefault="00787076"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Increased anxiety when routines change or when separated from familiar carers</w:t>
      </w:r>
    </w:p>
    <w:p w14:paraId="67B68CBD" w14:textId="19B3B335" w:rsidR="00787076" w:rsidRDefault="00787076"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Seeking closeness and reassurance, particularly in care homes or clinical settings</w:t>
      </w:r>
    </w:p>
    <w:p w14:paraId="6CB70322" w14:textId="0D771F38" w:rsidR="00787076" w:rsidRDefault="00787076"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 xml:space="preserve">Emotional </w:t>
      </w:r>
      <w:r w:rsidR="00F51176">
        <w:rPr>
          <w:rFonts w:ascii="Arial" w:eastAsia="Times New Roman" w:hAnsi="Arial" w:cs="Arial"/>
          <w:color w:val="000000"/>
        </w:rPr>
        <w:t>rejection</w:t>
      </w:r>
      <w:r>
        <w:rPr>
          <w:rFonts w:ascii="Arial" w:eastAsia="Times New Roman" w:hAnsi="Arial" w:cs="Arial"/>
          <w:color w:val="000000"/>
        </w:rPr>
        <w:t xml:space="preserve"> </w:t>
      </w:r>
      <w:r w:rsidR="00F51176">
        <w:rPr>
          <w:rFonts w:ascii="Arial" w:eastAsia="Times New Roman" w:hAnsi="Arial" w:cs="Arial"/>
          <w:color w:val="000000"/>
        </w:rPr>
        <w:t xml:space="preserve">in individuals with reserved attachment histories </w:t>
      </w:r>
    </w:p>
    <w:p w14:paraId="10D83F76" w14:textId="5307462B" w:rsidR="001C441B" w:rsidRPr="001C441B" w:rsidRDefault="001C441B" w:rsidP="00237BF3">
      <w:pPr>
        <w:spacing w:before="100" w:beforeAutospacing="1" w:after="100" w:afterAutospacing="1" w:line="360" w:lineRule="auto"/>
        <w:outlineLvl w:val="1"/>
        <w:rPr>
          <w:rFonts w:ascii="Arial" w:eastAsia="Times New Roman" w:hAnsi="Arial" w:cs="Arial"/>
          <w:b/>
          <w:bCs/>
          <w:color w:val="000000"/>
        </w:rPr>
      </w:pPr>
      <w:r w:rsidRPr="001C441B">
        <w:rPr>
          <w:b/>
          <w:bCs/>
        </w:rPr>
        <w:t xml:space="preserve">Zullo, L. </w:t>
      </w:r>
      <w:r w:rsidRPr="001C441B">
        <w:rPr>
          <w:b/>
          <w:bCs/>
          <w:i/>
          <w:iCs/>
        </w:rPr>
        <w:t>et al.</w:t>
      </w:r>
      <w:r w:rsidRPr="001C441B">
        <w:rPr>
          <w:b/>
          <w:bCs/>
        </w:rPr>
        <w:t xml:space="preserve"> (2021)</w:t>
      </w:r>
    </w:p>
    <w:p w14:paraId="2BBE5844" w14:textId="77777777" w:rsidR="006242A6" w:rsidRDefault="006242A6" w:rsidP="00237BF3">
      <w:pPr>
        <w:spacing w:before="100" w:beforeAutospacing="1" w:after="100" w:afterAutospacing="1" w:line="360" w:lineRule="auto"/>
        <w:outlineLvl w:val="1"/>
        <w:rPr>
          <w:rFonts w:ascii="Arial" w:eastAsia="Times New Roman" w:hAnsi="Arial" w:cs="Arial"/>
          <w:color w:val="000000"/>
        </w:rPr>
      </w:pPr>
    </w:p>
    <w:p w14:paraId="48DABAC4" w14:textId="6AE34441" w:rsidR="0056673C" w:rsidRPr="005F0361" w:rsidRDefault="00237BF3"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Professionals can:</w:t>
      </w:r>
    </w:p>
    <w:p w14:paraId="7A0FE9C8" w14:textId="77777777" w:rsidR="00EC00A0" w:rsidRPr="005F0361" w:rsidRDefault="00EC00A0"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 xml:space="preserve">Foster secure relationships: </w:t>
      </w:r>
    </w:p>
    <w:p w14:paraId="39BAC64A" w14:textId="74AE9623" w:rsidR="00EC00A0" w:rsidRPr="005F0361" w:rsidRDefault="00EC00A0"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Consistent, empathetic interactions build trust.</w:t>
      </w:r>
    </w:p>
    <w:p w14:paraId="071E450E" w14:textId="57C424D0" w:rsidR="009E24F9" w:rsidRPr="005F0361" w:rsidRDefault="009E24F9"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Provide a “secure base”:</w:t>
      </w:r>
    </w:p>
    <w:p w14:paraId="17A2C820" w14:textId="43FE19C8" w:rsidR="009E24F9" w:rsidRPr="005F0361" w:rsidRDefault="009E24F9"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Encourage independence while offering emotional support.</w:t>
      </w:r>
    </w:p>
    <w:p w14:paraId="13E19FC2" w14:textId="3885CCC1" w:rsidR="00AA51E1" w:rsidRDefault="00AA51E1" w:rsidP="00237BF3">
      <w:pPr>
        <w:spacing w:before="100" w:beforeAutospacing="1" w:after="100" w:afterAutospacing="1" w:line="360" w:lineRule="auto"/>
        <w:outlineLvl w:val="1"/>
        <w:rPr>
          <w:rFonts w:ascii="Arial" w:eastAsia="Times New Roman" w:hAnsi="Arial" w:cs="Arial"/>
          <w:b/>
          <w:bCs/>
          <w:color w:val="000000"/>
        </w:rPr>
      </w:pPr>
      <w:r>
        <w:rPr>
          <w:rFonts w:ascii="Arial" w:eastAsia="Times New Roman" w:hAnsi="Arial" w:cs="Arial"/>
          <w:b/>
          <w:bCs/>
          <w:color w:val="000000"/>
        </w:rPr>
        <w:t>Relevance to Dementia</w:t>
      </w:r>
    </w:p>
    <w:p w14:paraId="2C1A6669" w14:textId="447E4B86" w:rsidR="00AA51E1" w:rsidRDefault="00AA51E1" w:rsidP="00237BF3">
      <w:pPr>
        <w:spacing w:before="100" w:beforeAutospacing="1" w:after="100" w:afterAutospacing="1" w:line="360" w:lineRule="auto"/>
        <w:outlineLvl w:val="1"/>
        <w:rPr>
          <w:rFonts w:ascii="Arial" w:eastAsia="Times New Roman" w:hAnsi="Arial" w:cs="Arial"/>
          <w:color w:val="000000"/>
        </w:rPr>
      </w:pPr>
      <w:r w:rsidRPr="00AA51E1">
        <w:rPr>
          <w:rFonts w:ascii="Arial" w:eastAsia="Times New Roman" w:hAnsi="Arial" w:cs="Arial"/>
          <w:color w:val="000000"/>
        </w:rPr>
        <w:t>Attachment-related</w:t>
      </w:r>
      <w:r>
        <w:rPr>
          <w:rFonts w:ascii="Arial" w:eastAsia="Times New Roman" w:hAnsi="Arial" w:cs="Arial"/>
          <w:color w:val="000000"/>
        </w:rPr>
        <w:t xml:space="preserve"> responses can intensify in dementia due to:</w:t>
      </w:r>
    </w:p>
    <w:p w14:paraId="5509C0EF" w14:textId="6AECC9AD" w:rsidR="00AA51E1" w:rsidRDefault="00AA51E1"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 xml:space="preserve">Loss of memory increasing separation anxiety </w:t>
      </w:r>
    </w:p>
    <w:p w14:paraId="7679BEE4" w14:textId="3954BA95" w:rsidR="00AA51E1" w:rsidRDefault="00AA51E1"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Reduced cognitive ability leading to mistrust</w:t>
      </w:r>
    </w:p>
    <w:p w14:paraId="02CAC972" w14:textId="7DEF3DFE" w:rsidR="00AA51E1" w:rsidRPr="00AA51E1" w:rsidRDefault="00AA51E1"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Fear of unfamiliar people or environments</w:t>
      </w:r>
    </w:p>
    <w:p w14:paraId="3B5B627C" w14:textId="54F0807A" w:rsidR="009E24F9" w:rsidRPr="005F0361" w:rsidRDefault="009E24F9"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Adapt communication:</w:t>
      </w:r>
    </w:p>
    <w:p w14:paraId="41BBA9DB" w14:textId="00FA200F" w:rsidR="009E24F9" w:rsidRPr="005F0361" w:rsidRDefault="009E24F9"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Recognize attachment styles-avoidant individuals may resist closeness, while anxious and distress individuals look for reassurance</w:t>
      </w:r>
      <w:r w:rsidR="00415E0D" w:rsidRPr="005F0361">
        <w:rPr>
          <w:rFonts w:ascii="Arial" w:eastAsia="Times New Roman" w:hAnsi="Arial" w:cs="Arial"/>
          <w:color w:val="000000"/>
        </w:rPr>
        <w:t>.</w:t>
      </w:r>
    </w:p>
    <w:p w14:paraId="1B6FB724" w14:textId="5806A99E" w:rsidR="007D170B" w:rsidRPr="005F0361" w:rsidRDefault="007D170B"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Example: In a dementia care home, a resident with an anxious attachment style may exhibit short of breath when members of staff change frequently. Assigning a regular caregiver can reduce distress symptoms and can improve collaboration.</w:t>
      </w:r>
    </w:p>
    <w:p w14:paraId="05B4ABAF" w14:textId="21873D49" w:rsidR="007D170B" w:rsidRPr="007F1F11" w:rsidRDefault="007D170B" w:rsidP="00237BF3">
      <w:pPr>
        <w:spacing w:before="100" w:beforeAutospacing="1" w:after="100" w:afterAutospacing="1" w:line="360" w:lineRule="auto"/>
        <w:outlineLvl w:val="1"/>
        <w:rPr>
          <w:rFonts w:ascii="Arial" w:eastAsia="Times New Roman" w:hAnsi="Arial" w:cs="Arial"/>
          <w:b/>
          <w:bCs/>
          <w:color w:val="000000"/>
          <w:sz w:val="28"/>
          <w:szCs w:val="28"/>
        </w:rPr>
      </w:pPr>
      <w:r w:rsidRPr="007F1F11">
        <w:rPr>
          <w:rFonts w:ascii="Arial" w:eastAsia="Times New Roman" w:hAnsi="Arial" w:cs="Arial"/>
          <w:b/>
          <w:bCs/>
          <w:color w:val="000000"/>
          <w:sz w:val="28"/>
          <w:szCs w:val="28"/>
        </w:rPr>
        <w:t xml:space="preserve">2. Application in Health and Social Care </w:t>
      </w:r>
    </w:p>
    <w:p w14:paraId="275D9455" w14:textId="54E981EB" w:rsidR="007D170B" w:rsidRDefault="007D170B" w:rsidP="00237BF3">
      <w:pPr>
        <w:spacing w:before="100" w:beforeAutospacing="1" w:after="100" w:afterAutospacing="1" w:line="360" w:lineRule="auto"/>
        <w:outlineLvl w:val="1"/>
        <w:rPr>
          <w:rFonts w:ascii="Arial" w:eastAsia="Times New Roman" w:hAnsi="Arial" w:cs="Arial"/>
          <w:b/>
          <w:bCs/>
          <w:color w:val="000000"/>
          <w:sz w:val="28"/>
          <w:szCs w:val="28"/>
        </w:rPr>
      </w:pPr>
      <w:r w:rsidRPr="006242A6">
        <w:rPr>
          <w:rFonts w:ascii="Arial" w:eastAsia="Times New Roman" w:hAnsi="Arial" w:cs="Arial"/>
          <w:b/>
          <w:bCs/>
          <w:color w:val="000000"/>
          <w:sz w:val="28"/>
          <w:szCs w:val="28"/>
        </w:rPr>
        <w:t>2.2 Applying Erikson’s Theory</w:t>
      </w:r>
    </w:p>
    <w:p w14:paraId="7A0836A9" w14:textId="5821D52D" w:rsidR="007F1F11" w:rsidRPr="007F1F11" w:rsidRDefault="007F1F11" w:rsidP="00237BF3">
      <w:pPr>
        <w:spacing w:before="100" w:beforeAutospacing="1" w:after="100" w:afterAutospacing="1" w:line="360" w:lineRule="auto"/>
        <w:outlineLvl w:val="1"/>
        <w:rPr>
          <w:rFonts w:ascii="Arial" w:eastAsia="Times New Roman" w:hAnsi="Arial" w:cs="Arial"/>
          <w:color w:val="000000"/>
        </w:rPr>
      </w:pPr>
      <w:r w:rsidRPr="007F1F11">
        <w:rPr>
          <w:rFonts w:ascii="Arial" w:eastAsia="Times New Roman" w:hAnsi="Arial" w:cs="Arial"/>
          <w:color w:val="000000"/>
        </w:rPr>
        <w:t>C</w:t>
      </w:r>
      <w:r>
        <w:rPr>
          <w:rFonts w:ascii="Arial" w:eastAsia="Times New Roman" w:hAnsi="Arial" w:cs="Arial"/>
          <w:color w:val="000000"/>
        </w:rPr>
        <w:t>are strategies should address the integrity vs. Retraction disagreement:</w:t>
      </w:r>
    </w:p>
    <w:p w14:paraId="70927206" w14:textId="291169B0" w:rsidR="007D170B" w:rsidRPr="005F0361" w:rsidRDefault="007D170B"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Life review therapy:</w:t>
      </w:r>
      <w:r w:rsidR="00362973" w:rsidRPr="005F0361">
        <w:rPr>
          <w:rFonts w:ascii="Arial" w:eastAsia="Times New Roman" w:hAnsi="Arial" w:cs="Arial"/>
          <w:color w:val="000000"/>
        </w:rPr>
        <w:t xml:space="preserve"> Encourages, reflection on achievements, promoting integrity.</w:t>
      </w:r>
    </w:p>
    <w:p w14:paraId="6A164967" w14:textId="77777777" w:rsidR="007F1F11" w:rsidRDefault="00362973"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Validation therapy: Acknowledges feelings rather than correcting memory mistakes, reducing anguish.</w:t>
      </w:r>
    </w:p>
    <w:p w14:paraId="4840E0C2" w14:textId="00C03DFA" w:rsidR="00362973" w:rsidRPr="005F0361" w:rsidRDefault="00362973"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lastRenderedPageBreak/>
        <w:t>Generativity opportunities: Involve senior adults in mentoring or storytelling to maintain prospects.</w:t>
      </w:r>
    </w:p>
    <w:p w14:paraId="6CCAC5B6" w14:textId="27FE82F8" w:rsidR="000B6399" w:rsidRDefault="00362973" w:rsidP="006242A6">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 xml:space="preserve">Example: A dementia resident showing regret over missed opportunities </w:t>
      </w:r>
      <w:r w:rsidR="00560BCB" w:rsidRPr="005F0361">
        <w:rPr>
          <w:rFonts w:ascii="Arial" w:eastAsia="Times New Roman" w:hAnsi="Arial" w:cs="Arial"/>
          <w:color w:val="000000"/>
        </w:rPr>
        <w:t>may benefit from remembrance sessions, fostering acceptance and minimise depressive symptom</w:t>
      </w:r>
      <w:r w:rsidR="000B6399">
        <w:rPr>
          <w:rFonts w:ascii="Arial" w:eastAsia="Times New Roman" w:hAnsi="Arial" w:cs="Arial"/>
          <w:color w:val="000000"/>
        </w:rPr>
        <w:t xml:space="preserve"> </w:t>
      </w:r>
    </w:p>
    <w:p w14:paraId="70ECBF9C" w14:textId="77777777" w:rsidR="007F1F11" w:rsidRPr="006242A6" w:rsidRDefault="007F1F11" w:rsidP="006242A6">
      <w:pPr>
        <w:spacing w:before="100" w:beforeAutospacing="1" w:after="100" w:afterAutospacing="1" w:line="360" w:lineRule="auto"/>
        <w:outlineLvl w:val="1"/>
        <w:rPr>
          <w:rFonts w:ascii="Arial" w:eastAsia="Times New Roman" w:hAnsi="Arial" w:cs="Arial"/>
          <w:color w:val="000000"/>
        </w:rPr>
      </w:pPr>
    </w:p>
    <w:p w14:paraId="7C7F63AE" w14:textId="1FCC46D2" w:rsidR="00560BCB" w:rsidRPr="005F0361" w:rsidRDefault="00560BCB" w:rsidP="00237BF3">
      <w:pPr>
        <w:spacing w:before="100" w:beforeAutospacing="1" w:after="100" w:afterAutospacing="1" w:line="360" w:lineRule="auto"/>
        <w:outlineLvl w:val="1"/>
        <w:rPr>
          <w:rFonts w:ascii="Arial" w:eastAsia="Times New Roman" w:hAnsi="Arial" w:cs="Arial"/>
          <w:b/>
          <w:bCs/>
          <w:color w:val="000000"/>
          <w:sz w:val="32"/>
          <w:szCs w:val="32"/>
        </w:rPr>
      </w:pPr>
      <w:r w:rsidRPr="005F0361">
        <w:rPr>
          <w:rFonts w:ascii="Arial" w:eastAsia="Times New Roman" w:hAnsi="Arial" w:cs="Arial"/>
          <w:b/>
          <w:bCs/>
          <w:color w:val="000000"/>
          <w:sz w:val="32"/>
          <w:szCs w:val="32"/>
        </w:rPr>
        <w:t>Critical Evaluation of Theories</w:t>
      </w:r>
    </w:p>
    <w:p w14:paraId="0AF8F7E2" w14:textId="60551B86" w:rsidR="00560BCB" w:rsidRPr="005F0361" w:rsidRDefault="00560BCB"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Strengths</w:t>
      </w:r>
    </w:p>
    <w:p w14:paraId="7754FEDB" w14:textId="60FD1592" w:rsidR="009E24F9" w:rsidRPr="005F0361" w:rsidRDefault="0088105B"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Complete</w:t>
      </w:r>
      <w:r w:rsidR="00560BCB" w:rsidRPr="005F0361">
        <w:rPr>
          <w:rFonts w:ascii="Arial" w:eastAsia="Times New Roman" w:hAnsi="Arial" w:cs="Arial"/>
          <w:color w:val="000000"/>
        </w:rPr>
        <w:t xml:space="preserve"> perspective: Both theories consider emotional and relational dimensions, essential for person centred care.</w:t>
      </w:r>
    </w:p>
    <w:p w14:paraId="732540BE" w14:textId="77777777" w:rsidR="00582ABA" w:rsidRPr="005F0361" w:rsidRDefault="00560BCB"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Predictive value: Attachment theory explains behavioural responses to dependency</w:t>
      </w:r>
      <w:r w:rsidR="00582ABA" w:rsidRPr="005F0361">
        <w:rPr>
          <w:rFonts w:ascii="Arial" w:eastAsia="Times New Roman" w:hAnsi="Arial" w:cs="Arial"/>
          <w:color w:val="000000"/>
        </w:rPr>
        <w:t>; Erikson’s model anticipates factual concerns in late life.</w:t>
      </w:r>
    </w:p>
    <w:p w14:paraId="282F761A" w14:textId="77777777" w:rsidR="00582ABA" w:rsidRPr="005F0361" w:rsidRDefault="00582ABA"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Practical interventions: Life review and attachment-informed care improve well-being.</w:t>
      </w:r>
    </w:p>
    <w:p w14:paraId="7DBFDC70" w14:textId="18119266" w:rsidR="00560BCB" w:rsidRPr="005F0361" w:rsidRDefault="00582ABA"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 xml:space="preserve">Limitations </w:t>
      </w:r>
    </w:p>
    <w:p w14:paraId="71047AAB" w14:textId="4AE1FBE5" w:rsidR="000C6405" w:rsidRPr="005F0361" w:rsidRDefault="000C6405"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 xml:space="preserve">Cultural bias: </w:t>
      </w:r>
      <w:r w:rsidR="00D3095B" w:rsidRPr="005F0361">
        <w:rPr>
          <w:rFonts w:ascii="Arial" w:eastAsia="Times New Roman" w:hAnsi="Arial" w:cs="Arial"/>
          <w:color w:val="000000"/>
        </w:rPr>
        <w:t>Both theories appeared in Western context; assumptions about autonomy and intimacy may not apply globally.</w:t>
      </w:r>
    </w:p>
    <w:p w14:paraId="61F97A75" w14:textId="7A7E822C" w:rsidR="00D3095B" w:rsidRPr="005F0361" w:rsidRDefault="00D3095B"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Static view: Bowlby highlighted early experiences, underestimating, later-life changes; Erikson’s assumes linear development where dementia disturbs.</w:t>
      </w:r>
    </w:p>
    <w:p w14:paraId="621E15CE" w14:textId="5511E75E" w:rsidR="00D3095B" w:rsidRPr="005F0361" w:rsidRDefault="00D3095B"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Assessment challenges:</w:t>
      </w:r>
    </w:p>
    <w:p w14:paraId="4E9912E2" w14:textId="10A5AD38" w:rsidR="00D3095B" w:rsidRDefault="003061D7"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Identifying attachment styles or psychosocial stage requires specialist training, often lacking in care settings.</w:t>
      </w:r>
    </w:p>
    <w:p w14:paraId="6910A434" w14:textId="1ED2F078" w:rsidR="00D3095B" w:rsidRPr="005F0361" w:rsidRDefault="003061D7" w:rsidP="00237BF3">
      <w:pPr>
        <w:spacing w:before="100" w:beforeAutospacing="1" w:after="100" w:afterAutospacing="1" w:line="360" w:lineRule="auto"/>
        <w:outlineLvl w:val="1"/>
        <w:rPr>
          <w:rFonts w:ascii="Arial" w:eastAsia="Times New Roman" w:hAnsi="Arial" w:cs="Arial"/>
          <w:b/>
          <w:bCs/>
          <w:color w:val="000000"/>
          <w:sz w:val="32"/>
          <w:szCs w:val="32"/>
        </w:rPr>
      </w:pPr>
      <w:r w:rsidRPr="005F0361">
        <w:rPr>
          <w:rFonts w:ascii="Arial" w:eastAsia="Times New Roman" w:hAnsi="Arial" w:cs="Arial"/>
          <w:color w:val="000000"/>
        </w:rPr>
        <w:t xml:space="preserve">4. </w:t>
      </w:r>
      <w:r w:rsidRPr="005F0361">
        <w:rPr>
          <w:rFonts w:ascii="Arial" w:eastAsia="Times New Roman" w:hAnsi="Arial" w:cs="Arial"/>
          <w:b/>
          <w:bCs/>
          <w:color w:val="000000"/>
          <w:sz w:val="32"/>
          <w:szCs w:val="32"/>
        </w:rPr>
        <w:t>Professional Challenges in Dementia Care</w:t>
      </w:r>
    </w:p>
    <w:p w14:paraId="02F1DC39" w14:textId="7F6E28B8" w:rsidR="003061D7" w:rsidRPr="005F0361" w:rsidRDefault="000012A9"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Communication barriers: Cognitive decrease limits verbal communication, complicating attachment-based interventions.</w:t>
      </w:r>
    </w:p>
    <w:p w14:paraId="375B906A" w14:textId="11AFC48A" w:rsidR="000012A9" w:rsidRPr="005F0361" w:rsidRDefault="000012A9"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Behavioural symptoms: Aggression, wandering, and resistance to care may s</w:t>
      </w:r>
      <w:r w:rsidR="00423C1A" w:rsidRPr="005F0361">
        <w:rPr>
          <w:rFonts w:ascii="Arial" w:eastAsia="Times New Roman" w:hAnsi="Arial" w:cs="Arial"/>
          <w:color w:val="000000"/>
        </w:rPr>
        <w:t>tem from attachment insecurity or despair.</w:t>
      </w:r>
    </w:p>
    <w:p w14:paraId="4E118B53" w14:textId="13F40EF7" w:rsidR="00423C1A" w:rsidRPr="005F0361" w:rsidRDefault="00423C1A"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lastRenderedPageBreak/>
        <w:t xml:space="preserve">Resource </w:t>
      </w:r>
      <w:r w:rsidR="004E574D" w:rsidRPr="005F0361">
        <w:rPr>
          <w:rFonts w:ascii="Arial" w:eastAsia="Times New Roman" w:hAnsi="Arial" w:cs="Arial"/>
          <w:color w:val="000000"/>
        </w:rPr>
        <w:t>limitation: High staff turnover compromise continuity essential for secure relationships.</w:t>
      </w:r>
    </w:p>
    <w:p w14:paraId="0DF2381C" w14:textId="77777777" w:rsidR="00A31F60" w:rsidRDefault="004E574D"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Emotional burden: Professionals may experience stress when addressing existential distress or attachment-related anxiety.</w:t>
      </w:r>
    </w:p>
    <w:p w14:paraId="3FCC11C7" w14:textId="0E2D4599" w:rsidR="00A7410C" w:rsidRDefault="00A7410C" w:rsidP="00237BF3">
      <w:pPr>
        <w:spacing w:before="100" w:beforeAutospacing="1" w:after="100" w:afterAutospacing="1" w:line="360" w:lineRule="auto"/>
        <w:outlineLvl w:val="1"/>
        <w:rPr>
          <w:rFonts w:ascii="Arial" w:eastAsia="Times New Roman" w:hAnsi="Arial" w:cs="Arial"/>
          <w:b/>
          <w:bCs/>
          <w:color w:val="000000"/>
        </w:rPr>
      </w:pPr>
      <w:r w:rsidRPr="00A7410C">
        <w:rPr>
          <w:rFonts w:ascii="Arial" w:eastAsia="Times New Roman" w:hAnsi="Arial" w:cs="Arial"/>
          <w:b/>
          <w:bCs/>
          <w:color w:val="000000"/>
        </w:rPr>
        <w:t>4.1 Communication Barriers</w:t>
      </w:r>
    </w:p>
    <w:p w14:paraId="1A93A7B1" w14:textId="363ADF22" w:rsidR="00A7410C" w:rsidRDefault="002B4EF7" w:rsidP="00237BF3">
      <w:pPr>
        <w:spacing w:before="100" w:beforeAutospacing="1" w:after="100" w:afterAutospacing="1" w:line="360" w:lineRule="auto"/>
        <w:outlineLvl w:val="1"/>
        <w:rPr>
          <w:rFonts w:ascii="Arial" w:eastAsia="Times New Roman" w:hAnsi="Arial" w:cs="Arial"/>
          <w:color w:val="000000"/>
        </w:rPr>
      </w:pPr>
      <w:r w:rsidRPr="002B4EF7">
        <w:rPr>
          <w:rFonts w:ascii="Arial" w:eastAsia="Times New Roman" w:hAnsi="Arial" w:cs="Arial"/>
          <w:color w:val="000000"/>
        </w:rPr>
        <w:t>Dementia</w:t>
      </w:r>
      <w:r>
        <w:rPr>
          <w:rFonts w:ascii="Arial" w:eastAsia="Times New Roman" w:hAnsi="Arial" w:cs="Arial"/>
          <w:color w:val="000000"/>
        </w:rPr>
        <w:t xml:space="preserve"> gradually impairs language and comprehension, making it difficult for Health care professionals to establish meaningful dialogue. This limits the effectiveness of interventions such as life review therapy or attachment-based reassurance, which rely on verbal interaction. Non-verbal cues become essential, but interpreting them accurately requires a specialized training.</w:t>
      </w:r>
    </w:p>
    <w:p w14:paraId="3FBC928D" w14:textId="77777777" w:rsidR="002B4EF7" w:rsidRPr="00D0159D" w:rsidRDefault="002B4EF7" w:rsidP="00237BF3">
      <w:pPr>
        <w:spacing w:before="100" w:beforeAutospacing="1" w:after="100" w:afterAutospacing="1" w:line="360" w:lineRule="auto"/>
        <w:outlineLvl w:val="1"/>
        <w:rPr>
          <w:rFonts w:ascii="Arial" w:eastAsia="Times New Roman" w:hAnsi="Arial" w:cs="Arial"/>
          <w:b/>
          <w:bCs/>
          <w:color w:val="000000"/>
        </w:rPr>
      </w:pPr>
      <w:r w:rsidRPr="00D0159D">
        <w:rPr>
          <w:rFonts w:ascii="Arial" w:eastAsia="Times New Roman" w:hAnsi="Arial" w:cs="Arial"/>
          <w:b/>
          <w:bCs/>
          <w:color w:val="000000"/>
        </w:rPr>
        <w:t>4.2 Emotional Burden and Burnout</w:t>
      </w:r>
    </w:p>
    <w:p w14:paraId="057854F4" w14:textId="4BE838FC" w:rsidR="002B4EF7" w:rsidRDefault="002B4EF7"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 xml:space="preserve">Applying Bowlby’s and Erikson’s theory demands empathy and sustained emotional engagement. </w:t>
      </w:r>
      <w:r w:rsidR="00D0159D">
        <w:rPr>
          <w:rFonts w:ascii="Arial" w:eastAsia="Times New Roman" w:hAnsi="Arial" w:cs="Arial"/>
          <w:color w:val="000000"/>
        </w:rPr>
        <w:t>Professionals might experience fatigue when dealing repeatedly addressing fundamental despair of attachment-related anxiety.</w:t>
      </w:r>
    </w:p>
    <w:p w14:paraId="50D4FB84" w14:textId="77777777" w:rsidR="00D0159D" w:rsidRPr="002B4EF7" w:rsidRDefault="00D0159D" w:rsidP="00237BF3">
      <w:pPr>
        <w:spacing w:before="100" w:beforeAutospacing="1" w:after="100" w:afterAutospacing="1" w:line="360" w:lineRule="auto"/>
        <w:outlineLvl w:val="1"/>
        <w:rPr>
          <w:rFonts w:ascii="Arial" w:eastAsia="Times New Roman" w:hAnsi="Arial" w:cs="Arial"/>
          <w:color w:val="000000"/>
        </w:rPr>
      </w:pPr>
    </w:p>
    <w:p w14:paraId="33E235BA" w14:textId="21B415BB" w:rsidR="004E574D" w:rsidRPr="00A31F60" w:rsidRDefault="0005087F"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b/>
          <w:bCs/>
          <w:color w:val="000000"/>
          <w:sz w:val="32"/>
          <w:szCs w:val="32"/>
        </w:rPr>
        <w:t xml:space="preserve">5. Strategies to support professionals </w:t>
      </w:r>
    </w:p>
    <w:p w14:paraId="2BD45163" w14:textId="26718031" w:rsidR="0005087F" w:rsidRPr="005F0361" w:rsidRDefault="0005087F" w:rsidP="00237BF3">
      <w:pPr>
        <w:spacing w:before="100" w:beforeAutospacing="1" w:after="100" w:afterAutospacing="1" w:line="360" w:lineRule="auto"/>
        <w:outlineLvl w:val="1"/>
        <w:rPr>
          <w:rFonts w:ascii="Arial" w:eastAsia="Times New Roman" w:hAnsi="Arial" w:cs="Arial"/>
          <w:b/>
          <w:bCs/>
          <w:color w:val="000000"/>
        </w:rPr>
      </w:pPr>
      <w:r w:rsidRPr="005F0361">
        <w:rPr>
          <w:rFonts w:ascii="Arial" w:eastAsia="Times New Roman" w:hAnsi="Arial" w:cs="Arial"/>
          <w:b/>
          <w:bCs/>
          <w:color w:val="000000"/>
        </w:rPr>
        <w:t>5.1 Training and education</w:t>
      </w:r>
    </w:p>
    <w:p w14:paraId="3A1DB0A2" w14:textId="77777777" w:rsidR="0005087F" w:rsidRPr="005F0361" w:rsidRDefault="0005087F"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Attachment-informed care training: Helps staff recognize emotional needs and respond empathetically.</w:t>
      </w:r>
    </w:p>
    <w:p w14:paraId="0C6FAB0E" w14:textId="77777777" w:rsidR="0005087F" w:rsidRPr="005F0361" w:rsidRDefault="0005087F"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Psychosocial interventions: Teach life review, reminiscence, and validation techniques.</w:t>
      </w:r>
    </w:p>
    <w:p w14:paraId="7234A284" w14:textId="04A9A1A9" w:rsidR="0005087F" w:rsidRPr="007F1F11" w:rsidRDefault="0005087F" w:rsidP="00237BF3">
      <w:pPr>
        <w:spacing w:before="100" w:beforeAutospacing="1" w:after="100" w:afterAutospacing="1" w:line="360" w:lineRule="auto"/>
        <w:outlineLvl w:val="1"/>
        <w:rPr>
          <w:rFonts w:ascii="Arial" w:eastAsia="Times New Roman" w:hAnsi="Arial" w:cs="Arial"/>
          <w:b/>
          <w:bCs/>
          <w:color w:val="000000"/>
          <w:sz w:val="28"/>
          <w:szCs w:val="28"/>
        </w:rPr>
      </w:pPr>
      <w:r w:rsidRPr="007F1F11">
        <w:rPr>
          <w:rFonts w:ascii="Arial" w:eastAsia="Times New Roman" w:hAnsi="Arial" w:cs="Arial"/>
          <w:b/>
          <w:bCs/>
          <w:color w:val="000000"/>
          <w:sz w:val="28"/>
          <w:szCs w:val="28"/>
        </w:rPr>
        <w:t>5.2</w:t>
      </w:r>
      <w:r w:rsidR="00B76CCF" w:rsidRPr="007F1F11">
        <w:rPr>
          <w:rFonts w:ascii="Arial" w:eastAsia="Times New Roman" w:hAnsi="Arial" w:cs="Arial"/>
          <w:b/>
          <w:bCs/>
          <w:color w:val="000000"/>
          <w:sz w:val="28"/>
          <w:szCs w:val="28"/>
        </w:rPr>
        <w:t xml:space="preserve"> Non-Pharmaceutical Approaches: </w:t>
      </w:r>
      <w:r w:rsidRPr="007F1F11">
        <w:rPr>
          <w:rFonts w:ascii="Arial" w:eastAsia="Times New Roman" w:hAnsi="Arial" w:cs="Arial"/>
          <w:b/>
          <w:bCs/>
          <w:color w:val="000000"/>
          <w:sz w:val="28"/>
          <w:szCs w:val="28"/>
        </w:rPr>
        <w:t xml:space="preserve"> </w:t>
      </w:r>
    </w:p>
    <w:p w14:paraId="0D6C5BFA" w14:textId="722B4BE0" w:rsidR="00B76CCF" w:rsidRPr="005F0361" w:rsidRDefault="00B76CCF"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 xml:space="preserve">Social management plans: </w:t>
      </w:r>
      <w:r w:rsidR="005F0361" w:rsidRPr="005F0361">
        <w:rPr>
          <w:rFonts w:ascii="Arial" w:eastAsia="Times New Roman" w:hAnsi="Arial" w:cs="Arial"/>
          <w:color w:val="000000"/>
        </w:rPr>
        <w:t>Use positive reinforcement and structure routines.</w:t>
      </w:r>
    </w:p>
    <w:p w14:paraId="73B1525B" w14:textId="776454F8" w:rsidR="005F0361" w:rsidRPr="009E21A3" w:rsidRDefault="005F0361" w:rsidP="00237BF3">
      <w:pPr>
        <w:spacing w:before="100" w:beforeAutospacing="1" w:after="100" w:afterAutospacing="1" w:line="360" w:lineRule="auto"/>
        <w:outlineLvl w:val="1"/>
        <w:rPr>
          <w:rFonts w:ascii="Arial" w:eastAsia="Times New Roman" w:hAnsi="Arial" w:cs="Arial"/>
          <w:color w:val="000000"/>
          <w:lang w:val="fr-FR"/>
        </w:rPr>
      </w:pPr>
      <w:r w:rsidRPr="009E21A3">
        <w:rPr>
          <w:rFonts w:ascii="Arial" w:eastAsia="Times New Roman" w:hAnsi="Arial" w:cs="Arial"/>
          <w:color w:val="000000"/>
          <w:lang w:val="fr-FR"/>
        </w:rPr>
        <w:t>Communication</w:t>
      </w:r>
      <w:r w:rsidR="00BF1D34">
        <w:rPr>
          <w:rFonts w:ascii="Arial" w:eastAsia="Times New Roman" w:hAnsi="Arial" w:cs="Arial"/>
          <w:color w:val="000000"/>
          <w:lang w:val="fr-FR"/>
        </w:rPr>
        <w:t xml:space="preserve"> strategies</w:t>
      </w:r>
      <w:r w:rsidRPr="009E21A3">
        <w:rPr>
          <w:rFonts w:ascii="Arial" w:eastAsia="Times New Roman" w:hAnsi="Arial" w:cs="Arial"/>
          <w:color w:val="000000"/>
          <w:lang w:val="fr-FR"/>
        </w:rPr>
        <w:t>: Combine verbal and non-verbal techniques, personalize interactions.</w:t>
      </w:r>
    </w:p>
    <w:p w14:paraId="1252E054" w14:textId="0B1DD7AB" w:rsidR="005F0361" w:rsidRPr="0088105B" w:rsidRDefault="005F0361" w:rsidP="00237BF3">
      <w:pPr>
        <w:spacing w:before="100" w:beforeAutospacing="1" w:after="100" w:afterAutospacing="1" w:line="360" w:lineRule="auto"/>
        <w:outlineLvl w:val="1"/>
        <w:rPr>
          <w:rFonts w:ascii="Arial" w:eastAsia="Times New Roman" w:hAnsi="Arial" w:cs="Arial"/>
          <w:b/>
          <w:bCs/>
          <w:color w:val="000000"/>
          <w:sz w:val="28"/>
          <w:szCs w:val="28"/>
        </w:rPr>
      </w:pPr>
    </w:p>
    <w:p w14:paraId="40D3EAB4" w14:textId="693408E2" w:rsidR="005F0361" w:rsidRPr="005F0361" w:rsidRDefault="005F0361"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lastRenderedPageBreak/>
        <w:t>Consistent caregivers, reduces anxiety and fosters trust.</w:t>
      </w:r>
    </w:p>
    <w:p w14:paraId="69FE0537" w14:textId="26A8284F" w:rsidR="005F0361" w:rsidRDefault="005F0361" w:rsidP="00237BF3">
      <w:pPr>
        <w:spacing w:before="100" w:beforeAutospacing="1" w:after="100" w:afterAutospacing="1" w:line="360" w:lineRule="auto"/>
        <w:outlineLvl w:val="1"/>
        <w:rPr>
          <w:rFonts w:ascii="Arial" w:eastAsia="Times New Roman" w:hAnsi="Arial" w:cs="Arial"/>
          <w:color w:val="000000"/>
        </w:rPr>
      </w:pPr>
      <w:r w:rsidRPr="005F0361">
        <w:rPr>
          <w:rFonts w:ascii="Arial" w:eastAsia="Times New Roman" w:hAnsi="Arial" w:cs="Arial"/>
          <w:color w:val="000000"/>
        </w:rPr>
        <w:t xml:space="preserve">Reflective practice groups: Allow personal to share experiences </w:t>
      </w:r>
      <w:r>
        <w:rPr>
          <w:rFonts w:ascii="Arial" w:eastAsia="Times New Roman" w:hAnsi="Arial" w:cs="Arial"/>
          <w:color w:val="000000"/>
        </w:rPr>
        <w:t>and manage emotional strain.</w:t>
      </w:r>
    </w:p>
    <w:p w14:paraId="0E4FE0B2" w14:textId="59AF7ACA" w:rsidR="00A31F60" w:rsidRDefault="00A31F60"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Use memory books, photographs, or music from earlier decades</w:t>
      </w:r>
    </w:p>
    <w:p w14:paraId="26087843" w14:textId="525F7811" w:rsidR="00A31F60" w:rsidRDefault="00A31F60"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Encourage storytelling where cognition allows</w:t>
      </w:r>
    </w:p>
    <w:p w14:paraId="67CCE2D7" w14:textId="64835E1E" w:rsidR="00A31F60" w:rsidRDefault="00A31F60"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 xml:space="preserve">Accessible family involvement to support identity </w:t>
      </w:r>
      <w:r w:rsidR="00BF1D34">
        <w:rPr>
          <w:rFonts w:ascii="Arial" w:eastAsia="Times New Roman" w:hAnsi="Arial" w:cs="Arial"/>
          <w:color w:val="000000"/>
        </w:rPr>
        <w:t>continuously</w:t>
      </w:r>
    </w:p>
    <w:p w14:paraId="48793A17" w14:textId="1C602EF2" w:rsidR="0088105B" w:rsidRPr="0088105B" w:rsidRDefault="00A31F60"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Celebrate accomplishments and milestones</w:t>
      </w:r>
    </w:p>
    <w:p w14:paraId="3489F45D" w14:textId="77777777" w:rsidR="00A31F60" w:rsidRDefault="00A31F60" w:rsidP="00237BF3">
      <w:pPr>
        <w:spacing w:before="100" w:beforeAutospacing="1" w:after="100" w:afterAutospacing="1" w:line="360" w:lineRule="auto"/>
        <w:outlineLvl w:val="1"/>
        <w:rPr>
          <w:rFonts w:ascii="Arial" w:eastAsia="Times New Roman" w:hAnsi="Arial" w:cs="Arial"/>
          <w:color w:val="000000"/>
        </w:rPr>
      </w:pPr>
    </w:p>
    <w:p w14:paraId="722188EB" w14:textId="77777777" w:rsidR="007F1F11" w:rsidRDefault="007F1F11" w:rsidP="00237BF3">
      <w:pPr>
        <w:spacing w:before="100" w:beforeAutospacing="1" w:after="100" w:afterAutospacing="1" w:line="360" w:lineRule="auto"/>
        <w:outlineLvl w:val="1"/>
        <w:rPr>
          <w:rFonts w:ascii="Arial" w:eastAsia="Times New Roman" w:hAnsi="Arial" w:cs="Arial"/>
          <w:b/>
          <w:bCs/>
          <w:color w:val="000000"/>
          <w:sz w:val="32"/>
          <w:szCs w:val="32"/>
        </w:rPr>
      </w:pPr>
    </w:p>
    <w:p w14:paraId="6FEC2FCD" w14:textId="434CBDFE" w:rsidR="005F0361" w:rsidRPr="003D2992" w:rsidRDefault="003D2992" w:rsidP="00237BF3">
      <w:pPr>
        <w:spacing w:before="100" w:beforeAutospacing="1" w:after="100" w:afterAutospacing="1" w:line="360" w:lineRule="auto"/>
        <w:outlineLvl w:val="1"/>
        <w:rPr>
          <w:rFonts w:ascii="Arial" w:eastAsia="Times New Roman" w:hAnsi="Arial" w:cs="Arial"/>
          <w:b/>
          <w:bCs/>
          <w:color w:val="000000"/>
          <w:sz w:val="32"/>
          <w:szCs w:val="32"/>
        </w:rPr>
      </w:pPr>
      <w:r w:rsidRPr="003D2992">
        <w:rPr>
          <w:rFonts w:ascii="Arial" w:eastAsia="Times New Roman" w:hAnsi="Arial" w:cs="Arial"/>
          <w:b/>
          <w:bCs/>
          <w:color w:val="000000"/>
          <w:sz w:val="32"/>
          <w:szCs w:val="32"/>
        </w:rPr>
        <w:t>5.</w:t>
      </w:r>
      <w:r w:rsidR="00A31F60">
        <w:rPr>
          <w:rFonts w:ascii="Arial" w:eastAsia="Times New Roman" w:hAnsi="Arial" w:cs="Arial"/>
          <w:b/>
          <w:bCs/>
          <w:color w:val="000000"/>
          <w:sz w:val="32"/>
          <w:szCs w:val="32"/>
        </w:rPr>
        <w:t>4</w:t>
      </w:r>
      <w:r w:rsidRPr="003D2992">
        <w:rPr>
          <w:rFonts w:ascii="Arial" w:eastAsia="Times New Roman" w:hAnsi="Arial" w:cs="Arial"/>
          <w:b/>
          <w:bCs/>
          <w:color w:val="000000"/>
          <w:sz w:val="32"/>
          <w:szCs w:val="32"/>
        </w:rPr>
        <w:t xml:space="preserve"> Integrated Care Models: </w:t>
      </w:r>
    </w:p>
    <w:p w14:paraId="367D0951" w14:textId="6AD33A02" w:rsidR="003D2992" w:rsidRDefault="003D2992"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Person Cantered Care (PCC):</w:t>
      </w:r>
    </w:p>
    <w:p w14:paraId="7AB93E86" w14:textId="47376457" w:rsidR="003D2992" w:rsidRDefault="003D2992"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Aligns with both theories by prioritizing relationships and meaning-making.</w:t>
      </w:r>
    </w:p>
    <w:p w14:paraId="38494DE9" w14:textId="23418B75" w:rsidR="003D2992" w:rsidRDefault="003D2992"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Collaborative planning: Involve families to strength attachment networks and support integrity.</w:t>
      </w:r>
    </w:p>
    <w:p w14:paraId="392D4717" w14:textId="546BF2CB" w:rsidR="003C78A1" w:rsidRDefault="003C78A1"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Integrated care models are significant for addressing the complicated needs of older adults, particularly those living with Dementia, these models aim to combine medical, psychological</w:t>
      </w:r>
    </w:p>
    <w:p w14:paraId="5F4E215D" w14:textId="77777777" w:rsidR="0088105B" w:rsidRPr="005F0361" w:rsidRDefault="0088105B" w:rsidP="00237BF3">
      <w:pPr>
        <w:spacing w:before="100" w:beforeAutospacing="1" w:after="100" w:afterAutospacing="1" w:line="360" w:lineRule="auto"/>
        <w:outlineLvl w:val="1"/>
        <w:rPr>
          <w:rFonts w:ascii="Arial" w:eastAsia="Times New Roman" w:hAnsi="Arial" w:cs="Arial"/>
          <w:color w:val="000000"/>
        </w:rPr>
      </w:pPr>
    </w:p>
    <w:p w14:paraId="0546547F" w14:textId="77777777" w:rsidR="00D0159D" w:rsidRDefault="00D0159D" w:rsidP="00237BF3">
      <w:pPr>
        <w:spacing w:before="100" w:beforeAutospacing="1" w:after="100" w:afterAutospacing="1" w:line="360" w:lineRule="auto"/>
        <w:outlineLvl w:val="1"/>
        <w:rPr>
          <w:rFonts w:ascii="Arial" w:eastAsia="Times New Roman" w:hAnsi="Arial" w:cs="Arial"/>
          <w:b/>
          <w:bCs/>
          <w:color w:val="000000"/>
          <w:sz w:val="32"/>
          <w:szCs w:val="32"/>
        </w:rPr>
      </w:pPr>
    </w:p>
    <w:p w14:paraId="650E59B5" w14:textId="77777777" w:rsidR="00D0159D" w:rsidRDefault="00D0159D" w:rsidP="00237BF3">
      <w:pPr>
        <w:spacing w:before="100" w:beforeAutospacing="1" w:after="100" w:afterAutospacing="1" w:line="360" w:lineRule="auto"/>
        <w:outlineLvl w:val="1"/>
        <w:rPr>
          <w:rFonts w:ascii="Arial" w:eastAsia="Times New Roman" w:hAnsi="Arial" w:cs="Arial"/>
          <w:b/>
          <w:bCs/>
          <w:color w:val="000000"/>
          <w:sz w:val="32"/>
          <w:szCs w:val="32"/>
        </w:rPr>
      </w:pPr>
    </w:p>
    <w:p w14:paraId="43D9325E" w14:textId="77777777" w:rsidR="00D0159D" w:rsidRDefault="00D0159D" w:rsidP="00237BF3">
      <w:pPr>
        <w:spacing w:before="100" w:beforeAutospacing="1" w:after="100" w:afterAutospacing="1" w:line="360" w:lineRule="auto"/>
        <w:outlineLvl w:val="1"/>
        <w:rPr>
          <w:rFonts w:ascii="Arial" w:eastAsia="Times New Roman" w:hAnsi="Arial" w:cs="Arial"/>
          <w:b/>
          <w:bCs/>
          <w:color w:val="000000"/>
          <w:sz w:val="32"/>
          <w:szCs w:val="32"/>
        </w:rPr>
      </w:pPr>
    </w:p>
    <w:p w14:paraId="5F49E334" w14:textId="77777777" w:rsidR="00D0159D" w:rsidRDefault="00D0159D" w:rsidP="00237BF3">
      <w:pPr>
        <w:spacing w:before="100" w:beforeAutospacing="1" w:after="100" w:afterAutospacing="1" w:line="360" w:lineRule="auto"/>
        <w:outlineLvl w:val="1"/>
        <w:rPr>
          <w:rFonts w:ascii="Arial" w:eastAsia="Times New Roman" w:hAnsi="Arial" w:cs="Arial"/>
          <w:b/>
          <w:bCs/>
          <w:color w:val="000000"/>
          <w:sz w:val="32"/>
          <w:szCs w:val="32"/>
        </w:rPr>
      </w:pPr>
    </w:p>
    <w:p w14:paraId="3F410816" w14:textId="77777777" w:rsidR="00D0159D" w:rsidRDefault="00D0159D" w:rsidP="00237BF3">
      <w:pPr>
        <w:spacing w:before="100" w:beforeAutospacing="1" w:after="100" w:afterAutospacing="1" w:line="360" w:lineRule="auto"/>
        <w:outlineLvl w:val="1"/>
        <w:rPr>
          <w:rFonts w:ascii="Arial" w:eastAsia="Times New Roman" w:hAnsi="Arial" w:cs="Arial"/>
          <w:b/>
          <w:bCs/>
          <w:color w:val="000000"/>
          <w:sz w:val="32"/>
          <w:szCs w:val="32"/>
        </w:rPr>
      </w:pPr>
    </w:p>
    <w:p w14:paraId="7F15B045" w14:textId="3CDFFFE5" w:rsidR="00B76CCF" w:rsidRPr="00530F84" w:rsidRDefault="003D2992" w:rsidP="00237BF3">
      <w:pPr>
        <w:spacing w:before="100" w:beforeAutospacing="1" w:after="100" w:afterAutospacing="1" w:line="360" w:lineRule="auto"/>
        <w:outlineLvl w:val="1"/>
        <w:rPr>
          <w:rFonts w:ascii="Arial" w:eastAsia="Times New Roman" w:hAnsi="Arial" w:cs="Arial"/>
          <w:b/>
          <w:bCs/>
          <w:color w:val="000000"/>
          <w:sz w:val="32"/>
          <w:szCs w:val="32"/>
        </w:rPr>
      </w:pPr>
      <w:r w:rsidRPr="00530F84">
        <w:rPr>
          <w:rFonts w:ascii="Arial" w:eastAsia="Times New Roman" w:hAnsi="Arial" w:cs="Arial"/>
          <w:b/>
          <w:bCs/>
          <w:color w:val="000000"/>
          <w:sz w:val="32"/>
          <w:szCs w:val="32"/>
        </w:rPr>
        <w:t>Conclusion</w:t>
      </w:r>
    </w:p>
    <w:p w14:paraId="289ACE85" w14:textId="12E7751E" w:rsidR="0009403A" w:rsidRDefault="003D2992" w:rsidP="00237BF3">
      <w:pPr>
        <w:spacing w:before="100" w:beforeAutospacing="1" w:after="100" w:afterAutospacing="1" w:line="360" w:lineRule="auto"/>
        <w:outlineLvl w:val="1"/>
        <w:rPr>
          <w:rFonts w:ascii="Arial" w:eastAsia="Times New Roman" w:hAnsi="Arial" w:cs="Arial"/>
          <w:color w:val="000000"/>
        </w:rPr>
      </w:pPr>
      <w:r>
        <w:rPr>
          <w:rFonts w:ascii="Arial" w:eastAsia="Times New Roman" w:hAnsi="Arial" w:cs="Arial"/>
          <w:color w:val="000000"/>
        </w:rPr>
        <w:t>Bowlby’s and Erikson’s theories remains highly pertinent in health and social care for senior adults. They provide frameworks</w:t>
      </w:r>
      <w:r w:rsidR="00530F84">
        <w:rPr>
          <w:rFonts w:ascii="Arial" w:eastAsia="Times New Roman" w:hAnsi="Arial" w:cs="Arial"/>
          <w:color w:val="000000"/>
        </w:rPr>
        <w:t xml:space="preserve"> for understanding emotional and behavioural challenges, particularly in dementia care while both theories have limitations, their limitation through person-cantered strategies can enhanced wellbeing and care quality. Supporting professionals with training, resources, and organizational structures is essential to address psychological and behavioural complications in old age.</w:t>
      </w:r>
      <w:r w:rsidR="009D1201">
        <w:rPr>
          <w:rFonts w:ascii="Arial" w:eastAsia="Times New Roman" w:hAnsi="Arial" w:cs="Arial"/>
          <w:color w:val="000000"/>
        </w:rPr>
        <w:t xml:space="preserve"> </w:t>
      </w:r>
      <w:r w:rsidR="00D82B03">
        <w:rPr>
          <w:rFonts w:ascii="Arial" w:eastAsia="Times New Roman" w:hAnsi="Arial" w:cs="Arial"/>
          <w:color w:val="000000"/>
        </w:rPr>
        <w:t xml:space="preserve">These theories emphasize the enduring significance of relationships, emotional security and identity, which remain </w:t>
      </w:r>
      <w:r w:rsidR="00834982">
        <w:rPr>
          <w:rFonts w:ascii="Arial" w:eastAsia="Times New Roman" w:hAnsi="Arial" w:cs="Arial"/>
          <w:color w:val="000000"/>
        </w:rPr>
        <w:t xml:space="preserve">serious </w:t>
      </w:r>
      <w:r w:rsidR="004F0186">
        <w:rPr>
          <w:rFonts w:ascii="Arial" w:eastAsia="Times New Roman" w:hAnsi="Arial" w:cs="Arial"/>
          <w:color w:val="000000"/>
        </w:rPr>
        <w:t xml:space="preserve">even </w:t>
      </w:r>
      <w:r w:rsidR="00834982">
        <w:rPr>
          <w:rFonts w:ascii="Arial" w:eastAsia="Times New Roman" w:hAnsi="Arial" w:cs="Arial"/>
          <w:color w:val="000000"/>
        </w:rPr>
        <w:t xml:space="preserve">as individuals faces cognitive decline, physical </w:t>
      </w:r>
      <w:r w:rsidR="0009403A">
        <w:rPr>
          <w:rFonts w:ascii="Arial" w:eastAsia="Times New Roman" w:hAnsi="Arial" w:cs="Arial"/>
          <w:color w:val="000000"/>
        </w:rPr>
        <w:t>impairment</w:t>
      </w:r>
      <w:r w:rsidR="00834982">
        <w:rPr>
          <w:rFonts w:ascii="Arial" w:eastAsia="Times New Roman" w:hAnsi="Arial" w:cs="Arial"/>
          <w:color w:val="000000"/>
        </w:rPr>
        <w:t xml:space="preserve">, </w:t>
      </w:r>
      <w:r w:rsidR="0009403A">
        <w:rPr>
          <w:rFonts w:ascii="Arial" w:eastAsia="Times New Roman" w:hAnsi="Arial" w:cs="Arial"/>
          <w:color w:val="000000"/>
        </w:rPr>
        <w:t>and fundamental challenges. By combining these perspectives into care service, Health care practitioners can move beyond task-orientated toward holistic, person-cantered care that addresses psychological well-being alongside physical health.</w:t>
      </w:r>
      <w:r w:rsidR="00825F0A">
        <w:rPr>
          <w:rFonts w:ascii="Arial" w:eastAsia="Times New Roman" w:hAnsi="Arial" w:cs="Arial"/>
          <w:color w:val="000000"/>
        </w:rPr>
        <w:t xml:space="preserve"> However, the practical implementation of these theories is not without challenges. Dementia and other age-related conditions disrupt communication and memory, making it difficult to apply interventions such as life review or attachment-based strategies consistently. </w:t>
      </w:r>
    </w:p>
    <w:p w14:paraId="1E81662C" w14:textId="299099A9" w:rsidR="00367A2B" w:rsidRDefault="00367A2B" w:rsidP="00237BF3">
      <w:pPr>
        <w:spacing w:before="100" w:beforeAutospacing="1" w:after="100" w:afterAutospacing="1" w:line="360" w:lineRule="auto"/>
        <w:outlineLvl w:val="1"/>
        <w:rPr>
          <w:rFonts w:ascii="Arial" w:eastAsia="Times New Roman" w:hAnsi="Arial" w:cs="Arial"/>
          <w:b/>
          <w:bCs/>
          <w:color w:val="000000"/>
          <w:sz w:val="28"/>
          <w:szCs w:val="28"/>
        </w:rPr>
      </w:pPr>
      <w:r w:rsidRPr="00367A2B">
        <w:rPr>
          <w:rFonts w:ascii="Arial" w:eastAsia="Times New Roman" w:hAnsi="Arial" w:cs="Arial"/>
          <w:b/>
          <w:bCs/>
          <w:color w:val="000000"/>
          <w:sz w:val="28"/>
          <w:szCs w:val="28"/>
        </w:rPr>
        <w:t>References</w:t>
      </w:r>
    </w:p>
    <w:p w14:paraId="71937BE4" w14:textId="77777777" w:rsidR="00D0159D" w:rsidRDefault="00D0159D" w:rsidP="00D0159D">
      <w:r w:rsidRPr="00E80126">
        <w:t xml:space="preserve">Besdine, M. (1972) ‘Attachment and Loss: Vol. 1, Attachment. John Bowlby. New York: Basic Books, 1969. xx+428 pp’, </w:t>
      </w:r>
      <w:r w:rsidRPr="00E80126">
        <w:rPr>
          <w:i/>
          <w:iCs/>
        </w:rPr>
        <w:t>The Psychoanalytic review (1963)</w:t>
      </w:r>
      <w:r w:rsidRPr="00E80126">
        <w:t>.</w:t>
      </w:r>
    </w:p>
    <w:p w14:paraId="40323E58" w14:textId="77777777" w:rsidR="00D0159D" w:rsidRDefault="00D0159D" w:rsidP="00D0159D">
      <w:pPr>
        <w:rPr>
          <w:lang w:val="fr-FR"/>
        </w:rPr>
      </w:pPr>
      <w:r w:rsidRPr="000B6399">
        <w:t xml:space="preserve">Gilleard, C. (2020) ‘The final stage of human development? Erikson’s view of integrity and old age’, </w:t>
      </w:r>
      <w:r w:rsidRPr="000B6399">
        <w:rPr>
          <w:i/>
          <w:iCs/>
        </w:rPr>
        <w:t>International journal of ageing and later life</w:t>
      </w:r>
      <w:r w:rsidRPr="000B6399">
        <w:rPr>
          <w:rFonts w:ascii="Arial" w:hAnsi="Arial" w:cs="Arial"/>
          <w:i/>
          <w:iCs/>
        </w:rPr>
        <w:t> </w:t>
      </w:r>
      <w:r w:rsidRPr="000B6399">
        <w:rPr>
          <w:i/>
          <w:iCs/>
        </w:rPr>
        <w:t>: IJAL</w:t>
      </w:r>
      <w:r w:rsidRPr="000B6399">
        <w:t xml:space="preserve">, 14(2), pp. 1–24. </w:t>
      </w:r>
      <w:r w:rsidRPr="000B6399">
        <w:rPr>
          <w:lang w:val="fr-FR"/>
        </w:rPr>
        <w:t xml:space="preserve">Available at: </w:t>
      </w:r>
      <w:hyperlink r:id="rId7" w:history="1">
        <w:r w:rsidRPr="000B6399">
          <w:rPr>
            <w:rStyle w:val="Hyperlink"/>
            <w:lang w:val="fr-FR"/>
          </w:rPr>
          <w:t>https://doi.org/10.3384/ijal.1652-8670.1471</w:t>
        </w:r>
      </w:hyperlink>
      <w:r w:rsidRPr="000B6399">
        <w:rPr>
          <w:lang w:val="fr-FR"/>
        </w:rPr>
        <w:t>.</w:t>
      </w:r>
    </w:p>
    <w:p w14:paraId="415B7A82" w14:textId="4E2256F7" w:rsidR="00367A2B" w:rsidRDefault="00367A2B" w:rsidP="00367A2B">
      <w:pPr>
        <w:spacing w:line="278" w:lineRule="auto"/>
      </w:pPr>
      <w:r w:rsidRPr="00E21F7E">
        <w:t xml:space="preserve">Holmes, J. (2024) ‘Bowlby’s trilogy’, </w:t>
      </w:r>
      <w:r w:rsidRPr="00E21F7E">
        <w:rPr>
          <w:i/>
          <w:iCs/>
        </w:rPr>
        <w:t>BJPsych advances</w:t>
      </w:r>
      <w:r w:rsidRPr="00E21F7E">
        <w:t xml:space="preserve">, 30(5), pp. 326–328. Available at: </w:t>
      </w:r>
      <w:hyperlink r:id="rId8" w:history="1">
        <w:r w:rsidR="00D0159D" w:rsidRPr="00766582">
          <w:rPr>
            <w:rStyle w:val="Hyperlink"/>
          </w:rPr>
          <w:t>https://doi.org/10.1192/bja.2023.53</w:t>
        </w:r>
      </w:hyperlink>
      <w:r w:rsidRPr="00E21F7E">
        <w:t>.</w:t>
      </w:r>
    </w:p>
    <w:p w14:paraId="166F3306" w14:textId="77777777" w:rsidR="00D0159D" w:rsidRPr="0009403A" w:rsidRDefault="00D0159D" w:rsidP="00D0159D">
      <w:pPr>
        <w:rPr>
          <w:lang w:val="fr-FR"/>
        </w:rPr>
      </w:pPr>
      <w:r w:rsidRPr="000B6399">
        <w:rPr>
          <w:lang w:val="fr-FR"/>
        </w:rPr>
        <w:t xml:space="preserve">Wang, S.-M. </w:t>
      </w:r>
      <w:r w:rsidRPr="000B6399">
        <w:rPr>
          <w:i/>
          <w:iCs/>
          <w:lang w:val="fr-FR"/>
        </w:rPr>
        <w:t>et al.</w:t>
      </w:r>
      <w:r w:rsidRPr="000B6399">
        <w:rPr>
          <w:lang w:val="fr-FR"/>
        </w:rPr>
        <w:t xml:space="preserve"> </w:t>
      </w:r>
      <w:r w:rsidRPr="000B6399">
        <w:t xml:space="preserve">(2021) ‘Late-life depression, subjective cognitive decline, and their additive risk in incidence of dementia: A nationwide longitudinal study’, </w:t>
      </w:r>
      <w:r w:rsidRPr="000B6399">
        <w:rPr>
          <w:i/>
          <w:iCs/>
        </w:rPr>
        <w:t>PloS one</w:t>
      </w:r>
      <w:r w:rsidRPr="000B6399">
        <w:t xml:space="preserve">, 16(7), p. e0254639. Available at: </w:t>
      </w:r>
      <w:hyperlink r:id="rId9" w:history="1">
        <w:r w:rsidRPr="00C57513">
          <w:rPr>
            <w:rStyle w:val="Hyperlink"/>
          </w:rPr>
          <w:t>https://doi.org/10.1371/journal.pone.0254639</w:t>
        </w:r>
      </w:hyperlink>
      <w:r w:rsidRPr="000B6399">
        <w:t>.</w:t>
      </w:r>
    </w:p>
    <w:p w14:paraId="6D77978E" w14:textId="77777777" w:rsidR="00367A2B" w:rsidRDefault="00367A2B" w:rsidP="00367A2B">
      <w:r w:rsidRPr="007757BB">
        <w:t>Zubiashvili, Tamaz, and Nino Zubiashvili. "Population aging–a global challenge." </w:t>
      </w:r>
      <w:r w:rsidRPr="007757BB">
        <w:rPr>
          <w:i/>
          <w:iCs/>
        </w:rPr>
        <w:t>Ecoforum Journal</w:t>
      </w:r>
      <w:r w:rsidRPr="007757BB">
        <w:t> 10.2 (2021).</w:t>
      </w:r>
    </w:p>
    <w:p w14:paraId="362CDB3A" w14:textId="77777777" w:rsidR="001C441B" w:rsidRPr="001C441B" w:rsidRDefault="001C441B" w:rsidP="001C441B">
      <w:r w:rsidRPr="001C441B">
        <w:t xml:space="preserve">Zullo, L. </w:t>
      </w:r>
      <w:r w:rsidRPr="001C441B">
        <w:rPr>
          <w:i/>
          <w:iCs/>
        </w:rPr>
        <w:t>et al.</w:t>
      </w:r>
      <w:r w:rsidRPr="001C441B">
        <w:t xml:space="preserve"> (2021) ‘Factors associated with subjective cognitive decline in dementia</w:t>
      </w:r>
      <w:r w:rsidRPr="001C441B">
        <w:rPr>
          <w:rFonts w:ascii="Cambria Math" w:hAnsi="Cambria Math" w:cs="Cambria Math"/>
        </w:rPr>
        <w:t>‐</w:t>
      </w:r>
      <w:r w:rsidRPr="001C441B">
        <w:t>free older adults</w:t>
      </w:r>
      <w:r w:rsidRPr="001C441B">
        <w:rPr>
          <w:rFonts w:ascii="Aptos" w:hAnsi="Aptos" w:cs="Aptos"/>
        </w:rPr>
        <w:t>—</w:t>
      </w:r>
      <w:r w:rsidRPr="001C441B">
        <w:t>A population</w:t>
      </w:r>
      <w:r w:rsidRPr="001C441B">
        <w:rPr>
          <w:rFonts w:ascii="Cambria Math" w:hAnsi="Cambria Math" w:cs="Cambria Math"/>
        </w:rPr>
        <w:t>‐</w:t>
      </w:r>
      <w:r w:rsidRPr="001C441B">
        <w:t>based study</w:t>
      </w:r>
      <w:r w:rsidRPr="001C441B">
        <w:rPr>
          <w:rFonts w:ascii="Aptos" w:hAnsi="Aptos" w:cs="Aptos"/>
        </w:rPr>
        <w:t>’</w:t>
      </w:r>
      <w:r w:rsidRPr="001C441B">
        <w:t xml:space="preserve">, </w:t>
      </w:r>
      <w:r w:rsidRPr="001C441B">
        <w:rPr>
          <w:i/>
          <w:iCs/>
        </w:rPr>
        <w:t>International journal of geriatric psychiatry</w:t>
      </w:r>
      <w:r w:rsidRPr="001C441B">
        <w:t>, 36(8), pp. 1188–1196. Available at: https://doi.org/10.1002/gps.5509.</w:t>
      </w:r>
    </w:p>
    <w:p w14:paraId="38CC1EC6" w14:textId="77777777" w:rsidR="001C441B" w:rsidRPr="000B6399" w:rsidRDefault="001C441B" w:rsidP="000B6399"/>
    <w:p w14:paraId="3AEF8884" w14:textId="77777777" w:rsidR="000B6399" w:rsidRPr="000B6399" w:rsidRDefault="000B6399" w:rsidP="000B6399"/>
    <w:p w14:paraId="222B9CB2" w14:textId="77777777" w:rsidR="000B6399" w:rsidRDefault="000B6399" w:rsidP="00E80126"/>
    <w:p w14:paraId="056D8F34" w14:textId="77777777" w:rsidR="000012D5" w:rsidRPr="00E80126" w:rsidRDefault="000012D5" w:rsidP="00E80126"/>
    <w:p w14:paraId="049494D8" w14:textId="77777777" w:rsidR="00E80126" w:rsidRDefault="00E80126" w:rsidP="00367A2B"/>
    <w:p w14:paraId="5212ED8D" w14:textId="77777777" w:rsidR="00367A2B" w:rsidRPr="00367A2B" w:rsidRDefault="00367A2B" w:rsidP="00237BF3">
      <w:pPr>
        <w:spacing w:before="100" w:beforeAutospacing="1" w:after="100" w:afterAutospacing="1" w:line="360" w:lineRule="auto"/>
        <w:outlineLvl w:val="1"/>
        <w:rPr>
          <w:rFonts w:ascii="Arial" w:eastAsia="Times New Roman" w:hAnsi="Arial" w:cs="Arial"/>
          <w:b/>
          <w:bCs/>
          <w:color w:val="000000"/>
          <w:sz w:val="28"/>
          <w:szCs w:val="28"/>
        </w:rPr>
      </w:pPr>
    </w:p>
    <w:sectPr w:rsidR="00367A2B" w:rsidRPr="00367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836477E"/>
    <w:multiLevelType w:val="multilevel"/>
    <w:tmpl w:val="6002B4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BA319C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4903150">
    <w:abstractNumId w:val="0"/>
  </w:num>
  <w:num w:numId="2" w16cid:durableId="475071883">
    <w:abstractNumId w:val="0"/>
  </w:num>
  <w:num w:numId="3" w16cid:durableId="2119330015">
    <w:abstractNumId w:val="0"/>
  </w:num>
  <w:num w:numId="4" w16cid:durableId="1117484452">
    <w:abstractNumId w:val="0"/>
  </w:num>
  <w:num w:numId="5" w16cid:durableId="1361585620">
    <w:abstractNumId w:val="0"/>
  </w:num>
  <w:num w:numId="6" w16cid:durableId="275525523">
    <w:abstractNumId w:val="0"/>
  </w:num>
  <w:num w:numId="7" w16cid:durableId="428699552">
    <w:abstractNumId w:val="0"/>
  </w:num>
  <w:num w:numId="8" w16cid:durableId="1567719123">
    <w:abstractNumId w:val="0"/>
  </w:num>
  <w:num w:numId="9" w16cid:durableId="2141143184">
    <w:abstractNumId w:val="0"/>
  </w:num>
  <w:num w:numId="10" w16cid:durableId="1218132233">
    <w:abstractNumId w:val="0"/>
  </w:num>
  <w:num w:numId="11" w16cid:durableId="277567165">
    <w:abstractNumId w:val="1"/>
  </w:num>
  <w:num w:numId="12" w16cid:durableId="763190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3C"/>
    <w:rsid w:val="000012A9"/>
    <w:rsid w:val="000012D5"/>
    <w:rsid w:val="00012292"/>
    <w:rsid w:val="00033952"/>
    <w:rsid w:val="0005087F"/>
    <w:rsid w:val="0009403A"/>
    <w:rsid w:val="000B6399"/>
    <w:rsid w:val="000C1C3B"/>
    <w:rsid w:val="000C6405"/>
    <w:rsid w:val="000E40D9"/>
    <w:rsid w:val="000E55CA"/>
    <w:rsid w:val="000F3C3B"/>
    <w:rsid w:val="001C441B"/>
    <w:rsid w:val="001E6628"/>
    <w:rsid w:val="0021022E"/>
    <w:rsid w:val="00237BF3"/>
    <w:rsid w:val="00296D6E"/>
    <w:rsid w:val="002B4CA6"/>
    <w:rsid w:val="002B4EF7"/>
    <w:rsid w:val="002D765D"/>
    <w:rsid w:val="003061D7"/>
    <w:rsid w:val="0035205F"/>
    <w:rsid w:val="00362973"/>
    <w:rsid w:val="00367A2B"/>
    <w:rsid w:val="00387D59"/>
    <w:rsid w:val="003C78A1"/>
    <w:rsid w:val="003D2992"/>
    <w:rsid w:val="00402633"/>
    <w:rsid w:val="00415E0D"/>
    <w:rsid w:val="00423C1A"/>
    <w:rsid w:val="004D5E06"/>
    <w:rsid w:val="004E574D"/>
    <w:rsid w:val="004F0186"/>
    <w:rsid w:val="00530F84"/>
    <w:rsid w:val="00560BCB"/>
    <w:rsid w:val="0056673C"/>
    <w:rsid w:val="00582ABA"/>
    <w:rsid w:val="005A4E09"/>
    <w:rsid w:val="005E2047"/>
    <w:rsid w:val="005F0361"/>
    <w:rsid w:val="006242A6"/>
    <w:rsid w:val="0063709E"/>
    <w:rsid w:val="006914AE"/>
    <w:rsid w:val="006B2EF2"/>
    <w:rsid w:val="00707C9B"/>
    <w:rsid w:val="007126B9"/>
    <w:rsid w:val="00742244"/>
    <w:rsid w:val="00787076"/>
    <w:rsid w:val="007D170B"/>
    <w:rsid w:val="007F1F11"/>
    <w:rsid w:val="007F7138"/>
    <w:rsid w:val="00825F0A"/>
    <w:rsid w:val="00834982"/>
    <w:rsid w:val="00841F87"/>
    <w:rsid w:val="0087321F"/>
    <w:rsid w:val="0088105B"/>
    <w:rsid w:val="00956E5A"/>
    <w:rsid w:val="00971F52"/>
    <w:rsid w:val="009B5AE8"/>
    <w:rsid w:val="009D1201"/>
    <w:rsid w:val="009E21A3"/>
    <w:rsid w:val="009E24F9"/>
    <w:rsid w:val="00A31F60"/>
    <w:rsid w:val="00A53C95"/>
    <w:rsid w:val="00A579E6"/>
    <w:rsid w:val="00A7410C"/>
    <w:rsid w:val="00A75931"/>
    <w:rsid w:val="00AA51E1"/>
    <w:rsid w:val="00B4755E"/>
    <w:rsid w:val="00B76CCF"/>
    <w:rsid w:val="00B843FE"/>
    <w:rsid w:val="00BF1D34"/>
    <w:rsid w:val="00C00F37"/>
    <w:rsid w:val="00C04912"/>
    <w:rsid w:val="00CD798E"/>
    <w:rsid w:val="00D0159D"/>
    <w:rsid w:val="00D228F4"/>
    <w:rsid w:val="00D24327"/>
    <w:rsid w:val="00D3095B"/>
    <w:rsid w:val="00D32D4D"/>
    <w:rsid w:val="00D44570"/>
    <w:rsid w:val="00D75738"/>
    <w:rsid w:val="00D82B03"/>
    <w:rsid w:val="00D86961"/>
    <w:rsid w:val="00DB1466"/>
    <w:rsid w:val="00DD1832"/>
    <w:rsid w:val="00DE138D"/>
    <w:rsid w:val="00E64460"/>
    <w:rsid w:val="00E80126"/>
    <w:rsid w:val="00EC00A0"/>
    <w:rsid w:val="00EF47C0"/>
    <w:rsid w:val="00F442A0"/>
    <w:rsid w:val="00F51176"/>
    <w:rsid w:val="00FB59CB"/>
    <w:rsid w:val="00FE0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40E3"/>
  <w15:chartTrackingRefBased/>
  <w15:docId w15:val="{2D040190-B8D9-47DD-8639-D75714865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F87"/>
  </w:style>
  <w:style w:type="paragraph" w:styleId="Heading1">
    <w:name w:val="heading 1"/>
    <w:basedOn w:val="Normal"/>
    <w:next w:val="Normal"/>
    <w:link w:val="Heading1Char"/>
    <w:uiPriority w:val="9"/>
    <w:qFormat/>
    <w:rsid w:val="00841F87"/>
    <w:pPr>
      <w:keepNext/>
      <w:keepLines/>
      <w:numPr>
        <w:numId w:val="12"/>
      </w:numPr>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841F87"/>
    <w:pPr>
      <w:keepNext/>
      <w:keepLines/>
      <w:numPr>
        <w:ilvl w:val="1"/>
        <w:numId w:val="12"/>
      </w:numPr>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F87"/>
    <w:pPr>
      <w:keepNext/>
      <w:keepLines/>
      <w:numPr>
        <w:ilvl w:val="2"/>
        <w:numId w:val="12"/>
      </w:numPr>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F87"/>
    <w:pPr>
      <w:keepNext/>
      <w:keepLines/>
      <w:numPr>
        <w:ilvl w:val="3"/>
        <w:numId w:val="12"/>
      </w:numPr>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841F87"/>
    <w:pPr>
      <w:keepNext/>
      <w:keepLines/>
      <w:numPr>
        <w:ilvl w:val="4"/>
        <w:numId w:val="12"/>
      </w:numPr>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841F87"/>
    <w:pPr>
      <w:keepNext/>
      <w:keepLines/>
      <w:numPr>
        <w:ilvl w:val="5"/>
        <w:numId w:val="12"/>
      </w:numPr>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841F87"/>
    <w:pPr>
      <w:keepNext/>
      <w:keepLines/>
      <w:numPr>
        <w:ilvl w:val="6"/>
        <w:numId w:val="12"/>
      </w:numPr>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841F87"/>
    <w:pPr>
      <w:keepNext/>
      <w:keepLines/>
      <w:numPr>
        <w:ilvl w:val="7"/>
        <w:numId w:val="12"/>
      </w:numPr>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841F87"/>
    <w:pPr>
      <w:keepNext/>
      <w:keepLines/>
      <w:numPr>
        <w:ilvl w:val="8"/>
        <w:numId w:val="12"/>
      </w:numPr>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F87"/>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841F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F87"/>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F87"/>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841F87"/>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841F87"/>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841F87"/>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841F87"/>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841F87"/>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841F87"/>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841F87"/>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841F87"/>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841F87"/>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841F87"/>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841F87"/>
    <w:rPr>
      <w:color w:val="0E2841" w:themeColor="text2"/>
      <w:sz w:val="24"/>
      <w:szCs w:val="24"/>
    </w:rPr>
  </w:style>
  <w:style w:type="paragraph" w:styleId="ListParagraph">
    <w:name w:val="List Paragraph"/>
    <w:basedOn w:val="Normal"/>
    <w:uiPriority w:val="34"/>
    <w:qFormat/>
    <w:rsid w:val="0056673C"/>
    <w:pPr>
      <w:ind w:left="720"/>
      <w:contextualSpacing/>
    </w:pPr>
  </w:style>
  <w:style w:type="character" w:styleId="IntenseEmphasis">
    <w:name w:val="Intense Emphasis"/>
    <w:basedOn w:val="DefaultParagraphFont"/>
    <w:uiPriority w:val="21"/>
    <w:qFormat/>
    <w:rsid w:val="00841F87"/>
    <w:rPr>
      <w:b/>
      <w:bCs/>
      <w:i/>
      <w:iCs/>
    </w:rPr>
  </w:style>
  <w:style w:type="paragraph" w:styleId="IntenseQuote">
    <w:name w:val="Intense Quote"/>
    <w:basedOn w:val="Normal"/>
    <w:next w:val="Normal"/>
    <w:link w:val="IntenseQuoteChar"/>
    <w:uiPriority w:val="30"/>
    <w:qFormat/>
    <w:rsid w:val="00841F87"/>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841F87"/>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841F87"/>
    <w:rPr>
      <w:b/>
      <w:bCs/>
      <w:smallCaps/>
      <w:color w:val="0E2841" w:themeColor="text2"/>
      <w:u w:val="single"/>
    </w:rPr>
  </w:style>
  <w:style w:type="paragraph" w:styleId="NormalWeb">
    <w:name w:val="Normal (Web)"/>
    <w:basedOn w:val="Normal"/>
    <w:uiPriority w:val="99"/>
    <w:semiHidden/>
    <w:unhideWhenUsed/>
    <w:rsid w:val="00F442A0"/>
    <w:pPr>
      <w:spacing w:before="100" w:beforeAutospacing="1" w:after="100" w:afterAutospacing="1" w:line="240" w:lineRule="auto"/>
    </w:pPr>
    <w:rPr>
      <w:rFonts w:ascii="Times New Roman" w:eastAsia="Times New Roman" w:hAnsi="Times New Roman" w:cs="Times New Roman"/>
    </w:rPr>
  </w:style>
  <w:style w:type="paragraph" w:styleId="Caption">
    <w:name w:val="caption"/>
    <w:basedOn w:val="Normal"/>
    <w:next w:val="Normal"/>
    <w:uiPriority w:val="35"/>
    <w:semiHidden/>
    <w:unhideWhenUsed/>
    <w:qFormat/>
    <w:rsid w:val="00841F87"/>
    <w:pPr>
      <w:spacing w:line="240" w:lineRule="auto"/>
    </w:pPr>
    <w:rPr>
      <w:b/>
      <w:bCs/>
      <w:smallCaps/>
      <w:color w:val="0E2841" w:themeColor="text2"/>
    </w:rPr>
  </w:style>
  <w:style w:type="character" w:styleId="Strong">
    <w:name w:val="Strong"/>
    <w:basedOn w:val="DefaultParagraphFont"/>
    <w:uiPriority w:val="22"/>
    <w:qFormat/>
    <w:rsid w:val="00841F87"/>
    <w:rPr>
      <w:b/>
      <w:bCs/>
    </w:rPr>
  </w:style>
  <w:style w:type="character" w:styleId="Emphasis">
    <w:name w:val="Emphasis"/>
    <w:basedOn w:val="DefaultParagraphFont"/>
    <w:uiPriority w:val="20"/>
    <w:qFormat/>
    <w:rsid w:val="00841F87"/>
    <w:rPr>
      <w:i/>
      <w:iCs/>
    </w:rPr>
  </w:style>
  <w:style w:type="paragraph" w:styleId="NoSpacing">
    <w:name w:val="No Spacing"/>
    <w:uiPriority w:val="1"/>
    <w:qFormat/>
    <w:rsid w:val="00841F87"/>
    <w:pPr>
      <w:spacing w:after="0" w:line="240" w:lineRule="auto"/>
    </w:pPr>
  </w:style>
  <w:style w:type="character" w:styleId="SubtleEmphasis">
    <w:name w:val="Subtle Emphasis"/>
    <w:basedOn w:val="DefaultParagraphFont"/>
    <w:uiPriority w:val="19"/>
    <w:qFormat/>
    <w:rsid w:val="00841F87"/>
    <w:rPr>
      <w:i/>
      <w:iCs/>
      <w:color w:val="595959" w:themeColor="text1" w:themeTint="A6"/>
    </w:rPr>
  </w:style>
  <w:style w:type="character" w:styleId="SubtleReference">
    <w:name w:val="Subtle Reference"/>
    <w:basedOn w:val="DefaultParagraphFont"/>
    <w:uiPriority w:val="31"/>
    <w:qFormat/>
    <w:rsid w:val="00841F87"/>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41F87"/>
    <w:rPr>
      <w:b/>
      <w:bCs/>
      <w:smallCaps/>
      <w:spacing w:val="10"/>
    </w:rPr>
  </w:style>
  <w:style w:type="paragraph" w:styleId="TOCHeading">
    <w:name w:val="TOC Heading"/>
    <w:basedOn w:val="Heading1"/>
    <w:next w:val="Normal"/>
    <w:uiPriority w:val="39"/>
    <w:semiHidden/>
    <w:unhideWhenUsed/>
    <w:qFormat/>
    <w:rsid w:val="00841F87"/>
    <w:pPr>
      <w:outlineLvl w:val="9"/>
    </w:pPr>
  </w:style>
  <w:style w:type="character" w:styleId="Hyperlink">
    <w:name w:val="Hyperlink"/>
    <w:basedOn w:val="DefaultParagraphFont"/>
    <w:uiPriority w:val="99"/>
    <w:unhideWhenUsed/>
    <w:rsid w:val="00367A2B"/>
    <w:rPr>
      <w:color w:val="467886" w:themeColor="hyperlink"/>
      <w:u w:val="single"/>
    </w:rPr>
  </w:style>
  <w:style w:type="character" w:styleId="UnresolvedMention">
    <w:name w:val="Unresolved Mention"/>
    <w:basedOn w:val="DefaultParagraphFont"/>
    <w:uiPriority w:val="99"/>
    <w:semiHidden/>
    <w:unhideWhenUsed/>
    <w:rsid w:val="000B63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a.2023.53" TargetMode="External"/><Relationship Id="rId3" Type="http://schemas.openxmlformats.org/officeDocument/2006/relationships/styles" Target="styles.xml"/><Relationship Id="rId7" Type="http://schemas.openxmlformats.org/officeDocument/2006/relationships/hyperlink" Target="https://doi.org/10.3384/ijal.1652-8670.147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71/journal.pone.02546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A88A7-DD74-4777-9E83-557307B38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1797</Words>
  <Characters>10246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34</cp:revision>
  <dcterms:created xsi:type="dcterms:W3CDTF">2025-12-04T19:00:00Z</dcterms:created>
  <dcterms:modified xsi:type="dcterms:W3CDTF">2025-12-11T01:26:00Z</dcterms:modified>
</cp:coreProperties>
</file>