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1775" w:rsidRPr="004D2820" w:rsidRDefault="00F61775" w:rsidP="00F61775">
      <w:pPr>
        <w:jc w:val="center"/>
        <w:rPr>
          <w:sz w:val="24"/>
        </w:rPr>
      </w:pPr>
      <w:r w:rsidRPr="004D2820">
        <w:rPr>
          <w:i/>
          <w:sz w:val="24"/>
        </w:rPr>
        <w:t>The proper thing is for the state, while being a multitude, to be made a partnership and a unity by means of education, as has been said before and it is strange that the very philosopher who intends to introduc</w:t>
      </w:r>
      <w:bookmarkStart w:id="0" w:name="_GoBack"/>
      <w:bookmarkEnd w:id="0"/>
      <w:r w:rsidRPr="004D2820">
        <w:rPr>
          <w:i/>
          <w:sz w:val="24"/>
        </w:rPr>
        <w:t xml:space="preserve">e a system of education and thinks that this will make the city morally good should fancy that he can regulate society by such measures as have been mentioned instead of by manners and culture and laws, just as the legislator introduced community of property in Sparta and Crete by institution of public messes. </w:t>
      </w:r>
      <w:r w:rsidRPr="004D2820">
        <w:rPr>
          <w:sz w:val="24"/>
        </w:rPr>
        <w:t>[</w:t>
      </w:r>
      <w:proofErr w:type="spellStart"/>
      <w:r w:rsidRPr="004D2820">
        <w:rPr>
          <w:sz w:val="24"/>
        </w:rPr>
        <w:t>Arist</w:t>
      </w:r>
      <w:proofErr w:type="spellEnd"/>
      <w:r w:rsidRPr="004D2820">
        <w:rPr>
          <w:sz w:val="24"/>
        </w:rPr>
        <w:t>. Pol. 1263b]</w:t>
      </w:r>
    </w:p>
    <w:p w:rsidR="00F61775" w:rsidRDefault="00F61775" w:rsidP="006151E8">
      <w:pPr>
        <w:rPr>
          <w:sz w:val="20"/>
        </w:rPr>
      </w:pPr>
    </w:p>
    <w:p w:rsidR="006151E8" w:rsidRPr="00F61775" w:rsidRDefault="006151E8" w:rsidP="006151E8">
      <w:r w:rsidRPr="00F61775">
        <w:t>The gobbet’s focus is on how having a polis work as a collective through a harmonious, but not completely unified, way will allow the state to flourish as one</w:t>
      </w:r>
      <w:r w:rsidRPr="00F61775">
        <w:rPr>
          <w:rStyle w:val="FootnoteReference"/>
        </w:rPr>
        <w:footnoteReference w:id="1"/>
      </w:r>
      <w:r w:rsidRPr="00F61775">
        <w:t xml:space="preserve">. </w:t>
      </w:r>
      <w:r w:rsidR="004003F8" w:rsidRPr="00F61775">
        <w:t xml:space="preserve">Aristotle creates bias in his work by using his life experiences, </w:t>
      </w:r>
      <w:r w:rsidR="004003F8" w:rsidRPr="00F61775">
        <w:t>criticising</w:t>
      </w:r>
      <w:r w:rsidR="004003F8" w:rsidRPr="00F61775">
        <w:t xml:space="preserve"> the works of other</w:t>
      </w:r>
      <w:r w:rsidR="004003F8" w:rsidRPr="00F61775">
        <w:t xml:space="preserve">s on </w:t>
      </w:r>
      <w:r w:rsidRPr="00F61775">
        <w:t>the topic</w:t>
      </w:r>
      <w:r w:rsidRPr="00F61775">
        <w:rPr>
          <w:rStyle w:val="FootnoteReference"/>
        </w:rPr>
        <w:footnoteReference w:id="2"/>
      </w:r>
      <w:r w:rsidRPr="00F61775">
        <w:t>, because he has made a decision on what will work</w:t>
      </w:r>
      <w:r w:rsidR="004003F8" w:rsidRPr="00F61775">
        <w:t>, having studied it</w:t>
      </w:r>
      <w:r w:rsidRPr="00F61775">
        <w:rPr>
          <w:rStyle w:val="FootnoteReference"/>
        </w:rPr>
        <w:footnoteReference w:id="3"/>
      </w:r>
      <w:r w:rsidRPr="00F61775">
        <w:t>.</w:t>
      </w:r>
      <w:r w:rsidR="004003F8" w:rsidRPr="00F61775">
        <w:t xml:space="preserve"> </w:t>
      </w:r>
      <w:r w:rsidR="006F6964" w:rsidRPr="00F61775">
        <w:t xml:space="preserve"> </w:t>
      </w:r>
      <w:r w:rsidR="004003F8" w:rsidRPr="00F61775">
        <w:t>As such, one needs to scrutinise</w:t>
      </w:r>
      <w:r w:rsidR="006F6964" w:rsidRPr="00F61775">
        <w:t xml:space="preserve"> his work, understand his view, and analyse his evidence</w:t>
      </w:r>
      <w:r w:rsidRPr="00F61775">
        <w:rPr>
          <w:rStyle w:val="FootnoteReference"/>
        </w:rPr>
        <w:footnoteReference w:id="4"/>
      </w:r>
      <w:r w:rsidR="006F6964" w:rsidRPr="00F61775">
        <w:t>.</w:t>
      </w:r>
      <w:r w:rsidR="004003F8" w:rsidRPr="00F61775">
        <w:t xml:space="preserve"> </w:t>
      </w:r>
    </w:p>
    <w:p w:rsidR="006151E8" w:rsidRPr="00F61775" w:rsidRDefault="006151E8" w:rsidP="006151E8">
      <w:r w:rsidRPr="00F61775">
        <w:t>The gobbet presented here is part of a larger passage in which Aristotle outlines how pluralism can create a healthy polis</w:t>
      </w:r>
      <w:r w:rsidRPr="00F61775">
        <w:rPr>
          <w:rStyle w:val="FootnoteReference"/>
        </w:rPr>
        <w:footnoteReference w:id="5"/>
      </w:r>
      <w:r w:rsidRPr="00F61775">
        <w:t>. For this, households work harmoniously within the polis which works as a collective</w:t>
      </w:r>
      <w:r w:rsidRPr="00F61775">
        <w:rPr>
          <w:rStyle w:val="FootnoteReference"/>
        </w:rPr>
        <w:footnoteReference w:id="6"/>
      </w:r>
      <w:r w:rsidRPr="00F61775">
        <w:t xml:space="preserve">. Whilst Aristotle discusses what would ideally cause a healthier polis, because it is his viewpoint from things that he has seen, his viewpoint is biased towards his own ideals. Take, for example, Plato’s </w:t>
      </w:r>
      <w:r w:rsidRPr="00F61775">
        <w:rPr>
          <w:i/>
        </w:rPr>
        <w:t>Republic</w:t>
      </w:r>
      <w:r w:rsidRPr="00F61775">
        <w:t xml:space="preserve"> and </w:t>
      </w:r>
      <w:r w:rsidRPr="00F61775">
        <w:rPr>
          <w:i/>
        </w:rPr>
        <w:t>Laws</w:t>
      </w:r>
      <w:r w:rsidRPr="00F61775">
        <w:t xml:space="preserve"> which Aristotle seems to find preposterous due to Plato’s wish for complete unity rather than harmony</w:t>
      </w:r>
      <w:r w:rsidRPr="00F61775">
        <w:rPr>
          <w:rStyle w:val="FootnoteReference"/>
        </w:rPr>
        <w:footnoteReference w:id="7"/>
      </w:r>
      <w:r w:rsidRPr="00F61775">
        <w:t>. The reason that he finds it as such is due to his own experiences in which he has seen how certain poleis have worked or not worked, having travelled and studying after leaving the school of Plato</w:t>
      </w:r>
      <w:r w:rsidRPr="00F61775">
        <w:rPr>
          <w:rStyle w:val="FootnoteReference"/>
        </w:rPr>
        <w:footnoteReference w:id="8"/>
      </w:r>
      <w:r w:rsidRPr="00F61775">
        <w:t>. He backs his statement up with the examples of Sparta and Crete at the end of the passage, showing that he has witnessed the effects of a functioning harmonious polis</w:t>
      </w:r>
      <w:r w:rsidRPr="00F61775">
        <w:rPr>
          <w:rStyle w:val="FootnoteReference"/>
        </w:rPr>
        <w:footnoteReference w:id="9"/>
      </w:r>
      <w:r w:rsidRPr="00F61775">
        <w:t>. The example for Sparta which he gives is how the individual households function as a community, sharing possessions (such as slaves) in order to benefit the polis overall due to the end product of such an aid</w:t>
      </w:r>
      <w:r w:rsidRPr="00F61775">
        <w:rPr>
          <w:rStyle w:val="FootnoteReference"/>
        </w:rPr>
        <w:footnoteReference w:id="10"/>
      </w:r>
      <w:r w:rsidRPr="00F61775">
        <w:t>. This is a fine example for how a pluralistic polis has created a hive of activity which causes growth and community within it</w:t>
      </w:r>
      <w:r w:rsidRPr="00F61775">
        <w:rPr>
          <w:rStyle w:val="FootnoteReference"/>
        </w:rPr>
        <w:footnoteReference w:id="11"/>
      </w:r>
      <w:r w:rsidRPr="00F61775">
        <w:t xml:space="preserve">. To concur with </w:t>
      </w:r>
      <w:proofErr w:type="spellStart"/>
      <w:r w:rsidRPr="00F61775">
        <w:t>Mitterman’s</w:t>
      </w:r>
      <w:proofErr w:type="spellEnd"/>
      <w:r w:rsidRPr="00F61775">
        <w:t xml:space="preserve"> interpretation of what he believes Aristotle was attempting to suggest, it is not a hard pluralistic or unified polis, it is one based upon a level of respect for the other households in the community forming bonds as in Plato’s ideals</w:t>
      </w:r>
      <w:r w:rsidRPr="00F61775">
        <w:rPr>
          <w:rStyle w:val="FootnoteReference"/>
        </w:rPr>
        <w:footnoteReference w:id="12"/>
      </w:r>
      <w:r w:rsidRPr="00F61775">
        <w:t>. In the 5</w:t>
      </w:r>
      <w:r w:rsidRPr="00F61775">
        <w:rPr>
          <w:vertAlign w:val="superscript"/>
        </w:rPr>
        <w:t>th</w:t>
      </w:r>
      <w:r w:rsidRPr="00F61775">
        <w:t xml:space="preserve"> century BC, the Greeks did thrive better due to this sense of a collective identity that they formed, one starts to see this integration of the </w:t>
      </w:r>
      <w:r w:rsidRPr="00F61775">
        <w:lastRenderedPageBreak/>
        <w:t>ideals which Aristotle</w:t>
      </w:r>
      <w:r w:rsidRPr="00F61775">
        <w:rPr>
          <w:rStyle w:val="FootnoteReference"/>
        </w:rPr>
        <w:footnoteReference w:id="13"/>
      </w:r>
      <w:r w:rsidRPr="00F61775">
        <w:t>, Demosthenes</w:t>
      </w:r>
      <w:r w:rsidRPr="00F61775">
        <w:rPr>
          <w:rStyle w:val="FootnoteReference"/>
        </w:rPr>
        <w:footnoteReference w:id="14"/>
      </w:r>
      <w:r w:rsidRPr="00F61775">
        <w:t xml:space="preserve"> and, to a lesser degree, Plato</w:t>
      </w:r>
      <w:r w:rsidRPr="00F61775">
        <w:rPr>
          <w:rStyle w:val="FootnoteReference"/>
        </w:rPr>
        <w:footnoteReference w:id="15"/>
      </w:r>
      <w:r w:rsidRPr="00F61775">
        <w:t xml:space="preserve"> were trying to exhibit in their works</w:t>
      </w:r>
      <w:r w:rsidRPr="00F61775">
        <w:rPr>
          <w:rStyle w:val="FootnoteReference"/>
        </w:rPr>
        <w:footnoteReference w:id="16"/>
      </w:r>
      <w:r w:rsidRPr="00F61775">
        <w:t xml:space="preserve">. </w:t>
      </w:r>
    </w:p>
    <w:p w:rsidR="006151E8" w:rsidRPr="00F61775" w:rsidRDefault="006151E8" w:rsidP="006151E8">
      <w:r w:rsidRPr="00F61775">
        <w:t>To conclude, it can be agreed that Aristotle’s idea for a state identity</w:t>
      </w:r>
      <w:r w:rsidRPr="00F61775">
        <w:rPr>
          <w:rStyle w:val="FootnoteReference"/>
        </w:rPr>
        <w:footnoteReference w:id="17"/>
      </w:r>
      <w:r w:rsidRPr="00F61775">
        <w:t xml:space="preserve"> as a collective was realistic – more so than Plato’s</w:t>
      </w:r>
      <w:r w:rsidRPr="00F61775">
        <w:rPr>
          <w:rStyle w:val="FootnoteReference"/>
        </w:rPr>
        <w:footnoteReference w:id="18"/>
      </w:r>
      <w:r w:rsidRPr="00F61775">
        <w:t xml:space="preserve"> – because he managed to illustrate what a healthy polis would function as. Furthermore, throughout the 5</w:t>
      </w:r>
      <w:r w:rsidRPr="00F61775">
        <w:rPr>
          <w:vertAlign w:val="superscript"/>
        </w:rPr>
        <w:t>th</w:t>
      </w:r>
      <w:r w:rsidRPr="00F61775">
        <w:t xml:space="preserve"> century BC, we can see how a collective and mutually beneficial relationship between individual households created a healthy and thriving polis that functioned harmoniously due to the fact which the individual acts with a common advantage</w:t>
      </w:r>
      <w:r w:rsidRPr="00F61775">
        <w:rPr>
          <w:rStyle w:val="FootnoteReference"/>
        </w:rPr>
        <w:footnoteReference w:id="19"/>
      </w:r>
      <w:r w:rsidRPr="00F61775">
        <w:t xml:space="preserve">. </w:t>
      </w:r>
    </w:p>
    <w:p w:rsidR="0006508A" w:rsidRDefault="0006508A" w:rsidP="006151E8"/>
    <w:p w:rsidR="00F61775" w:rsidRDefault="00F61775" w:rsidP="006151E8"/>
    <w:p w:rsidR="00F61775" w:rsidRPr="00F61775" w:rsidRDefault="00F61775" w:rsidP="006151E8"/>
    <w:p w:rsidR="0006508A" w:rsidRPr="00F61775" w:rsidRDefault="0006508A" w:rsidP="006151E8">
      <w:r w:rsidRPr="00F61775">
        <w:t>Word Count: 545</w:t>
      </w:r>
    </w:p>
    <w:p w:rsidR="0006508A" w:rsidRPr="00F61775" w:rsidRDefault="0006508A" w:rsidP="006151E8"/>
    <w:p w:rsidR="006151E8" w:rsidRDefault="006151E8">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Default="00F61775">
      <w:pPr>
        <w:rPr>
          <w:sz w:val="24"/>
        </w:rPr>
      </w:pPr>
    </w:p>
    <w:p w:rsidR="00F61775" w:rsidRPr="00F61775" w:rsidRDefault="00F61775">
      <w:pPr>
        <w:rPr>
          <w:b/>
          <w:sz w:val="24"/>
          <w:u w:val="single"/>
        </w:rPr>
      </w:pPr>
      <w:r w:rsidRPr="00F61775">
        <w:rPr>
          <w:b/>
          <w:sz w:val="24"/>
          <w:u w:val="single"/>
        </w:rPr>
        <w:lastRenderedPageBreak/>
        <w:t>Bibliography</w:t>
      </w:r>
    </w:p>
    <w:p w:rsidR="002530A2" w:rsidRPr="003C0DF9" w:rsidRDefault="002530A2">
      <w:pPr>
        <w:rPr>
          <w:sz w:val="24"/>
        </w:rPr>
      </w:pPr>
      <w:proofErr w:type="spellStart"/>
      <w:r w:rsidRPr="003C0DF9">
        <w:rPr>
          <w:sz w:val="24"/>
        </w:rPr>
        <w:t>Bitros</w:t>
      </w:r>
      <w:proofErr w:type="spellEnd"/>
      <w:r w:rsidRPr="003C0DF9">
        <w:rPr>
          <w:sz w:val="24"/>
        </w:rPr>
        <w:t xml:space="preserve">, G and Karayiannis, A. (2008) </w:t>
      </w:r>
      <w:r w:rsidRPr="003C0DF9">
        <w:rPr>
          <w:i/>
          <w:sz w:val="24"/>
        </w:rPr>
        <w:t xml:space="preserve">Values and </w:t>
      </w:r>
      <w:r w:rsidR="003C0DF9">
        <w:rPr>
          <w:i/>
          <w:sz w:val="24"/>
        </w:rPr>
        <w:t>I</w:t>
      </w:r>
      <w:r w:rsidRPr="003C0DF9">
        <w:rPr>
          <w:i/>
          <w:sz w:val="24"/>
        </w:rPr>
        <w:t xml:space="preserve">nstitutions as </w:t>
      </w:r>
      <w:r w:rsidR="003C0DF9">
        <w:rPr>
          <w:i/>
          <w:sz w:val="24"/>
        </w:rPr>
        <w:t>D</w:t>
      </w:r>
      <w:r w:rsidRPr="003C0DF9">
        <w:rPr>
          <w:i/>
          <w:sz w:val="24"/>
        </w:rPr>
        <w:t xml:space="preserve">eterminants of </w:t>
      </w:r>
      <w:r w:rsidR="003C0DF9">
        <w:rPr>
          <w:i/>
          <w:sz w:val="24"/>
        </w:rPr>
        <w:t>E</w:t>
      </w:r>
      <w:r w:rsidRPr="003C0DF9">
        <w:rPr>
          <w:i/>
          <w:sz w:val="24"/>
        </w:rPr>
        <w:t xml:space="preserve">ntrepreneurship in </w:t>
      </w:r>
      <w:r w:rsidR="003C0DF9">
        <w:rPr>
          <w:i/>
          <w:sz w:val="24"/>
        </w:rPr>
        <w:t>A</w:t>
      </w:r>
      <w:r w:rsidRPr="003C0DF9">
        <w:rPr>
          <w:i/>
          <w:sz w:val="24"/>
        </w:rPr>
        <w:t>ncient Athens</w:t>
      </w:r>
      <w:r w:rsidR="003C0DF9">
        <w:rPr>
          <w:i/>
          <w:sz w:val="24"/>
        </w:rPr>
        <w:t>.</w:t>
      </w:r>
      <w:r w:rsidR="003C0DF9">
        <w:rPr>
          <w:sz w:val="24"/>
        </w:rPr>
        <w:t xml:space="preserve"> Journal of </w:t>
      </w:r>
      <w:proofErr w:type="spellStart"/>
      <w:r w:rsidR="003C0DF9">
        <w:rPr>
          <w:sz w:val="24"/>
        </w:rPr>
        <w:t>Institutinal</w:t>
      </w:r>
      <w:proofErr w:type="spellEnd"/>
      <w:r w:rsidR="003C0DF9">
        <w:rPr>
          <w:sz w:val="24"/>
        </w:rPr>
        <w:t xml:space="preserve"> Economics. 4</w:t>
      </w:r>
      <w:r w:rsidR="00212EC4">
        <w:rPr>
          <w:sz w:val="24"/>
        </w:rPr>
        <w:t>(</w:t>
      </w:r>
      <w:r w:rsidR="003C0DF9">
        <w:rPr>
          <w:sz w:val="24"/>
        </w:rPr>
        <w:t>2</w:t>
      </w:r>
      <w:r w:rsidR="00212EC4">
        <w:rPr>
          <w:sz w:val="24"/>
        </w:rPr>
        <w:t>)</w:t>
      </w:r>
    </w:p>
    <w:p w:rsidR="00F61775" w:rsidRDefault="002530A2" w:rsidP="003C0DF9">
      <w:pPr>
        <w:tabs>
          <w:tab w:val="left" w:pos="2483"/>
        </w:tabs>
        <w:rPr>
          <w:sz w:val="24"/>
        </w:rPr>
      </w:pPr>
      <w:r>
        <w:rPr>
          <w:sz w:val="24"/>
        </w:rPr>
        <w:t>Miller, F.</w:t>
      </w:r>
      <w:r w:rsidR="003C0DF9">
        <w:rPr>
          <w:sz w:val="24"/>
        </w:rPr>
        <w:t xml:space="preserve"> (1991) </w:t>
      </w:r>
      <w:r w:rsidR="003C0DF9">
        <w:rPr>
          <w:i/>
          <w:sz w:val="24"/>
        </w:rPr>
        <w:t>Nature, Justice and Rights in Aristotle’s Politics.</w:t>
      </w:r>
      <w:r w:rsidR="003C0DF9">
        <w:rPr>
          <w:sz w:val="24"/>
        </w:rPr>
        <w:t xml:space="preserve"> Clarendon Press, Oxford. </w:t>
      </w:r>
    </w:p>
    <w:p w:rsidR="002530A2" w:rsidRPr="003C0DF9" w:rsidRDefault="002530A2">
      <w:pPr>
        <w:rPr>
          <w:sz w:val="24"/>
        </w:rPr>
      </w:pPr>
      <w:proofErr w:type="spellStart"/>
      <w:r>
        <w:rPr>
          <w:sz w:val="24"/>
        </w:rPr>
        <w:t>Mitterman</w:t>
      </w:r>
      <w:proofErr w:type="spellEnd"/>
      <w:r>
        <w:rPr>
          <w:sz w:val="24"/>
        </w:rPr>
        <w:t>, A.</w:t>
      </w:r>
      <w:r w:rsidR="003C0DF9">
        <w:rPr>
          <w:sz w:val="24"/>
        </w:rPr>
        <w:t xml:space="preserve"> (2001) </w:t>
      </w:r>
      <w:r w:rsidR="003C0DF9">
        <w:rPr>
          <w:i/>
          <w:sz w:val="24"/>
        </w:rPr>
        <w:t>Pluralism: Identity, Civility and the Common Good.</w:t>
      </w:r>
      <w:r w:rsidR="003C0DF9">
        <w:rPr>
          <w:sz w:val="24"/>
        </w:rPr>
        <w:t xml:space="preserve"> Oxford University Press</w:t>
      </w:r>
      <w:r w:rsidR="00212EC4">
        <w:rPr>
          <w:sz w:val="24"/>
        </w:rPr>
        <w:t xml:space="preserve">. Modern Judaism 21(2). </w:t>
      </w:r>
      <w:proofErr w:type="spellStart"/>
      <w:r w:rsidR="00212EC4">
        <w:rPr>
          <w:sz w:val="24"/>
        </w:rPr>
        <w:t>Pg</w:t>
      </w:r>
      <w:proofErr w:type="spellEnd"/>
      <w:r w:rsidR="00212EC4">
        <w:rPr>
          <w:sz w:val="24"/>
        </w:rPr>
        <w:t xml:space="preserve"> 125-145</w:t>
      </w:r>
    </w:p>
    <w:p w:rsidR="002530A2" w:rsidRPr="003C0DF9" w:rsidRDefault="002530A2">
      <w:pPr>
        <w:rPr>
          <w:sz w:val="24"/>
        </w:rPr>
      </w:pPr>
      <w:r>
        <w:rPr>
          <w:sz w:val="24"/>
        </w:rPr>
        <w:t>Rutherford, R.</w:t>
      </w:r>
      <w:r w:rsidR="003C0DF9">
        <w:rPr>
          <w:sz w:val="24"/>
        </w:rPr>
        <w:t xml:space="preserve"> (2005) </w:t>
      </w:r>
      <w:r w:rsidR="003C0DF9">
        <w:rPr>
          <w:i/>
          <w:sz w:val="24"/>
        </w:rPr>
        <w:t xml:space="preserve">Blackwell Introduction to the Classical World: Classical Literature. </w:t>
      </w:r>
      <w:r w:rsidR="003C0DF9">
        <w:rPr>
          <w:sz w:val="24"/>
        </w:rPr>
        <w:t>Blackwell Publishing</w:t>
      </w:r>
    </w:p>
    <w:p w:rsidR="003C0DF9" w:rsidRPr="003C0DF9" w:rsidRDefault="003C0DF9">
      <w:pPr>
        <w:rPr>
          <w:sz w:val="24"/>
        </w:rPr>
      </w:pPr>
      <w:r>
        <w:rPr>
          <w:sz w:val="24"/>
        </w:rPr>
        <w:t xml:space="preserve">Sinclair, T.A. (1981). </w:t>
      </w:r>
      <w:r>
        <w:rPr>
          <w:i/>
          <w:sz w:val="24"/>
        </w:rPr>
        <w:t>Introduction – Aristotle Politics</w:t>
      </w:r>
      <w:r>
        <w:rPr>
          <w:sz w:val="24"/>
        </w:rPr>
        <w:t xml:space="preserve">. </w:t>
      </w:r>
    </w:p>
    <w:p w:rsidR="00F61775" w:rsidRDefault="00F61775">
      <w:pPr>
        <w:rPr>
          <w:sz w:val="24"/>
          <w:u w:val="single"/>
        </w:rPr>
      </w:pPr>
    </w:p>
    <w:p w:rsidR="00F61775" w:rsidRDefault="00F61775">
      <w:pPr>
        <w:rPr>
          <w:sz w:val="24"/>
          <w:u w:val="single"/>
        </w:rPr>
      </w:pPr>
      <w:r>
        <w:rPr>
          <w:sz w:val="24"/>
          <w:u w:val="single"/>
        </w:rPr>
        <w:t>Ancient Sources</w:t>
      </w:r>
    </w:p>
    <w:p w:rsidR="00F61775" w:rsidRDefault="00F61775">
      <w:pPr>
        <w:rPr>
          <w:sz w:val="24"/>
        </w:rPr>
      </w:pPr>
      <w:r>
        <w:rPr>
          <w:sz w:val="24"/>
        </w:rPr>
        <w:t>Aristotle. Politics. Trans</w:t>
      </w:r>
      <w:r w:rsidR="00317EE4">
        <w:rPr>
          <w:sz w:val="24"/>
        </w:rPr>
        <w:t xml:space="preserve"> Sinclair</w:t>
      </w:r>
      <w:r w:rsidR="002530A2">
        <w:rPr>
          <w:sz w:val="24"/>
        </w:rPr>
        <w:t>,</w:t>
      </w:r>
      <w:r w:rsidR="002530A2" w:rsidRPr="002530A2">
        <w:rPr>
          <w:sz w:val="24"/>
        </w:rPr>
        <w:t xml:space="preserve"> </w:t>
      </w:r>
      <w:r w:rsidR="002530A2">
        <w:rPr>
          <w:sz w:val="24"/>
        </w:rPr>
        <w:t>T.A</w:t>
      </w:r>
      <w:r w:rsidR="00317EE4">
        <w:rPr>
          <w:sz w:val="24"/>
        </w:rPr>
        <w:t>.</w:t>
      </w:r>
    </w:p>
    <w:p w:rsidR="00317EE4" w:rsidRPr="002530A2" w:rsidRDefault="00317EE4">
      <w:pPr>
        <w:rPr>
          <w:sz w:val="28"/>
        </w:rPr>
      </w:pPr>
      <w:r w:rsidRPr="002530A2">
        <w:rPr>
          <w:sz w:val="24"/>
        </w:rPr>
        <w:t xml:space="preserve">Demosthenes. Against </w:t>
      </w:r>
      <w:proofErr w:type="spellStart"/>
      <w:r w:rsidRPr="002530A2">
        <w:rPr>
          <w:sz w:val="24"/>
        </w:rPr>
        <w:t>Eubulides</w:t>
      </w:r>
      <w:proofErr w:type="spellEnd"/>
      <w:r w:rsidRPr="002530A2">
        <w:rPr>
          <w:sz w:val="24"/>
        </w:rPr>
        <w:t xml:space="preserve"> 35</w:t>
      </w:r>
    </w:p>
    <w:p w:rsidR="00317EE4" w:rsidRDefault="00317EE4">
      <w:pPr>
        <w:rPr>
          <w:sz w:val="24"/>
        </w:rPr>
      </w:pPr>
      <w:r>
        <w:rPr>
          <w:sz w:val="24"/>
        </w:rPr>
        <w:t>Plato. Laws. Trans Saunders</w:t>
      </w:r>
      <w:r w:rsidR="002530A2">
        <w:rPr>
          <w:sz w:val="24"/>
        </w:rPr>
        <w:t>, T</w:t>
      </w:r>
    </w:p>
    <w:p w:rsidR="00317EE4" w:rsidRPr="00F61775" w:rsidRDefault="00317EE4">
      <w:pPr>
        <w:rPr>
          <w:sz w:val="24"/>
        </w:rPr>
      </w:pPr>
      <w:r>
        <w:rPr>
          <w:sz w:val="24"/>
        </w:rPr>
        <w:t>Plato. Republic. Trans Lane</w:t>
      </w:r>
      <w:r w:rsidR="002530A2">
        <w:rPr>
          <w:sz w:val="24"/>
        </w:rPr>
        <w:t>, M</w:t>
      </w:r>
    </w:p>
    <w:sectPr w:rsidR="00317EE4" w:rsidRPr="00F617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3320" w:rsidRDefault="008B3320" w:rsidP="006151E8">
      <w:pPr>
        <w:spacing w:after="0" w:line="240" w:lineRule="auto"/>
      </w:pPr>
      <w:r>
        <w:separator/>
      </w:r>
    </w:p>
  </w:endnote>
  <w:endnote w:type="continuationSeparator" w:id="0">
    <w:p w:rsidR="008B3320" w:rsidRDefault="008B3320" w:rsidP="0061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3320" w:rsidRDefault="008B3320" w:rsidP="006151E8">
      <w:pPr>
        <w:spacing w:after="0" w:line="240" w:lineRule="auto"/>
      </w:pPr>
      <w:r>
        <w:separator/>
      </w:r>
    </w:p>
  </w:footnote>
  <w:footnote w:type="continuationSeparator" w:id="0">
    <w:p w:rsidR="008B3320" w:rsidRDefault="008B3320" w:rsidP="006151E8">
      <w:pPr>
        <w:spacing w:after="0" w:line="240" w:lineRule="auto"/>
      </w:pPr>
      <w:r>
        <w:continuationSeparator/>
      </w:r>
    </w:p>
  </w:footnote>
  <w:footnote w:id="1">
    <w:p w:rsidR="006151E8" w:rsidRDefault="006151E8" w:rsidP="006151E8">
      <w:pPr>
        <w:pStyle w:val="FootnoteText"/>
      </w:pPr>
      <w:r>
        <w:rPr>
          <w:rStyle w:val="FootnoteReference"/>
        </w:rPr>
        <w:footnoteRef/>
      </w:r>
      <w:r>
        <w:t xml:space="preserve"> </w:t>
      </w:r>
      <w:proofErr w:type="spellStart"/>
      <w:r>
        <w:t>Arist</w:t>
      </w:r>
      <w:proofErr w:type="spellEnd"/>
      <w:r>
        <w:t>. Pol. .</w:t>
      </w:r>
      <w:proofErr w:type="gramStart"/>
      <w:r>
        <w:t>1263.b.</w:t>
      </w:r>
      <w:proofErr w:type="gramEnd"/>
      <w:r>
        <w:t>42</w:t>
      </w:r>
    </w:p>
  </w:footnote>
  <w:footnote w:id="2">
    <w:p w:rsidR="006151E8" w:rsidRDefault="006151E8" w:rsidP="006151E8">
      <w:pPr>
        <w:pStyle w:val="FootnoteText"/>
      </w:pPr>
      <w:r>
        <w:rPr>
          <w:rStyle w:val="FootnoteReference"/>
        </w:rPr>
        <w:footnoteRef/>
      </w:r>
      <w:r>
        <w:t xml:space="preserve"> R, Rutherford. 2005. pp241</w:t>
      </w:r>
    </w:p>
  </w:footnote>
  <w:footnote w:id="3">
    <w:p w:rsidR="006151E8" w:rsidRDefault="006151E8" w:rsidP="006151E8">
      <w:pPr>
        <w:pStyle w:val="FootnoteText"/>
      </w:pPr>
      <w:r>
        <w:rPr>
          <w:rStyle w:val="FootnoteReference"/>
        </w:rPr>
        <w:footnoteRef/>
      </w:r>
      <w:r>
        <w:t xml:space="preserve"> </w:t>
      </w:r>
      <w:proofErr w:type="spellStart"/>
      <w:r>
        <w:t>Arist</w:t>
      </w:r>
      <w:proofErr w:type="spellEnd"/>
      <w:r>
        <w:t>. Pol. 1263b</w:t>
      </w:r>
    </w:p>
  </w:footnote>
  <w:footnote w:id="4">
    <w:p w:rsidR="006151E8" w:rsidRDefault="006151E8" w:rsidP="006151E8">
      <w:pPr>
        <w:pStyle w:val="FootnoteText"/>
      </w:pPr>
      <w:r>
        <w:rPr>
          <w:rStyle w:val="FootnoteReference"/>
        </w:rPr>
        <w:footnoteRef/>
      </w:r>
      <w:r>
        <w:t xml:space="preserve"> </w:t>
      </w:r>
      <w:proofErr w:type="spellStart"/>
      <w:r>
        <w:t>Arist</w:t>
      </w:r>
      <w:proofErr w:type="spellEnd"/>
      <w:r>
        <w:t>. Pol. 1263a</w:t>
      </w:r>
    </w:p>
  </w:footnote>
  <w:footnote w:id="5">
    <w:p w:rsidR="006151E8" w:rsidRDefault="006151E8" w:rsidP="006151E8">
      <w:pPr>
        <w:pStyle w:val="FootnoteText"/>
      </w:pPr>
      <w:r>
        <w:rPr>
          <w:rStyle w:val="FootnoteReference"/>
        </w:rPr>
        <w:footnoteRef/>
      </w:r>
      <w:r>
        <w:t xml:space="preserve"> A. </w:t>
      </w:r>
      <w:proofErr w:type="spellStart"/>
      <w:r>
        <w:t>Mittleman</w:t>
      </w:r>
      <w:proofErr w:type="spellEnd"/>
      <w:r>
        <w:t>. 2001. pp141</w:t>
      </w:r>
    </w:p>
  </w:footnote>
  <w:footnote w:id="6">
    <w:p w:rsidR="006151E8" w:rsidRDefault="006151E8" w:rsidP="006151E8">
      <w:pPr>
        <w:pStyle w:val="FootnoteText"/>
      </w:pPr>
      <w:r>
        <w:rPr>
          <w:rStyle w:val="FootnoteReference"/>
        </w:rPr>
        <w:footnoteRef/>
      </w:r>
      <w:r>
        <w:t xml:space="preserve"> </w:t>
      </w:r>
      <w:proofErr w:type="spellStart"/>
      <w:r>
        <w:t>Arist</w:t>
      </w:r>
      <w:proofErr w:type="spellEnd"/>
      <w:r>
        <w:t>. Pol. .</w:t>
      </w:r>
      <w:proofErr w:type="gramStart"/>
      <w:r>
        <w:t>1263.b.</w:t>
      </w:r>
      <w:proofErr w:type="gramEnd"/>
      <w:r>
        <w:t>42</w:t>
      </w:r>
    </w:p>
  </w:footnote>
  <w:footnote w:id="7">
    <w:p w:rsidR="006151E8" w:rsidRDefault="006151E8" w:rsidP="006151E8">
      <w:pPr>
        <w:pStyle w:val="FootnoteText"/>
      </w:pPr>
      <w:r>
        <w:rPr>
          <w:rStyle w:val="FootnoteReference"/>
        </w:rPr>
        <w:footnoteRef/>
      </w:r>
      <w:r>
        <w:t xml:space="preserve"> </w:t>
      </w:r>
      <w:proofErr w:type="spellStart"/>
      <w:r>
        <w:t>Arist</w:t>
      </w:r>
      <w:proofErr w:type="spellEnd"/>
      <w:r>
        <w:t>. Pol. 1264b26- 1265a38</w:t>
      </w:r>
    </w:p>
  </w:footnote>
  <w:footnote w:id="8">
    <w:p w:rsidR="006151E8" w:rsidRDefault="006151E8" w:rsidP="006151E8">
      <w:pPr>
        <w:pStyle w:val="FootnoteText"/>
      </w:pPr>
      <w:r>
        <w:rPr>
          <w:rStyle w:val="FootnoteReference"/>
        </w:rPr>
        <w:footnoteRef/>
      </w:r>
      <w:r>
        <w:t xml:space="preserve"> T.A, Sinclair. 1981. </w:t>
      </w:r>
      <w:proofErr w:type="spellStart"/>
      <w:r>
        <w:t>ppXIII</w:t>
      </w:r>
      <w:proofErr w:type="spellEnd"/>
      <w:r>
        <w:t>-XIV</w:t>
      </w:r>
    </w:p>
  </w:footnote>
  <w:footnote w:id="9">
    <w:p w:rsidR="006151E8" w:rsidRDefault="006151E8" w:rsidP="006151E8">
      <w:pPr>
        <w:pStyle w:val="FootnoteText"/>
      </w:pPr>
      <w:r>
        <w:rPr>
          <w:rStyle w:val="FootnoteReference"/>
        </w:rPr>
        <w:footnoteRef/>
      </w:r>
      <w:r>
        <w:t xml:space="preserve"> </w:t>
      </w:r>
      <w:proofErr w:type="spellStart"/>
      <w:r>
        <w:t>Arist</w:t>
      </w:r>
      <w:proofErr w:type="spellEnd"/>
      <w:r>
        <w:t>. Pol. 1263b</w:t>
      </w:r>
    </w:p>
  </w:footnote>
  <w:footnote w:id="10">
    <w:p w:rsidR="006151E8" w:rsidRDefault="006151E8" w:rsidP="006151E8">
      <w:pPr>
        <w:pStyle w:val="FootnoteText"/>
      </w:pPr>
      <w:r>
        <w:rPr>
          <w:rStyle w:val="FootnoteReference"/>
        </w:rPr>
        <w:footnoteRef/>
      </w:r>
      <w:r>
        <w:t xml:space="preserve"> </w:t>
      </w:r>
      <w:proofErr w:type="spellStart"/>
      <w:r>
        <w:t>Arist</w:t>
      </w:r>
      <w:proofErr w:type="spellEnd"/>
      <w:r>
        <w:t>. Pol. 1263a.30-40</w:t>
      </w:r>
    </w:p>
  </w:footnote>
  <w:footnote w:id="11">
    <w:p w:rsidR="006151E8" w:rsidRDefault="006151E8" w:rsidP="006151E8">
      <w:pPr>
        <w:pStyle w:val="FootnoteText"/>
      </w:pPr>
      <w:r>
        <w:rPr>
          <w:rStyle w:val="FootnoteReference"/>
        </w:rPr>
        <w:footnoteRef/>
      </w:r>
      <w:r>
        <w:t xml:space="preserve"> A. </w:t>
      </w:r>
      <w:proofErr w:type="spellStart"/>
      <w:r>
        <w:t>Mittleman</w:t>
      </w:r>
      <w:proofErr w:type="spellEnd"/>
      <w:r>
        <w:t>. 2001. pp141</w:t>
      </w:r>
    </w:p>
  </w:footnote>
  <w:footnote w:id="12">
    <w:p w:rsidR="006151E8" w:rsidRDefault="006151E8" w:rsidP="006151E8">
      <w:pPr>
        <w:pStyle w:val="FootnoteText"/>
      </w:pPr>
      <w:r>
        <w:rPr>
          <w:rStyle w:val="FootnoteReference"/>
        </w:rPr>
        <w:footnoteRef/>
      </w:r>
      <w:r>
        <w:t xml:space="preserve"> A. </w:t>
      </w:r>
      <w:proofErr w:type="spellStart"/>
      <w:r>
        <w:t>Mitterman</w:t>
      </w:r>
      <w:proofErr w:type="spellEnd"/>
      <w:r>
        <w:t>. 2001. pp141-142</w:t>
      </w:r>
    </w:p>
  </w:footnote>
  <w:footnote w:id="13">
    <w:p w:rsidR="006151E8" w:rsidRDefault="006151E8" w:rsidP="006151E8">
      <w:pPr>
        <w:pStyle w:val="FootnoteText"/>
      </w:pPr>
      <w:r>
        <w:rPr>
          <w:rStyle w:val="FootnoteReference"/>
        </w:rPr>
        <w:footnoteRef/>
      </w:r>
      <w:r>
        <w:t xml:space="preserve"> </w:t>
      </w:r>
      <w:proofErr w:type="spellStart"/>
      <w:r>
        <w:t>Arist</w:t>
      </w:r>
      <w:proofErr w:type="spellEnd"/>
      <w:r>
        <w:t>. Pol. 1263.b</w:t>
      </w:r>
    </w:p>
  </w:footnote>
  <w:footnote w:id="14">
    <w:p w:rsidR="006151E8" w:rsidRDefault="006151E8" w:rsidP="006151E8">
      <w:pPr>
        <w:pStyle w:val="FootnoteText"/>
      </w:pPr>
      <w:r>
        <w:rPr>
          <w:rStyle w:val="FootnoteReference"/>
        </w:rPr>
        <w:footnoteRef/>
      </w:r>
      <w:r>
        <w:t xml:space="preserve"> Demosthenes. Against </w:t>
      </w:r>
      <w:proofErr w:type="spellStart"/>
      <w:r>
        <w:t>Eubulides</w:t>
      </w:r>
      <w:proofErr w:type="spellEnd"/>
      <w:r>
        <w:t xml:space="preserve"> 35</w:t>
      </w:r>
    </w:p>
  </w:footnote>
  <w:footnote w:id="15">
    <w:p w:rsidR="006151E8" w:rsidRDefault="006151E8" w:rsidP="006151E8">
      <w:pPr>
        <w:pStyle w:val="FootnoteText"/>
      </w:pPr>
      <w:r>
        <w:rPr>
          <w:rStyle w:val="FootnoteReference"/>
        </w:rPr>
        <w:footnoteRef/>
      </w:r>
      <w:r>
        <w:t xml:space="preserve"> Plato. Laws. 740b-741a</w:t>
      </w:r>
      <w:r>
        <w:br/>
        <w:t>Plato. Republic. 373-423</w:t>
      </w:r>
    </w:p>
  </w:footnote>
  <w:footnote w:id="16">
    <w:p w:rsidR="006151E8" w:rsidRDefault="006151E8" w:rsidP="006151E8">
      <w:pPr>
        <w:pStyle w:val="FootnoteText"/>
      </w:pPr>
      <w:r>
        <w:rPr>
          <w:rStyle w:val="FootnoteReference"/>
        </w:rPr>
        <w:footnoteRef/>
      </w:r>
      <w:r>
        <w:t xml:space="preserve"> G, </w:t>
      </w:r>
      <w:proofErr w:type="spellStart"/>
      <w:r>
        <w:t>Bitros</w:t>
      </w:r>
      <w:proofErr w:type="spellEnd"/>
      <w:r>
        <w:t xml:space="preserve"> and A, Karayiannis. 2008. pp209</w:t>
      </w:r>
    </w:p>
  </w:footnote>
  <w:footnote w:id="17">
    <w:p w:rsidR="006151E8" w:rsidRDefault="006151E8" w:rsidP="006151E8">
      <w:pPr>
        <w:pStyle w:val="FootnoteText"/>
      </w:pPr>
      <w:r>
        <w:rPr>
          <w:rStyle w:val="FootnoteReference"/>
        </w:rPr>
        <w:footnoteRef/>
      </w:r>
      <w:r>
        <w:t xml:space="preserve"> </w:t>
      </w:r>
      <w:proofErr w:type="spellStart"/>
      <w:r>
        <w:t>Arist</w:t>
      </w:r>
      <w:proofErr w:type="spellEnd"/>
      <w:r>
        <w:t>. Pol. 1263b</w:t>
      </w:r>
    </w:p>
  </w:footnote>
  <w:footnote w:id="18">
    <w:p w:rsidR="006151E8" w:rsidRDefault="006151E8" w:rsidP="006151E8">
      <w:pPr>
        <w:pStyle w:val="FootnoteText"/>
      </w:pPr>
      <w:r>
        <w:rPr>
          <w:rStyle w:val="FootnoteReference"/>
        </w:rPr>
        <w:footnoteRef/>
      </w:r>
      <w:r>
        <w:t xml:space="preserve"> Plato. Laws. 740b-741a</w:t>
      </w:r>
      <w:r>
        <w:br/>
        <w:t>Plato. Republic. 373-423</w:t>
      </w:r>
    </w:p>
  </w:footnote>
  <w:footnote w:id="19">
    <w:p w:rsidR="006151E8" w:rsidRDefault="006151E8" w:rsidP="006151E8">
      <w:pPr>
        <w:pStyle w:val="FootnoteText"/>
      </w:pPr>
      <w:r>
        <w:rPr>
          <w:rStyle w:val="FootnoteReference"/>
        </w:rPr>
        <w:footnoteRef/>
      </w:r>
      <w:r>
        <w:t xml:space="preserve"> F, Miller. 1991. II 6.1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1E8"/>
    <w:rsid w:val="0006508A"/>
    <w:rsid w:val="00212EC4"/>
    <w:rsid w:val="002530A2"/>
    <w:rsid w:val="00317EE4"/>
    <w:rsid w:val="003C0DF9"/>
    <w:rsid w:val="004003F8"/>
    <w:rsid w:val="004D2820"/>
    <w:rsid w:val="006151E8"/>
    <w:rsid w:val="006F6964"/>
    <w:rsid w:val="008B3320"/>
    <w:rsid w:val="00D9288F"/>
    <w:rsid w:val="00F61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9C9B"/>
  <w15:chartTrackingRefBased/>
  <w15:docId w15:val="{C35CACA9-737A-48ED-ADB7-5B79AA598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51E8"/>
  </w:style>
  <w:style w:type="paragraph" w:styleId="Heading1">
    <w:name w:val="heading 1"/>
    <w:basedOn w:val="Normal"/>
    <w:link w:val="Heading1Char"/>
    <w:uiPriority w:val="9"/>
    <w:qFormat/>
    <w:rsid w:val="002530A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51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51E8"/>
    <w:rPr>
      <w:sz w:val="20"/>
      <w:szCs w:val="20"/>
    </w:rPr>
  </w:style>
  <w:style w:type="character" w:styleId="FootnoteReference">
    <w:name w:val="footnote reference"/>
    <w:basedOn w:val="DefaultParagraphFont"/>
    <w:uiPriority w:val="99"/>
    <w:semiHidden/>
    <w:unhideWhenUsed/>
    <w:rsid w:val="006151E8"/>
    <w:rPr>
      <w:vertAlign w:val="superscript"/>
    </w:rPr>
  </w:style>
  <w:style w:type="character" w:styleId="CommentReference">
    <w:name w:val="annotation reference"/>
    <w:basedOn w:val="DefaultParagraphFont"/>
    <w:uiPriority w:val="99"/>
    <w:semiHidden/>
    <w:unhideWhenUsed/>
    <w:rsid w:val="006151E8"/>
    <w:rPr>
      <w:sz w:val="16"/>
      <w:szCs w:val="16"/>
    </w:rPr>
  </w:style>
  <w:style w:type="paragraph" w:styleId="CommentText">
    <w:name w:val="annotation text"/>
    <w:basedOn w:val="Normal"/>
    <w:link w:val="CommentTextChar"/>
    <w:uiPriority w:val="99"/>
    <w:semiHidden/>
    <w:unhideWhenUsed/>
    <w:rsid w:val="006151E8"/>
    <w:pPr>
      <w:spacing w:line="240" w:lineRule="auto"/>
    </w:pPr>
    <w:rPr>
      <w:sz w:val="20"/>
      <w:szCs w:val="20"/>
    </w:rPr>
  </w:style>
  <w:style w:type="character" w:customStyle="1" w:styleId="CommentTextChar">
    <w:name w:val="Comment Text Char"/>
    <w:basedOn w:val="DefaultParagraphFont"/>
    <w:link w:val="CommentText"/>
    <w:uiPriority w:val="99"/>
    <w:semiHidden/>
    <w:rsid w:val="006151E8"/>
    <w:rPr>
      <w:sz w:val="20"/>
      <w:szCs w:val="20"/>
    </w:rPr>
  </w:style>
  <w:style w:type="paragraph" w:styleId="BalloonText">
    <w:name w:val="Balloon Text"/>
    <w:basedOn w:val="Normal"/>
    <w:link w:val="BalloonTextChar"/>
    <w:uiPriority w:val="99"/>
    <w:semiHidden/>
    <w:unhideWhenUsed/>
    <w:rsid w:val="006151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51E8"/>
    <w:rPr>
      <w:rFonts w:ascii="Segoe UI" w:hAnsi="Segoe UI" w:cs="Segoe UI"/>
      <w:sz w:val="18"/>
      <w:szCs w:val="18"/>
    </w:rPr>
  </w:style>
  <w:style w:type="character" w:customStyle="1" w:styleId="Heading1Char">
    <w:name w:val="Heading 1 Char"/>
    <w:basedOn w:val="DefaultParagraphFont"/>
    <w:link w:val="Heading1"/>
    <w:uiPriority w:val="9"/>
    <w:rsid w:val="002530A2"/>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4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7</cp:revision>
  <dcterms:created xsi:type="dcterms:W3CDTF">2019-01-11T22:07:00Z</dcterms:created>
  <dcterms:modified xsi:type="dcterms:W3CDTF">2019-01-11T23:10:00Z</dcterms:modified>
</cp:coreProperties>
</file>