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CF7" w:rsidRDefault="00544716" w:rsidP="000A311B">
      <w:pPr>
        <w:rPr>
          <w:rFonts w:ascii="Times New Roman" w:hAnsi="Times New Roman" w:cs="Times New Roman"/>
          <w:sz w:val="36"/>
          <w:szCs w:val="36"/>
          <w:u w:val="single"/>
        </w:rPr>
      </w:pPr>
      <w:r>
        <w:rPr>
          <w:rFonts w:ascii="Times New Roman" w:hAnsi="Times New Roman" w:cs="Times New Roman"/>
          <w:sz w:val="36"/>
          <w:szCs w:val="36"/>
          <w:u w:val="single"/>
        </w:rPr>
        <w:t>Contents</w:t>
      </w:r>
      <w:bookmarkStart w:id="0" w:name="_GoBack"/>
      <w:bookmarkEnd w:id="0"/>
    </w:p>
    <w:p w:rsidR="00544716" w:rsidRDefault="00544716" w:rsidP="000A311B">
      <w:pPr>
        <w:rPr>
          <w:rFonts w:ascii="Times New Roman" w:hAnsi="Times New Roman" w:cs="Times New Roman"/>
          <w:sz w:val="36"/>
          <w:szCs w:val="36"/>
          <w:u w:val="single"/>
        </w:rPr>
      </w:pPr>
    </w:p>
    <w:p w:rsidR="00544716" w:rsidRDefault="00544716" w:rsidP="000A311B">
      <w:pPr>
        <w:rPr>
          <w:rFonts w:ascii="Times New Roman" w:hAnsi="Times New Roman" w:cs="Times New Roman"/>
          <w:sz w:val="28"/>
          <w:szCs w:val="28"/>
        </w:rPr>
      </w:pPr>
      <w:r w:rsidRPr="00544716">
        <w:rPr>
          <w:rFonts w:ascii="Times New Roman" w:hAnsi="Times New Roman" w:cs="Times New Roman"/>
          <w:noProof/>
          <w:sz w:val="36"/>
          <w:szCs w:val="36"/>
        </w:rPr>
        <w:drawing>
          <wp:inline distT="0" distB="0" distL="0" distR="0" wp14:anchorId="4979F70D" wp14:editId="6707974B">
            <wp:extent cx="542925" cy="542925"/>
            <wp:effectExtent l="0" t="0" r="0" b="9525"/>
            <wp:docPr id="1" name="Graphic 1" descr="Parent and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entAndChild.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42925" cy="542925"/>
                    </a:xfrm>
                    <a:prstGeom prst="rect">
                      <a:avLst/>
                    </a:prstGeom>
                  </pic:spPr>
                </pic:pic>
              </a:graphicData>
            </a:graphic>
          </wp:inline>
        </w:drawing>
      </w:r>
      <w:r>
        <w:rPr>
          <w:rFonts w:ascii="Times New Roman" w:hAnsi="Times New Roman" w:cs="Times New Roman"/>
          <w:sz w:val="28"/>
          <w:szCs w:val="28"/>
        </w:rPr>
        <w:t xml:space="preserve">Activity Plan </w:t>
      </w:r>
      <w:r w:rsidR="009715CE">
        <w:rPr>
          <w:rFonts w:ascii="Times New Roman" w:hAnsi="Times New Roman" w:cs="Times New Roman"/>
          <w:sz w:val="28"/>
          <w:szCs w:val="28"/>
        </w:rPr>
        <w:t>…………………………………….. 2</w:t>
      </w: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1500" cy="571500"/>
            <wp:effectExtent l="0" t="0" r="0" b="0"/>
            <wp:docPr id="2" name="Graphic 2" descr="Parent and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entAndChild.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71500" cy="571500"/>
                    </a:xfrm>
                    <a:prstGeom prst="rect">
                      <a:avLst/>
                    </a:prstGeom>
                  </pic:spPr>
                </pic:pic>
              </a:graphicData>
            </a:graphic>
          </wp:inline>
        </w:drawing>
      </w:r>
      <w:r>
        <w:rPr>
          <w:rFonts w:ascii="Times New Roman" w:hAnsi="Times New Roman" w:cs="Times New Roman"/>
          <w:sz w:val="28"/>
          <w:szCs w:val="28"/>
        </w:rPr>
        <w:t>Activity evaluation</w:t>
      </w:r>
      <w:r w:rsidR="009715CE">
        <w:rPr>
          <w:rFonts w:ascii="Times New Roman" w:hAnsi="Times New Roman" w:cs="Times New Roman"/>
          <w:sz w:val="28"/>
          <w:szCs w:val="28"/>
        </w:rPr>
        <w:t>……………………………… 4</w:t>
      </w: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09600" cy="609600"/>
            <wp:effectExtent l="0" t="0" r="0" b="0"/>
            <wp:docPr id="3" name="Graphic 3" descr="Parent and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entAndChild.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609600" cy="609600"/>
                    </a:xfrm>
                    <a:prstGeom prst="rect">
                      <a:avLst/>
                    </a:prstGeom>
                  </pic:spPr>
                </pic:pic>
              </a:graphicData>
            </a:graphic>
          </wp:inline>
        </w:drawing>
      </w:r>
      <w:r>
        <w:rPr>
          <w:rFonts w:ascii="Times New Roman" w:hAnsi="Times New Roman" w:cs="Times New Roman"/>
          <w:sz w:val="28"/>
          <w:szCs w:val="28"/>
        </w:rPr>
        <w:t>Discussion on diverse resources</w:t>
      </w:r>
      <w:r w:rsidR="009715CE">
        <w:rPr>
          <w:rFonts w:ascii="Times New Roman" w:hAnsi="Times New Roman" w:cs="Times New Roman"/>
          <w:sz w:val="28"/>
          <w:szCs w:val="28"/>
        </w:rPr>
        <w:t xml:space="preserve">……………….. </w:t>
      </w:r>
      <w:r w:rsidR="002A172D">
        <w:rPr>
          <w:rFonts w:ascii="Times New Roman" w:hAnsi="Times New Roman" w:cs="Times New Roman"/>
          <w:sz w:val="28"/>
          <w:szCs w:val="28"/>
        </w:rPr>
        <w:t>7</w:t>
      </w: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76275" cy="676275"/>
            <wp:effectExtent l="0" t="0" r="0" b="0"/>
            <wp:docPr id="4" name="Graphic 4" descr="Parent and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rentAndChild.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676275" cy="676275"/>
                    </a:xfrm>
                    <a:prstGeom prst="rect">
                      <a:avLst/>
                    </a:prstGeom>
                  </pic:spPr>
                </pic:pic>
              </a:graphicData>
            </a:graphic>
          </wp:inline>
        </w:drawing>
      </w:r>
      <w:r>
        <w:rPr>
          <w:rFonts w:ascii="Times New Roman" w:hAnsi="Times New Roman" w:cs="Times New Roman"/>
          <w:sz w:val="28"/>
          <w:szCs w:val="28"/>
        </w:rPr>
        <w:t xml:space="preserve">Explanation on adult monitoring and planning </w:t>
      </w:r>
      <w:r w:rsidR="009715CE">
        <w:rPr>
          <w:rFonts w:ascii="Times New Roman" w:hAnsi="Times New Roman" w:cs="Times New Roman"/>
          <w:sz w:val="28"/>
          <w:szCs w:val="28"/>
        </w:rPr>
        <w:t xml:space="preserve">… </w:t>
      </w:r>
      <w:r w:rsidR="002A172D">
        <w:rPr>
          <w:rFonts w:ascii="Times New Roman" w:hAnsi="Times New Roman" w:cs="Times New Roman"/>
          <w:sz w:val="28"/>
          <w:szCs w:val="28"/>
        </w:rPr>
        <w:t>9</w:t>
      </w:r>
    </w:p>
    <w:p w:rsidR="002A172D" w:rsidRDefault="002A172D" w:rsidP="000A311B">
      <w:pPr>
        <w:rPr>
          <w:rFonts w:ascii="Times New Roman" w:hAnsi="Times New Roman" w:cs="Times New Roman"/>
          <w:sz w:val="28"/>
          <w:szCs w:val="28"/>
        </w:rPr>
      </w:pPr>
    </w:p>
    <w:p w:rsidR="002A172D" w:rsidRDefault="002A172D" w:rsidP="000A311B">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723900" cy="723900"/>
            <wp:effectExtent l="0" t="0" r="0" b="0"/>
            <wp:docPr id="5" name="Graphic 5" descr="Parent and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entAndChild.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723900" cy="723900"/>
                    </a:xfrm>
                    <a:prstGeom prst="rect">
                      <a:avLst/>
                    </a:prstGeom>
                  </pic:spPr>
                </pic:pic>
              </a:graphicData>
            </a:graphic>
          </wp:inline>
        </w:drawing>
      </w:r>
      <w:r>
        <w:rPr>
          <w:rFonts w:ascii="Times New Roman" w:hAnsi="Times New Roman" w:cs="Times New Roman"/>
          <w:sz w:val="28"/>
          <w:szCs w:val="28"/>
        </w:rPr>
        <w:t>References ………………………………………</w:t>
      </w:r>
      <w:r w:rsidR="00A045AE">
        <w:rPr>
          <w:rFonts w:ascii="Times New Roman" w:hAnsi="Times New Roman" w:cs="Times New Roman"/>
          <w:sz w:val="28"/>
          <w:szCs w:val="28"/>
        </w:rPr>
        <w:t>10</w:t>
      </w: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p w:rsidR="00544716" w:rsidRDefault="00544716" w:rsidP="000A311B">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2971"/>
        <w:gridCol w:w="3258"/>
        <w:gridCol w:w="2787"/>
      </w:tblGrid>
      <w:tr w:rsidR="00544716" w:rsidRPr="00544716" w:rsidTr="00184D99">
        <w:tc>
          <w:tcPr>
            <w:tcW w:w="8926" w:type="dxa"/>
            <w:gridSpan w:val="3"/>
          </w:tcPr>
          <w:p w:rsidR="00544716" w:rsidRPr="00544716" w:rsidRDefault="00544716" w:rsidP="000A311B">
            <w:pPr>
              <w:spacing w:after="160" w:line="259" w:lineRule="auto"/>
              <w:rPr>
                <w:rFonts w:ascii="Times New Roman" w:hAnsi="Times New Roman" w:cs="Times New Roman"/>
                <w:b/>
                <w:sz w:val="36"/>
                <w:szCs w:val="36"/>
                <w:u w:val="single"/>
                <w:lang w:val="en-US"/>
              </w:rPr>
            </w:pPr>
            <w:r w:rsidRPr="00544716">
              <w:rPr>
                <w:rFonts w:ascii="Times New Roman" w:hAnsi="Times New Roman" w:cs="Times New Roman"/>
                <w:b/>
                <w:i/>
                <w:lang w:val="en-US"/>
              </w:rPr>
              <w:t xml:space="preserve">                                   </w:t>
            </w:r>
            <w:r>
              <w:rPr>
                <w:rFonts w:ascii="Times New Roman" w:hAnsi="Times New Roman" w:cs="Times New Roman"/>
                <w:b/>
                <w:i/>
                <w:lang w:val="en-US"/>
              </w:rPr>
              <w:t xml:space="preserve">               </w:t>
            </w:r>
            <w:r w:rsidRPr="00544716">
              <w:rPr>
                <w:rFonts w:ascii="Times New Roman" w:hAnsi="Times New Roman" w:cs="Times New Roman"/>
                <w:b/>
                <w:i/>
                <w:lang w:val="en-US"/>
              </w:rPr>
              <w:t xml:space="preserve">     </w:t>
            </w:r>
            <w:r w:rsidRPr="00544716">
              <w:rPr>
                <w:rFonts w:ascii="Times New Roman" w:hAnsi="Times New Roman" w:cs="Times New Roman"/>
                <w:b/>
                <w:sz w:val="36"/>
                <w:szCs w:val="36"/>
                <w:u w:val="single"/>
                <w:lang w:val="en-US"/>
              </w:rPr>
              <w:t>Activity Plan</w:t>
            </w:r>
          </w:p>
        </w:tc>
      </w:tr>
      <w:tr w:rsidR="00544716" w:rsidRPr="00544716" w:rsidTr="00184D99">
        <w:tc>
          <w:tcPr>
            <w:tcW w:w="8926" w:type="dxa"/>
            <w:gridSpan w:val="3"/>
          </w:tcPr>
          <w:p w:rsidR="00544716" w:rsidRPr="00544716" w:rsidRDefault="00544716" w:rsidP="000A311B">
            <w:pPr>
              <w:spacing w:after="160" w:line="360" w:lineRule="auto"/>
              <w:rPr>
                <w:rFonts w:ascii="Times New Roman" w:hAnsi="Times New Roman" w:cs="Times New Roman"/>
                <w:i/>
                <w:lang w:val="en-US"/>
              </w:rPr>
            </w:pPr>
            <w:r w:rsidRPr="00544716">
              <w:rPr>
                <w:rFonts w:ascii="Times New Roman" w:hAnsi="Times New Roman" w:cs="Times New Roman"/>
                <w:b/>
                <w:lang w:val="en-US"/>
              </w:rPr>
              <w:t>Activity</w:t>
            </w:r>
            <w:r w:rsidRPr="00544716">
              <w:rPr>
                <w:rFonts w:ascii="Times New Roman" w:hAnsi="Times New Roman" w:cs="Times New Roman"/>
                <w:b/>
                <w:i/>
                <w:lang w:val="en-US"/>
              </w:rPr>
              <w:t>:</w:t>
            </w:r>
            <w:r w:rsidRPr="00544716">
              <w:rPr>
                <w:rFonts w:ascii="Times New Roman" w:hAnsi="Times New Roman" w:cs="Times New Roman"/>
                <w:b/>
                <w:lang w:val="en-US"/>
              </w:rPr>
              <w:t xml:space="preserve"> </w:t>
            </w:r>
            <w:r w:rsidRPr="00544716">
              <w:rPr>
                <w:rFonts w:ascii="Times New Roman" w:hAnsi="Times New Roman" w:cs="Times New Roman"/>
                <w:lang w:val="en-US"/>
              </w:rPr>
              <w:t>Early introduction to</w:t>
            </w:r>
            <w:r w:rsidRPr="00544716">
              <w:rPr>
                <w:rFonts w:ascii="Times New Roman" w:hAnsi="Times New Roman" w:cs="Times New Roman"/>
                <w:b/>
                <w:lang w:val="en-US"/>
              </w:rPr>
              <w:t xml:space="preserve"> </w:t>
            </w:r>
            <w:r w:rsidRPr="00544716">
              <w:rPr>
                <w:rFonts w:ascii="Times New Roman" w:hAnsi="Times New Roman" w:cs="Times New Roman"/>
                <w:lang w:val="en-US"/>
              </w:rPr>
              <w:t>building and counting through block play.</w:t>
            </w:r>
          </w:p>
          <w:p w:rsidR="00544716" w:rsidRPr="00544716" w:rsidRDefault="00544716" w:rsidP="000A311B">
            <w:pPr>
              <w:spacing w:after="160" w:line="360" w:lineRule="auto"/>
              <w:rPr>
                <w:rFonts w:ascii="Times New Roman" w:hAnsi="Times New Roman" w:cs="Times New Roman"/>
                <w:i/>
                <w:lang w:val="en-US"/>
              </w:rPr>
            </w:pPr>
          </w:p>
        </w:tc>
      </w:tr>
      <w:tr w:rsidR="00544716" w:rsidRPr="00544716" w:rsidTr="00184D99">
        <w:tc>
          <w:tcPr>
            <w:tcW w:w="8926" w:type="dxa"/>
            <w:gridSpan w:val="3"/>
          </w:tcPr>
          <w:p w:rsidR="00544716" w:rsidRPr="00544716" w:rsidRDefault="00544716" w:rsidP="000A311B">
            <w:pPr>
              <w:spacing w:line="360" w:lineRule="auto"/>
              <w:rPr>
                <w:rFonts w:ascii="Times New Roman" w:hAnsi="Times New Roman" w:cs="Times New Roman"/>
                <w:b/>
                <w:i/>
                <w:lang w:val="en-US"/>
              </w:rPr>
            </w:pPr>
          </w:p>
        </w:tc>
      </w:tr>
      <w:tr w:rsidR="00544716" w:rsidRPr="00544716" w:rsidTr="00184D99">
        <w:tc>
          <w:tcPr>
            <w:tcW w:w="2965" w:type="dxa"/>
          </w:tcPr>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b/>
                <w:lang w:val="en-US"/>
              </w:rPr>
              <w:t xml:space="preserve">Number of children: </w:t>
            </w:r>
            <w:r w:rsidRPr="00184D99">
              <w:rPr>
                <w:rFonts w:ascii="Times New Roman" w:hAnsi="Times New Roman" w:cs="Times New Roman"/>
                <w:lang w:val="en-US"/>
              </w:rPr>
              <w:t>3</w:t>
            </w:r>
          </w:p>
        </w:tc>
        <w:tc>
          <w:tcPr>
            <w:tcW w:w="3150" w:type="dxa"/>
          </w:tcPr>
          <w:p w:rsidR="00544716" w:rsidRPr="00184D99" w:rsidRDefault="00544716" w:rsidP="000A311B">
            <w:pPr>
              <w:spacing w:after="160" w:line="360" w:lineRule="auto"/>
              <w:rPr>
                <w:rFonts w:ascii="Times New Roman" w:hAnsi="Times New Roman" w:cs="Times New Roman"/>
                <w:b/>
                <w:lang w:val="en-US"/>
              </w:rPr>
            </w:pPr>
            <w:r w:rsidRPr="00184D99">
              <w:rPr>
                <w:rFonts w:ascii="Times New Roman" w:hAnsi="Times New Roman" w:cs="Times New Roman"/>
                <w:b/>
                <w:lang w:val="en-US"/>
              </w:rPr>
              <w:t xml:space="preserve">Age of children: </w:t>
            </w:r>
            <w:r w:rsidRPr="00184D99">
              <w:rPr>
                <w:rFonts w:ascii="Times New Roman" w:hAnsi="Times New Roman" w:cs="Times New Roman"/>
                <w:lang w:val="en-US"/>
              </w:rPr>
              <w:t>1-2</w:t>
            </w:r>
          </w:p>
        </w:tc>
        <w:tc>
          <w:tcPr>
            <w:tcW w:w="2811" w:type="dxa"/>
          </w:tcPr>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b/>
                <w:lang w:val="en-US"/>
              </w:rPr>
              <w:t>Number of adults</w:t>
            </w:r>
            <w:r w:rsidRPr="00184D99">
              <w:rPr>
                <w:rFonts w:ascii="Times New Roman" w:hAnsi="Times New Roman" w:cs="Times New Roman"/>
                <w:lang w:val="en-US"/>
              </w:rPr>
              <w:t>: 3</w:t>
            </w:r>
          </w:p>
        </w:tc>
      </w:tr>
      <w:tr w:rsidR="00544716" w:rsidRPr="00544716" w:rsidTr="00184D99">
        <w:tc>
          <w:tcPr>
            <w:tcW w:w="2965" w:type="dxa"/>
          </w:tcPr>
          <w:p w:rsidR="00544716" w:rsidRPr="00184D99" w:rsidRDefault="00544716" w:rsidP="000A311B">
            <w:pPr>
              <w:spacing w:after="160" w:line="360" w:lineRule="auto"/>
              <w:rPr>
                <w:rFonts w:ascii="Times New Roman" w:hAnsi="Times New Roman" w:cs="Times New Roman"/>
                <w:b/>
                <w:i/>
                <w:lang w:val="en-US"/>
              </w:rPr>
            </w:pPr>
            <w:r w:rsidRPr="00544716">
              <w:rPr>
                <w:rFonts w:ascii="Times New Roman" w:hAnsi="Times New Roman" w:cs="Times New Roman"/>
                <w:b/>
                <w:i/>
                <w:lang w:val="en-US"/>
              </w:rPr>
              <w:t xml:space="preserve">Location: </w:t>
            </w:r>
            <w:r w:rsidRPr="00184D99">
              <w:rPr>
                <w:rFonts w:ascii="Times New Roman" w:hAnsi="Times New Roman" w:cs="Times New Roman"/>
                <w:lang w:val="en-US"/>
              </w:rPr>
              <w:t>Home setting</w:t>
            </w:r>
            <w:r w:rsidRPr="00544716">
              <w:rPr>
                <w:rFonts w:ascii="Times New Roman" w:hAnsi="Times New Roman" w:cs="Times New Roman"/>
                <w:b/>
                <w:i/>
                <w:lang w:val="en-US"/>
              </w:rPr>
              <w:t xml:space="preserve"> </w:t>
            </w:r>
          </w:p>
        </w:tc>
        <w:tc>
          <w:tcPr>
            <w:tcW w:w="3150" w:type="dxa"/>
          </w:tcPr>
          <w:p w:rsidR="00544716" w:rsidRPr="00544716" w:rsidRDefault="00544716" w:rsidP="000A311B">
            <w:pPr>
              <w:spacing w:after="160" w:line="360" w:lineRule="auto"/>
              <w:rPr>
                <w:rFonts w:ascii="Times New Roman" w:hAnsi="Times New Roman" w:cs="Times New Roman"/>
                <w:i/>
                <w:lang w:val="en-US"/>
              </w:rPr>
            </w:pPr>
            <w:r w:rsidRPr="00544716">
              <w:rPr>
                <w:rFonts w:ascii="Times New Roman" w:hAnsi="Times New Roman" w:cs="Times New Roman"/>
                <w:b/>
                <w:i/>
                <w:lang w:val="en-US"/>
              </w:rPr>
              <w:t xml:space="preserve">Preparation time: </w:t>
            </w:r>
            <w:r w:rsidRPr="00184D99">
              <w:rPr>
                <w:rFonts w:ascii="Times New Roman" w:hAnsi="Times New Roman" w:cs="Times New Roman"/>
                <w:lang w:val="en-US"/>
              </w:rPr>
              <w:t>5 minutes</w:t>
            </w:r>
          </w:p>
        </w:tc>
        <w:tc>
          <w:tcPr>
            <w:tcW w:w="2811" w:type="dxa"/>
          </w:tcPr>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b/>
                <w:lang w:val="en-US"/>
              </w:rPr>
              <w:t>Activity time</w:t>
            </w:r>
            <w:r w:rsidRPr="00184D99">
              <w:rPr>
                <w:rFonts w:ascii="Times New Roman" w:hAnsi="Times New Roman" w:cs="Times New Roman"/>
                <w:lang w:val="en-US"/>
              </w:rPr>
              <w:t>: 15 minutes</w:t>
            </w:r>
          </w:p>
        </w:tc>
      </w:tr>
      <w:tr w:rsidR="00544716" w:rsidRPr="00544716" w:rsidTr="00184D99">
        <w:tc>
          <w:tcPr>
            <w:tcW w:w="8926" w:type="dxa"/>
            <w:gridSpan w:val="3"/>
          </w:tcPr>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b/>
                <w:lang w:val="en-US"/>
              </w:rPr>
              <w:t>Resources:</w:t>
            </w:r>
            <w:r w:rsidRPr="00184D99">
              <w:rPr>
                <w:rFonts w:ascii="Times New Roman" w:hAnsi="Times New Roman" w:cs="Times New Roman"/>
                <w:lang w:val="en-US"/>
              </w:rPr>
              <w:t xml:space="preserve"> Flat surface, colorful numbered 1-10 flash cards, building blocks of various sizes. </w:t>
            </w:r>
          </w:p>
        </w:tc>
      </w:tr>
      <w:tr w:rsidR="00544716" w:rsidRPr="00544716" w:rsidTr="00184D99">
        <w:tc>
          <w:tcPr>
            <w:tcW w:w="8926" w:type="dxa"/>
            <w:gridSpan w:val="3"/>
          </w:tcPr>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b/>
                <w:lang w:val="en-US"/>
              </w:rPr>
              <w:t>Aim/s of activity</w:t>
            </w:r>
            <w:r w:rsidRPr="00184D99">
              <w:rPr>
                <w:rFonts w:ascii="Times New Roman" w:hAnsi="Times New Roman" w:cs="Times New Roman"/>
                <w:lang w:val="en-US"/>
              </w:rPr>
              <w:t>:</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To introduce counting from a young age through fun and creative play</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Co-ordination </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Structure</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Construction </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Shapes </w:t>
            </w:r>
          </w:p>
        </w:tc>
      </w:tr>
      <w:tr w:rsidR="00544716" w:rsidRPr="00544716" w:rsidTr="00184D99">
        <w:tc>
          <w:tcPr>
            <w:tcW w:w="8926" w:type="dxa"/>
            <w:gridSpan w:val="3"/>
          </w:tcPr>
          <w:p w:rsidR="00544716" w:rsidRPr="00184D99" w:rsidRDefault="00544716" w:rsidP="000A311B">
            <w:pPr>
              <w:spacing w:after="160" w:line="360" w:lineRule="auto"/>
              <w:rPr>
                <w:rFonts w:ascii="Times New Roman" w:hAnsi="Times New Roman" w:cs="Times New Roman"/>
                <w:b/>
                <w:lang w:val="en-US"/>
              </w:rPr>
            </w:pPr>
            <w:r w:rsidRPr="00184D99">
              <w:rPr>
                <w:rFonts w:ascii="Times New Roman" w:hAnsi="Times New Roman" w:cs="Times New Roman"/>
                <w:b/>
                <w:lang w:val="en-US"/>
              </w:rPr>
              <w:t xml:space="preserve">Links to outcomes: </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The Children will pick out simple objects (shapes) to count</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Will mimic an adult counting and will indicate objects they recognize</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Fit simple 2D shapes into correct place</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With support can say or indicate numbers 1-3 </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 Welsh Government (2015) </w:t>
            </w:r>
            <w:r w:rsidRPr="007E6D93">
              <w:rPr>
                <w:rFonts w:ascii="Times New Roman" w:hAnsi="Times New Roman" w:cs="Times New Roman"/>
                <w:i/>
                <w:lang w:val="en-US"/>
              </w:rPr>
              <w:t>The Foundation Phase Framework.</w:t>
            </w:r>
            <w:r w:rsidRPr="00184D99">
              <w:rPr>
                <w:rFonts w:ascii="Times New Roman" w:hAnsi="Times New Roman" w:cs="Times New Roman"/>
                <w:lang w:val="en-US"/>
              </w:rPr>
              <w:t xml:space="preserve"> </w:t>
            </w:r>
          </w:p>
        </w:tc>
      </w:tr>
      <w:tr w:rsidR="00544716" w:rsidRPr="00544716" w:rsidTr="00184D99">
        <w:tc>
          <w:tcPr>
            <w:tcW w:w="8926" w:type="dxa"/>
            <w:gridSpan w:val="3"/>
          </w:tcPr>
          <w:p w:rsidR="00544716" w:rsidRPr="00184D99" w:rsidRDefault="00544716" w:rsidP="000A311B">
            <w:pPr>
              <w:spacing w:after="160" w:line="360" w:lineRule="auto"/>
              <w:rPr>
                <w:rFonts w:ascii="Times New Roman" w:hAnsi="Times New Roman" w:cs="Times New Roman"/>
                <w:b/>
                <w:lang w:val="en-US"/>
              </w:rPr>
            </w:pPr>
            <w:r w:rsidRPr="00184D99">
              <w:rPr>
                <w:rFonts w:ascii="Times New Roman" w:hAnsi="Times New Roman" w:cs="Times New Roman"/>
                <w:b/>
                <w:lang w:val="en-US"/>
              </w:rPr>
              <w:t>Differentiation:</w:t>
            </w:r>
          </w:p>
          <w:p w:rsidR="00544716"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All three children are at different ages of 2 years old (E) girl, 1 year 10 months (G) girl and 1 year 6 months (O) boy. Taking this into account they all at different stages of development. All three </w:t>
            </w:r>
            <w:r w:rsidRPr="00184D99">
              <w:rPr>
                <w:rFonts w:ascii="Times New Roman" w:hAnsi="Times New Roman" w:cs="Times New Roman"/>
                <w:lang w:val="en-US"/>
              </w:rPr>
              <w:lastRenderedPageBreak/>
              <w:t xml:space="preserve">children can speak, understand simple questions and tasks. Even the main part of the activity is being carried out by one mother all the children happily know and interact with her regular. One of the children (E) recently experienced a neurological disorder and has developed some outbursts of frustration and anxiety but can still happily communicate and participate in the activity with limited assistance.  </w:t>
            </w:r>
          </w:p>
          <w:p w:rsidR="00184D99" w:rsidRDefault="00184D99" w:rsidP="000A311B">
            <w:pPr>
              <w:spacing w:after="160" w:line="360" w:lineRule="auto"/>
              <w:rPr>
                <w:rFonts w:ascii="Times New Roman" w:hAnsi="Times New Roman" w:cs="Times New Roman"/>
                <w:lang w:val="en-US"/>
              </w:rPr>
            </w:pPr>
          </w:p>
          <w:p w:rsidR="00184D99" w:rsidRPr="00184D99" w:rsidRDefault="00184D99" w:rsidP="000A311B">
            <w:pPr>
              <w:spacing w:after="160" w:line="360" w:lineRule="auto"/>
              <w:rPr>
                <w:rFonts w:ascii="Times New Roman" w:hAnsi="Times New Roman" w:cs="Times New Roman"/>
                <w:lang w:val="en-US"/>
              </w:rPr>
            </w:pPr>
          </w:p>
        </w:tc>
      </w:tr>
      <w:tr w:rsidR="00544716" w:rsidRPr="00544716" w:rsidTr="00184D99">
        <w:tc>
          <w:tcPr>
            <w:tcW w:w="8926" w:type="dxa"/>
            <w:gridSpan w:val="3"/>
          </w:tcPr>
          <w:p w:rsidR="00544716" w:rsidRPr="00184D99" w:rsidRDefault="00544716" w:rsidP="000A311B">
            <w:pPr>
              <w:spacing w:after="160" w:line="360" w:lineRule="auto"/>
              <w:rPr>
                <w:rFonts w:ascii="Times New Roman" w:hAnsi="Times New Roman" w:cs="Times New Roman"/>
                <w:b/>
                <w:lang w:val="en-US"/>
              </w:rPr>
            </w:pPr>
            <w:r w:rsidRPr="00184D99">
              <w:rPr>
                <w:rFonts w:ascii="Times New Roman" w:hAnsi="Times New Roman" w:cs="Times New Roman"/>
                <w:b/>
                <w:lang w:val="en-US"/>
              </w:rPr>
              <w:lastRenderedPageBreak/>
              <w:t xml:space="preserve">Health and safety: </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To ensure the children are steady and at no risk of falling. </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There are no small pieces that could present a choking hazard.</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The equipment is cleaned before use. </w:t>
            </w:r>
          </w:p>
        </w:tc>
      </w:tr>
      <w:tr w:rsidR="00184D99" w:rsidRPr="00544716" w:rsidTr="00184D99">
        <w:tc>
          <w:tcPr>
            <w:tcW w:w="8926" w:type="dxa"/>
            <w:gridSpan w:val="3"/>
            <w:tcBorders>
              <w:bottom w:val="nil"/>
            </w:tcBorders>
          </w:tcPr>
          <w:p w:rsidR="00184D99" w:rsidRPr="00184D99" w:rsidRDefault="00184D99" w:rsidP="000A311B">
            <w:pPr>
              <w:spacing w:line="360" w:lineRule="auto"/>
              <w:rPr>
                <w:rFonts w:ascii="Times New Roman" w:hAnsi="Times New Roman" w:cs="Times New Roman"/>
                <w:b/>
                <w:lang w:val="en-US"/>
              </w:rPr>
            </w:pPr>
          </w:p>
        </w:tc>
      </w:tr>
      <w:tr w:rsidR="00544716" w:rsidRPr="00544716" w:rsidTr="00184D99">
        <w:tc>
          <w:tcPr>
            <w:tcW w:w="8926" w:type="dxa"/>
            <w:gridSpan w:val="3"/>
            <w:tcBorders>
              <w:bottom w:val="single" w:sz="4" w:space="0" w:color="auto"/>
            </w:tcBorders>
          </w:tcPr>
          <w:p w:rsidR="00544716" w:rsidRPr="00184D99" w:rsidRDefault="00544716" w:rsidP="000A311B">
            <w:pPr>
              <w:spacing w:after="160" w:line="360" w:lineRule="auto"/>
              <w:rPr>
                <w:rFonts w:ascii="Times New Roman" w:hAnsi="Times New Roman" w:cs="Times New Roman"/>
                <w:b/>
                <w:lang w:val="en-US"/>
              </w:rPr>
            </w:pPr>
            <w:r w:rsidRPr="00184D99">
              <w:rPr>
                <w:rFonts w:ascii="Times New Roman" w:hAnsi="Times New Roman" w:cs="Times New Roman"/>
                <w:b/>
                <w:lang w:val="en-US"/>
              </w:rPr>
              <w:t>Role of adult/adults:</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To ensure the children are comfortable and happy engaging in the activity.</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To introduce and encourage the children to count using the building blocks and flashcards.</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To interact and praise the child for engaging in the activity. </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Ensure the child’s safety is in no way at risk.</w:t>
            </w:r>
          </w:p>
          <w:p w:rsid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Offer help and support when the child asks for it. </w:t>
            </w:r>
          </w:p>
          <w:p w:rsidR="00184D99" w:rsidRPr="00184D99" w:rsidRDefault="00184D99" w:rsidP="000A311B">
            <w:pPr>
              <w:spacing w:after="160" w:line="360" w:lineRule="auto"/>
              <w:rPr>
                <w:rFonts w:ascii="Times New Roman" w:hAnsi="Times New Roman" w:cs="Times New Roman"/>
                <w:lang w:val="en-US"/>
              </w:rPr>
            </w:pPr>
          </w:p>
        </w:tc>
      </w:tr>
      <w:tr w:rsidR="00544716" w:rsidRPr="00544716" w:rsidTr="00184D99">
        <w:tc>
          <w:tcPr>
            <w:tcW w:w="8926" w:type="dxa"/>
            <w:gridSpan w:val="3"/>
            <w:tcBorders>
              <w:top w:val="nil"/>
              <w:left w:val="nil"/>
              <w:bottom w:val="nil"/>
              <w:right w:val="nil"/>
            </w:tcBorders>
          </w:tcPr>
          <w:p w:rsidR="00184D99" w:rsidRDefault="00184D99"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r w:rsidRPr="00184D99">
              <w:rPr>
                <w:rFonts w:ascii="Times New Roman" w:hAnsi="Times New Roman" w:cs="Times New Roman"/>
                <w:b/>
                <w:lang w:val="en-US"/>
              </w:rPr>
              <w:t xml:space="preserve">The activity: </w:t>
            </w:r>
          </w:p>
          <w:p w:rsidR="00544716" w:rsidRPr="00184D99" w:rsidRDefault="00544716" w:rsidP="000A311B">
            <w:pPr>
              <w:spacing w:after="160" w:line="360" w:lineRule="auto"/>
              <w:rPr>
                <w:rFonts w:ascii="Times New Roman" w:hAnsi="Times New Roman" w:cs="Times New Roman"/>
                <w:lang w:val="en-US"/>
              </w:rPr>
            </w:pPr>
            <w:r w:rsidRPr="00184D99">
              <w:rPr>
                <w:rFonts w:ascii="Times New Roman" w:hAnsi="Times New Roman" w:cs="Times New Roman"/>
                <w:lang w:val="en-US"/>
              </w:rPr>
              <w:t xml:space="preserve">All three children will be seated comfortably as a group on the laminate flooring together. The reason for this being that it is a flat, even surface for the children to participate in the activity not becoming distracted to reach up high other than the task at hand on feel unsteady on seating. There are three adults attending all are the children’s mothers, all the children already know each other and one another’s mothers and are comfortable interacting. Two of the mothers first observe and offer encouragement and praise when needed and the other interacts with the children using bright and colorful flash cards numbered 1-10 and presents the children with the bricks one at a time each. As the children are presented with a block each by the participating adult and have the time to </w:t>
            </w:r>
            <w:r w:rsidRPr="00184D99">
              <w:rPr>
                <w:rFonts w:ascii="Times New Roman" w:hAnsi="Times New Roman" w:cs="Times New Roman"/>
                <w:lang w:val="en-US"/>
              </w:rPr>
              <w:lastRenderedPageBreak/>
              <w:t>observe it the adult then holds where all the children can see it and state the number on the card pointing to the number. For example; the first block the adult would present card 1 stating the number to the children, the second block the number 2 flash card and so on. The children then have the opportunity and encouragement to join in with the counting and may freely choose what they wish to do with their own blocks whether it be building a tower, a simple small structure or simply putting the blocks in to a group. Once the children have all been presented with their 10 blocks how they all individually interacted with their blocks. A Portfolio with 4 components (Davis, 2018).</w:t>
            </w:r>
          </w:p>
          <w:p w:rsidR="00544716" w:rsidRPr="00184D99" w:rsidRDefault="00544716" w:rsidP="000A311B">
            <w:pPr>
              <w:spacing w:after="160" w:line="360" w:lineRule="auto"/>
              <w:rPr>
                <w:rFonts w:ascii="Times New Roman" w:hAnsi="Times New Roman" w:cs="Times New Roman"/>
                <w:b/>
                <w:lang w:val="en-US"/>
              </w:rPr>
            </w:pPr>
          </w:p>
          <w:p w:rsidR="00544716" w:rsidRPr="002A172D" w:rsidRDefault="00184D99" w:rsidP="000A311B">
            <w:pPr>
              <w:spacing w:after="16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2A172D">
              <w:rPr>
                <w:rFonts w:ascii="Times New Roman" w:hAnsi="Times New Roman" w:cs="Times New Roman"/>
                <w:sz w:val="28"/>
                <w:szCs w:val="28"/>
                <w:lang w:val="en-US"/>
              </w:rPr>
              <w:t xml:space="preserve">                                       </w:t>
            </w:r>
            <w:r>
              <w:rPr>
                <w:rFonts w:ascii="Times New Roman" w:hAnsi="Times New Roman" w:cs="Times New Roman"/>
                <w:b/>
                <w:sz w:val="28"/>
                <w:szCs w:val="28"/>
                <w:u w:val="single"/>
                <w:lang w:val="en-US"/>
              </w:rPr>
              <w:t xml:space="preserve">Activity Evaluation </w:t>
            </w:r>
          </w:p>
          <w:p w:rsidR="00184D99" w:rsidRDefault="00184D99" w:rsidP="000A311B">
            <w:pPr>
              <w:spacing w:line="360" w:lineRule="auto"/>
              <w:rPr>
                <w:rFonts w:ascii="Times New Roman" w:hAnsi="Times New Roman" w:cs="Times New Roman"/>
              </w:rPr>
            </w:pPr>
            <w:r w:rsidRPr="00184D99">
              <w:rPr>
                <w:rFonts w:ascii="Times New Roman" w:hAnsi="Times New Roman" w:cs="Times New Roman"/>
              </w:rPr>
              <w:t xml:space="preserve">Introducing the children to the construction block play activity gave the children the opportunity to build, create and explore mathematical concepts. Pound and Lee (2015) state “It should be noted that the term ‘blocks’ is used in relation to materials which do not interlock, while the term bricks is more commonly used for those which do interlock, such as Lego.” The children all gladly participated in the activity successfully using the blocks with the flashcards. Pancare (2018) Why do bright colours appeal to kids suggests that children are more likely to be attracted to bright, vibrant colours. A factor of this is due to their eyes not being fully developed at a young age, and their perception of brighter more block colours are greater than fainter shades. Taking this in to account as children do respond well and excited to bold bright colours it was ensured both the blocks and the flash cards were very vibrant to ensure it was exciting and appealing to the children. </w:t>
            </w:r>
            <w:r w:rsidRPr="00184D99">
              <w:rPr>
                <w:rFonts w:ascii="Times New Roman" w:hAnsi="Times New Roman" w:cs="Times New Roman"/>
              </w:rPr>
              <w:tab/>
            </w:r>
            <w:r w:rsidRPr="00184D99">
              <w:rPr>
                <w:rFonts w:ascii="Times New Roman" w:hAnsi="Times New Roman" w:cs="Times New Roman"/>
              </w:rPr>
              <w:tab/>
            </w:r>
            <w:r w:rsidRPr="00184D99">
              <w:rPr>
                <w:rFonts w:ascii="Times New Roman" w:hAnsi="Times New Roman" w:cs="Times New Roman"/>
              </w:rPr>
              <w:tab/>
            </w:r>
            <w:r w:rsidRPr="00184D99">
              <w:rPr>
                <w:rFonts w:ascii="Times New Roman" w:hAnsi="Times New Roman" w:cs="Times New Roman"/>
              </w:rPr>
              <w:tab/>
            </w:r>
          </w:p>
          <w:p w:rsidR="00184D99" w:rsidRDefault="00184D99" w:rsidP="000A311B">
            <w:pPr>
              <w:spacing w:line="360" w:lineRule="auto"/>
              <w:rPr>
                <w:rFonts w:ascii="Times New Roman" w:hAnsi="Times New Roman" w:cs="Times New Roman"/>
              </w:rPr>
            </w:pPr>
            <w:r>
              <w:rPr>
                <w:rFonts w:ascii="Times New Roman" w:hAnsi="Times New Roman" w:cs="Times New Roman"/>
              </w:rPr>
              <w:t xml:space="preserve">         </w:t>
            </w:r>
            <w:r w:rsidRPr="00184D99">
              <w:rPr>
                <w:rFonts w:ascii="Times New Roman" w:hAnsi="Times New Roman" w:cs="Times New Roman"/>
              </w:rPr>
              <w:t xml:space="preserve">When the activity began the three children were sat in a group all well rested and provided with enough space around them for personal space and a free area to do as they wished when handed they’re blocks. Communityplaythings.co.uk (no date cited in Pound and Lee, 2015: 116) suggest “The relationship between the ‘unit’ and the other block shapes creates an environment in which children develop motor skills and ‘absorb’ math concepts such as length, volume and fractions while totally engaged in the creative freedom of block play”. For this reason, the children were all presented with various sized blocks to see what they would create with them, they were all provided with the same shaped brick each time beginning with larger bricks gradually getting smaller as the counting began. When the participating mother began handing out the blocks to the children O was very curious to touch and interact with the flashcards before the brick currently handed to him, however after he had satisfied his curiosity examining the card being used he focused his attention on his blocks. The girls would look at the flashcards (G pointing) as she did and both girls would say the number, both counted to ten, O being the youngest of the group appeared to be attempting to mimic the girls and mother saying the numbers as his speech is currently not at the same stage as them. The children all appeared very happy that they had </w:t>
            </w:r>
            <w:r w:rsidRPr="00184D99">
              <w:rPr>
                <w:rFonts w:ascii="Times New Roman" w:hAnsi="Times New Roman" w:cs="Times New Roman"/>
              </w:rPr>
              <w:lastRenderedPageBreak/>
              <w:t xml:space="preserve">successfully created something with they’re blocks and were clapping and smiling together along with praise from they’re mothers. None of the children were given any assistance with what they chose to do/build with they’re blocks as this activity is block play the children were given the freedom to play with they’re blocks themselves. Dockett and Meckley (2007: factor 2009 cited in Wood, 2013: 11) state “Children’s definitions of play focus on their choices (rather than the adults’ choices), their activities (rather than adults’ instrumental objectives) and their freedom (rather than adults’ expectations and directions”.) This statement is supported by Wood (2013: 11) who suggests that “Play is rich with meaning that children create for themselves, and may want to keep hidden from the regulating gaze of adults because they are subverting or challenging adults’ rules”. </w:t>
            </w:r>
            <w:r w:rsidRPr="00184D99">
              <w:rPr>
                <w:rFonts w:ascii="Times New Roman" w:hAnsi="Times New Roman" w:cs="Times New Roman"/>
              </w:rPr>
              <w:tab/>
            </w:r>
            <w:r w:rsidRPr="00184D99">
              <w:rPr>
                <w:rFonts w:ascii="Times New Roman" w:hAnsi="Times New Roman" w:cs="Times New Roman"/>
              </w:rPr>
              <w:tab/>
            </w:r>
            <w:r w:rsidRPr="00184D99">
              <w:rPr>
                <w:rFonts w:ascii="Times New Roman" w:hAnsi="Times New Roman" w:cs="Times New Roman"/>
              </w:rPr>
              <w:tab/>
            </w:r>
            <w:r w:rsidRPr="00184D99">
              <w:rPr>
                <w:rFonts w:ascii="Times New Roman" w:hAnsi="Times New Roman" w:cs="Times New Roman"/>
              </w:rPr>
              <w:tab/>
            </w:r>
            <w:r w:rsidRPr="00184D99">
              <w:rPr>
                <w:rFonts w:ascii="Times New Roman" w:hAnsi="Times New Roman" w:cs="Times New Roman"/>
              </w:rPr>
              <w:tab/>
            </w:r>
            <w:r w:rsidRPr="00184D99">
              <w:rPr>
                <w:rFonts w:ascii="Times New Roman" w:hAnsi="Times New Roman" w:cs="Times New Roman"/>
              </w:rPr>
              <w:tab/>
            </w:r>
          </w:p>
          <w:p w:rsidR="00184D99" w:rsidRPr="00184D99" w:rsidRDefault="00184D99" w:rsidP="000A311B">
            <w:pPr>
              <w:spacing w:line="360" w:lineRule="auto"/>
              <w:rPr>
                <w:rFonts w:ascii="Times New Roman" w:hAnsi="Times New Roman" w:cs="Times New Roman"/>
              </w:rPr>
            </w:pPr>
            <w:r>
              <w:rPr>
                <w:rFonts w:ascii="Times New Roman" w:hAnsi="Times New Roman" w:cs="Times New Roman"/>
              </w:rPr>
              <w:t xml:space="preserve">           </w:t>
            </w:r>
            <w:r w:rsidRPr="00184D99">
              <w:rPr>
                <w:rFonts w:ascii="Times New Roman" w:hAnsi="Times New Roman" w:cs="Times New Roman"/>
              </w:rPr>
              <w:t>All the children did different designs with their set of blocks, results that appear to correspond to their ages and development stages. There was a couple of parts of the activity all the children showed a positive understanding of counting when the numbers were said and adjusting or correcting their blocks if they did not appear satisfied with that blocks position. This is known as self-correction, Wood (1988: 199) (cited in Pound and Lee, 2015: 116) states “The disposition to correct oneself is not an attribute of personality or ability. When children know, albeit intuitively, what looks, sounds, or feels right, we have reason to be confident that they will self-correct and self-instruct.” As the children demonstrated different techniques in building their blocks listed below is a statement focused on each individual child and the evaluation on their preferences on block play.</w:t>
            </w:r>
          </w:p>
          <w:p w:rsidR="00184D99" w:rsidRPr="00184D99" w:rsidRDefault="00184D99" w:rsidP="000A311B">
            <w:pPr>
              <w:spacing w:line="360" w:lineRule="auto"/>
              <w:rPr>
                <w:rFonts w:ascii="Times New Roman" w:hAnsi="Times New Roman" w:cs="Times New Roman"/>
              </w:rPr>
            </w:pPr>
          </w:p>
          <w:p w:rsidR="00184D99" w:rsidRPr="00184D99" w:rsidRDefault="00184D99" w:rsidP="000A311B">
            <w:pPr>
              <w:spacing w:line="360" w:lineRule="auto"/>
              <w:rPr>
                <w:rFonts w:ascii="Times New Roman" w:hAnsi="Times New Roman" w:cs="Times New Roman"/>
              </w:rPr>
            </w:pPr>
          </w:p>
          <w:p w:rsidR="009715CE" w:rsidRDefault="009715CE" w:rsidP="000A311B">
            <w:pPr>
              <w:spacing w:after="160" w:line="360" w:lineRule="auto"/>
              <w:rPr>
                <w:rFonts w:ascii="Times New Roman" w:hAnsi="Times New Roman" w:cs="Times New Roman"/>
                <w:b/>
              </w:rPr>
            </w:pPr>
          </w:p>
          <w:p w:rsidR="00184D99" w:rsidRPr="00184D99" w:rsidRDefault="00184D99" w:rsidP="000A311B">
            <w:pPr>
              <w:spacing w:after="160" w:line="360" w:lineRule="auto"/>
              <w:rPr>
                <w:rFonts w:ascii="Times New Roman" w:hAnsi="Times New Roman" w:cs="Times New Roman"/>
              </w:rPr>
            </w:pPr>
            <w:r w:rsidRPr="00184D99">
              <w:rPr>
                <w:rFonts w:ascii="Times New Roman" w:hAnsi="Times New Roman" w:cs="Times New Roman"/>
                <w:b/>
              </w:rPr>
              <w:t xml:space="preserve">E: </w:t>
            </w:r>
            <w:r w:rsidRPr="00184D99">
              <w:rPr>
                <w:rFonts w:ascii="Times New Roman" w:hAnsi="Times New Roman" w:cs="Times New Roman"/>
              </w:rPr>
              <w:t xml:space="preserve">Being the oldest of the group can follow counting very well up to number 10, she has learnt about counting from walking up and down the stairs at home with her mother counting and from a puzzle box counting the shapes as they are placed. As the mother was counting and presenting the flash cards she would look and acknowledge the card, state the number then focus on what she should do with her block. E is a very particular and independent child throughout the activity she favoured the smaller shapes, the same as she does with blocks at home, she prefers the smallest slim blocks and enjoys building tall, slim towers at risk of falling with not supportive structure. This is normally her preference at home, her solid routine which she is most comfortable with. The Froebel Block Play Research Group (1992: 80 cited in Pound and Lee 2015: 116) suggests that block play can present a sign of routine developed by the child when they collect the same shape and size of blocks and number of blocks they require for their activity. During the activity, it was interesting to see if E would change her usual routine as she was being handed various shapes and sizes of blocks, she adjusted to the change well and would begin stacking her blocks again in her </w:t>
            </w:r>
            <w:r w:rsidRPr="00184D99">
              <w:rPr>
                <w:rFonts w:ascii="Times New Roman" w:hAnsi="Times New Roman" w:cs="Times New Roman"/>
              </w:rPr>
              <w:lastRenderedPageBreak/>
              <w:t xml:space="preserve">preferred single tower structure. During the time, she spent building her tower E moved her blocks around many times until she was satisfied with their position, ensuring to put much larger blocks at the bottom and smaller blocks at the top testing their positions before leaving them in place to balance. E demonstrated sections of stage 5 block building as stated by Wardle (2002 cited in Pound and Lee 2015: 117) titled Increasing use of imagination, this stage includes; the use of more blocks for more elaborate structures, introduce pattern and balance to their block play. </w:t>
            </w:r>
          </w:p>
          <w:p w:rsidR="00184D99" w:rsidRPr="00184D99" w:rsidRDefault="00184D99" w:rsidP="000A311B">
            <w:pPr>
              <w:spacing w:after="160" w:line="360" w:lineRule="auto"/>
              <w:rPr>
                <w:rFonts w:ascii="Times New Roman" w:hAnsi="Times New Roman" w:cs="Times New Roman"/>
              </w:rPr>
            </w:pPr>
            <w:r w:rsidRPr="00184D99">
              <w:rPr>
                <w:rFonts w:ascii="Times New Roman" w:hAnsi="Times New Roman" w:cs="Times New Roman"/>
                <w:b/>
              </w:rPr>
              <w:t xml:space="preserve">G: </w:t>
            </w:r>
            <w:r w:rsidRPr="00184D99">
              <w:rPr>
                <w:rFonts w:ascii="Times New Roman" w:hAnsi="Times New Roman" w:cs="Times New Roman"/>
              </w:rPr>
              <w:t xml:space="preserve">Expressed a lot of excitement during the activity and was very engaged in the counting part of the activity, she is a very chatty child and began putting words together at a young age. G was pointing and acknowledging the flash cards and all so holding out her current block she was handed stating the number. Throughout her block play G favoured a squared structure, placing 4 blocks in a square shape leaving it hollow in the middle and bridging the second layer of blocks, again the same as E moving the blocks around until she was satisfied. G was demonstrating pattern in the shape of a square during her block play and slotted the blocks together as neatly as possible to make the shape. (Pound and Lee 2015) suggest that block play can be used to heighten children’s understanding of pattern, and that they can explore the various block shapes identifying numerical and special patterns. This theory is supported by Frobel Blockplay Research Group (1992: 91 cited in Pound and Lee 2015: 115) who state, “Blocks perhaps lend themselves to developing understanding of pattern and geometry.” Both G and E demonstrated evidence to support these theories, G has presented herself to be in-between stages 4 – 5 according to Wardle’s (2002 cited in Pound and Lee 2015: 117) block building stages. Stage 4 titled: Enclosures, involves children placing blocks that encloses a space, and bridging an enclosure is among one of the earliest technical problems for children. </w:t>
            </w:r>
          </w:p>
          <w:p w:rsidR="00184D99" w:rsidRPr="00184D99" w:rsidRDefault="00184D99" w:rsidP="000A311B">
            <w:pPr>
              <w:spacing w:after="160" w:line="360" w:lineRule="auto"/>
              <w:rPr>
                <w:rFonts w:ascii="Times New Roman" w:hAnsi="Times New Roman" w:cs="Times New Roman"/>
              </w:rPr>
            </w:pPr>
            <w:r w:rsidRPr="00184D99">
              <w:rPr>
                <w:rFonts w:ascii="Times New Roman" w:hAnsi="Times New Roman" w:cs="Times New Roman"/>
                <w:b/>
              </w:rPr>
              <w:t xml:space="preserve">O: </w:t>
            </w:r>
            <w:r w:rsidRPr="00184D99">
              <w:rPr>
                <w:rFonts w:ascii="Times New Roman" w:hAnsi="Times New Roman" w:cs="Times New Roman"/>
              </w:rPr>
              <w:t xml:space="preserve">Is the youngest of the group he engaged very well being in a group activity, even though he isn’t quite at the stage of development as the girls with communication he can still had a large understanding of what was happening. O included himself in the counting quickly considering it is still rather new to him and was closely mimicking the girls all the way up to 6. O was extremely fascinated by the colourful flash cards, pointing to them and wanting to touch them. While building with the blocks O demonstrated stage 2 of Wardle’s (2002 cited in Pound and Lee 2015: 117) block building stages titled: Building begins, this includes creating a bridge when children use to blocks to support and third all known as post- lintel system. O was creating simple bridge structures with his blocks and would attempt to squeeze a forth one on and when this was unsuccessful he would create another separate bridge. </w:t>
            </w:r>
          </w:p>
          <w:p w:rsidR="00184D99" w:rsidRPr="00184D99" w:rsidRDefault="00184D99" w:rsidP="000A311B">
            <w:pPr>
              <w:spacing w:after="160" w:line="360" w:lineRule="auto"/>
              <w:rPr>
                <w:rFonts w:ascii="Times New Roman" w:hAnsi="Times New Roman" w:cs="Times New Roman"/>
                <w:sz w:val="28"/>
                <w:szCs w:val="28"/>
                <w:lang w:val="en-US"/>
              </w:rPr>
            </w:pPr>
          </w:p>
          <w:p w:rsidR="00544716" w:rsidRPr="00184D99" w:rsidRDefault="00544716" w:rsidP="000A311B">
            <w:pPr>
              <w:spacing w:after="160" w:line="360" w:lineRule="auto"/>
              <w:rPr>
                <w:rFonts w:ascii="Times New Roman" w:hAnsi="Times New Roman" w:cs="Times New Roman"/>
                <w:b/>
                <w:lang w:val="en-US"/>
              </w:rPr>
            </w:pPr>
          </w:p>
          <w:p w:rsidR="00544716" w:rsidRDefault="000A311B" w:rsidP="000A311B">
            <w:pPr>
              <w:spacing w:after="160" w:line="360" w:lineRule="auto"/>
              <w:rPr>
                <w:rFonts w:ascii="Times New Roman" w:hAnsi="Times New Roman" w:cs="Times New Roman"/>
                <w:b/>
                <w:sz w:val="28"/>
                <w:szCs w:val="28"/>
                <w:u w:val="single"/>
                <w:lang w:val="en-US"/>
              </w:rPr>
            </w:pPr>
            <w:r>
              <w:rPr>
                <w:rFonts w:ascii="Times New Roman" w:hAnsi="Times New Roman" w:cs="Times New Roman"/>
                <w:b/>
                <w:lang w:val="en-US"/>
              </w:rPr>
              <w:lastRenderedPageBreak/>
              <w:t xml:space="preserve">                                      </w:t>
            </w:r>
            <w:r w:rsidR="009715CE">
              <w:rPr>
                <w:rFonts w:ascii="Times New Roman" w:hAnsi="Times New Roman" w:cs="Times New Roman"/>
                <w:sz w:val="28"/>
                <w:szCs w:val="28"/>
                <w:lang w:val="en-US"/>
              </w:rPr>
              <w:t xml:space="preserve"> </w:t>
            </w:r>
            <w:r w:rsidR="009715CE">
              <w:rPr>
                <w:rFonts w:ascii="Times New Roman" w:hAnsi="Times New Roman" w:cs="Times New Roman"/>
                <w:b/>
                <w:sz w:val="28"/>
                <w:szCs w:val="28"/>
                <w:u w:val="single"/>
                <w:lang w:val="en-US"/>
              </w:rPr>
              <w:t xml:space="preserve">Discussion on Diverse Resources </w:t>
            </w:r>
          </w:p>
          <w:p w:rsidR="000A311B" w:rsidRDefault="009715CE" w:rsidP="000A311B">
            <w:pPr>
              <w:spacing w:line="360" w:lineRule="auto"/>
              <w:rPr>
                <w:rFonts w:ascii="Times New Roman" w:hAnsi="Times New Roman" w:cs="Times New Roman"/>
              </w:rPr>
            </w:pPr>
            <w:r w:rsidRPr="009715CE">
              <w:rPr>
                <w:rFonts w:ascii="Times New Roman" w:hAnsi="Times New Roman" w:cs="Times New Roman"/>
              </w:rPr>
              <w:t xml:space="preserve">During early years young children in the UK are raised in society with an understanding of different cultures and diversity. It is important for children to embrace and recognise their own personal identity from their own culture or background, as well as having a broader understanding and respect for other cultural identities. Good practice in an early years setting is teaching children about equality and diversity, this means practitioners introducing and educating children to support other ways of life through activities and other objects such as books and play materials. J. Lindon, (2018) </w:t>
            </w:r>
            <w:r w:rsidRPr="009715CE">
              <w:rPr>
                <w:rFonts w:ascii="Times New Roman" w:hAnsi="Times New Roman" w:cs="Times New Roman"/>
                <w:i/>
              </w:rPr>
              <w:t>Cultural Diversity in the Early Years</w:t>
            </w:r>
            <w:r w:rsidRPr="009715CE">
              <w:rPr>
                <w:rFonts w:ascii="Times New Roman" w:hAnsi="Times New Roman" w:cs="Times New Roman"/>
              </w:rPr>
              <w:t>. “All children have a right to relax and play, and to join in a wide range of activities.” (Article 31 UNCRC). The UNCRC states that all children have the right to learn through play and aim to support both adults and children with the appropriate resources to follow the curriculum. The curriculum aims to be interactive, experimental and accessible to every child with the intention of covering many different aspects of learning. Provided in early years settings to support and educate about diversity and cultures should be a variety of different resources to give children the opportunity to explore and interact with other ways of life. This can include books, pictures and other physical objects that come from either local surroundings or another community from a different part of the world, this presents children with the opportunity interact and learn about an item and its origin Dell. C (2010) ‘</w:t>
            </w:r>
            <w:r w:rsidRPr="009715CE">
              <w:rPr>
                <w:rFonts w:ascii="Times New Roman" w:hAnsi="Times New Roman" w:cs="Times New Roman"/>
                <w:i/>
              </w:rPr>
              <w:t xml:space="preserve">Children’s Rights in the Early Years Settings’ </w:t>
            </w:r>
            <w:r w:rsidRPr="009715CE">
              <w:rPr>
                <w:rFonts w:ascii="Times New Roman" w:hAnsi="Times New Roman" w:cs="Times New Roman"/>
                <w:i/>
              </w:rPr>
              <w:tab/>
            </w:r>
            <w:r w:rsidRPr="009715CE">
              <w:rPr>
                <w:rFonts w:ascii="Times New Roman" w:hAnsi="Times New Roman" w:cs="Times New Roman"/>
                <w:i/>
              </w:rPr>
              <w:tab/>
            </w:r>
            <w:r w:rsidRPr="009715CE">
              <w:rPr>
                <w:rFonts w:ascii="Times New Roman" w:hAnsi="Times New Roman" w:cs="Times New Roman"/>
                <w:i/>
              </w:rPr>
              <w:tab/>
              <w:t xml:space="preserve">The Foundation years.org (no date) State that </w:t>
            </w:r>
            <w:r w:rsidRPr="009715CE">
              <w:rPr>
                <w:rFonts w:ascii="Times New Roman" w:hAnsi="Times New Roman" w:cs="Times New Roman"/>
              </w:rPr>
              <w:t xml:space="preserve">the early years curriculum is made up of three components, children starting with an area where they have already developed learning and continue to build on what they can do. Appropriate content which is relevant to the children’s variating levels of needs, and last planning and proposed activity opportunities for teaching and learning both inside and outdoors. Many opportunities should be made available to young children to have the chance to engage in activities which either adults have created or they have themselves initiated. Children do not recognise the difference between “playing and “working in early years and practitioners are encouraged to adopt this behaviour as well in their practice. </w:t>
            </w:r>
            <w:r w:rsidRPr="009715CE">
              <w:rPr>
                <w:rFonts w:ascii="Times New Roman" w:hAnsi="Times New Roman" w:cs="Times New Roman"/>
                <w:i/>
              </w:rPr>
              <w:t>Principles in early years education (</w:t>
            </w:r>
            <w:hyperlink r:id="rId8" w:history="1">
              <w:r w:rsidRPr="009715CE">
                <w:rPr>
                  <w:rStyle w:val="Hyperlink"/>
                  <w:rFonts w:ascii="Times New Roman" w:hAnsi="Times New Roman" w:cs="Times New Roman"/>
                  <w:u w:val="none"/>
                </w:rPr>
                <w:t>https://www.foundationyears.org.uk/files/2012/10/Curriculum-guidance-for-the-foundation-stage-Principles-for-early-years-education.pdf</w:t>
              </w:r>
            </w:hyperlink>
            <w:r w:rsidRPr="009715CE">
              <w:rPr>
                <w:rFonts w:ascii="Times New Roman" w:hAnsi="Times New Roman" w:cs="Times New Roman"/>
                <w:i/>
              </w:rPr>
              <w:t xml:space="preserve">, no date). </w:t>
            </w:r>
            <w:r w:rsidRPr="009715CE">
              <w:rPr>
                <w:rFonts w:ascii="Times New Roman" w:hAnsi="Times New Roman" w:cs="Times New Roman"/>
              </w:rPr>
              <w:t>The Assembly Welsh Government (2008) suggest as young individuals all children should have the opportunity to play in structured, relevant activates to introduce them to the world around them. Through well planned play activities children will learn to interact with others that are both similar and different to themselves. They will become more aware that every individual is of equal value and learn respect and value of other cultures, this includes respecting the right of another’s lifestyle or beliefs. The Welsh Assembly Government (2008) ‘</w:t>
            </w:r>
            <w:r w:rsidRPr="009715CE">
              <w:rPr>
                <w:rFonts w:ascii="Times New Roman" w:hAnsi="Times New Roman" w:cs="Times New Roman"/>
                <w:i/>
              </w:rPr>
              <w:t>Personal and social development, well – being and cultural diversity’.</w:t>
            </w:r>
            <w:r w:rsidRPr="009715CE">
              <w:rPr>
                <w:rFonts w:ascii="Times New Roman" w:hAnsi="Times New Roman" w:cs="Times New Roman"/>
              </w:rPr>
              <w:t xml:space="preserve"> </w:t>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r w:rsidRPr="009715CE">
              <w:rPr>
                <w:rFonts w:ascii="Times New Roman" w:hAnsi="Times New Roman" w:cs="Times New Roman"/>
              </w:rPr>
              <w:tab/>
            </w:r>
          </w:p>
          <w:p w:rsidR="002A172D" w:rsidRDefault="009715CE" w:rsidP="000A311B">
            <w:pPr>
              <w:spacing w:line="360" w:lineRule="auto"/>
              <w:rPr>
                <w:rFonts w:ascii="Times New Roman" w:hAnsi="Times New Roman" w:cs="Times New Roman"/>
                <w:i/>
              </w:rPr>
            </w:pPr>
            <w:r w:rsidRPr="009715CE">
              <w:rPr>
                <w:rFonts w:ascii="Times New Roman" w:hAnsi="Times New Roman" w:cs="Times New Roman"/>
              </w:rPr>
              <w:lastRenderedPageBreak/>
              <w:t xml:space="preserve">It is believed that forging links is an effective way to develop children’s understanding of other cultures. Children will enjoy exchanging news about their ways of life through letters, drawings, photos and videos. There are many stimulating ways to create activities to introduce and tech all children about other cultures and ways of life that can be fun and interactive. Cooking is exciting to young children and giving them the chance to explore new and exciting recipes and foods different from their own. Creating displays to celebrate different religions, cultures and countries this could include artwork, props and objects could be made available to the children for example in a home corner or education corner with books on other cultures and ethnic backgrounds. Songs and music from around the world if the resources are available along with different instruments for children to really join in a stimulating activity together and recognise many different styles of music. Role playing activities with various multicultural objects such as, clothing, dolls, cooking and eating equipment, for example chop sticks and woks. There are several celebrations throughout the world and many children don’t need much encouragement to get stuck in to arts and crafts, card making, decorations and making presents. An activity to teach children about a celebration gives them the exciting opportunity to create, celebrate and share a special occasion from other place in the world through learning and play. D. Bailey (2003) </w:t>
            </w:r>
            <w:r w:rsidRPr="009715CE">
              <w:rPr>
                <w:rFonts w:ascii="Times New Roman" w:hAnsi="Times New Roman" w:cs="Times New Roman"/>
                <w:i/>
              </w:rPr>
              <w:t>Multicultural resources: On Reflection</w:t>
            </w:r>
          </w:p>
          <w:p w:rsidR="002A172D" w:rsidRDefault="002A172D" w:rsidP="000A311B">
            <w:pPr>
              <w:spacing w:line="360" w:lineRule="auto"/>
              <w:rPr>
                <w:rFonts w:ascii="Times New Roman" w:hAnsi="Times New Roman" w:cs="Times New Roman"/>
                <w:i/>
              </w:rPr>
            </w:pPr>
          </w:p>
          <w:p w:rsidR="009715CE" w:rsidRPr="009715CE" w:rsidRDefault="009715CE" w:rsidP="000A311B">
            <w:pPr>
              <w:spacing w:line="360" w:lineRule="auto"/>
              <w:rPr>
                <w:rFonts w:ascii="Times New Roman" w:hAnsi="Times New Roman" w:cs="Times New Roman"/>
                <w:i/>
              </w:rPr>
            </w:pPr>
            <w:r w:rsidRPr="009715CE">
              <w:rPr>
                <w:rFonts w:ascii="Times New Roman" w:hAnsi="Times New Roman" w:cs="Times New Roman"/>
                <w:i/>
              </w:rPr>
              <w:t>.</w:t>
            </w:r>
          </w:p>
          <w:p w:rsidR="009715CE" w:rsidRDefault="009715CE" w:rsidP="000A311B">
            <w:pPr>
              <w:spacing w:line="360" w:lineRule="auto"/>
              <w:rPr>
                <w:rFonts w:ascii="Times New Roman" w:hAnsi="Times New Roman" w:cs="Times New Roman"/>
                <w:b/>
                <w:sz w:val="28"/>
                <w:szCs w:val="28"/>
                <w:u w:val="single"/>
              </w:rPr>
            </w:pPr>
            <w:r>
              <w:rPr>
                <w:rFonts w:ascii="Times New Roman" w:hAnsi="Times New Roman" w:cs="Times New Roman"/>
                <w:sz w:val="28"/>
                <w:szCs w:val="28"/>
              </w:rPr>
              <w:t xml:space="preserve">                    </w:t>
            </w:r>
            <w:r>
              <w:rPr>
                <w:rFonts w:ascii="Times New Roman" w:hAnsi="Times New Roman" w:cs="Times New Roman"/>
                <w:b/>
                <w:sz w:val="28"/>
                <w:szCs w:val="28"/>
                <w:u w:val="single"/>
              </w:rPr>
              <w:t>Explanation on Adult Monitoring and Planning</w:t>
            </w:r>
          </w:p>
          <w:p w:rsidR="009715CE" w:rsidRPr="009715CE" w:rsidRDefault="009715CE" w:rsidP="000A311B">
            <w:pPr>
              <w:spacing w:line="360" w:lineRule="auto"/>
              <w:rPr>
                <w:rFonts w:ascii="Times New Roman" w:hAnsi="Times New Roman" w:cs="Times New Roman"/>
              </w:rPr>
            </w:pPr>
            <w:r w:rsidRPr="009715CE">
              <w:rPr>
                <w:rFonts w:ascii="Times New Roman" w:hAnsi="Times New Roman" w:cs="Times New Roman"/>
              </w:rPr>
              <w:t>The Welsh Government (2016)</w:t>
            </w:r>
            <w:r w:rsidRPr="009715CE">
              <w:rPr>
                <w:rFonts w:ascii="Times New Roman" w:hAnsi="Times New Roman" w:cs="Times New Roman"/>
                <w:i/>
              </w:rPr>
              <w:t xml:space="preserve"> </w:t>
            </w:r>
            <w:r w:rsidRPr="009715CE">
              <w:rPr>
                <w:rFonts w:ascii="Times New Roman" w:hAnsi="Times New Roman" w:cs="Times New Roman"/>
              </w:rPr>
              <w:t xml:space="preserve">state the LNF (Literacy Numeracy Framework) in the aim to help learners to develop excellent literacy and numeracy skills. The LNF was made a statuary requirement in 2013 to focus on implementing the LNF curriculum in to learning and teaching. To ensure teachers are ready and prepared to teach required literacy and numeracy skills the ITET (Initial Teacher Education and Training Programme) was introduced. The ITET programs focus centres around literacy and numeracy to enable teachers to be well prepared in teaching future generations these essential subjects they will need throughout their future. The Foundation Years (2017) state that assessing a child’s educational development is an important part of helping practitioners, parents and other parental bodies to recognise and understand the level of development a child is currently at. By conducting these observations practitioners can assess the children’s needs, plan their activities, and introduce any support they might need to further their development stage, and understand the child’s achievement level and can create suitable activities to suite they’re needs. Through observation if practitioners identify any significant concerns regarding any child with special educational needs or a disability, practitioners aim to develop a specific plan to support the child helping to further the child’s development.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715CE">
              <w:rPr>
                <w:rFonts w:ascii="Times New Roman" w:hAnsi="Times New Roman" w:cs="Times New Roman"/>
              </w:rPr>
              <w:t xml:space="preserve">The British Association of Early Child Education (2012) provide details of what practitioners can do and provide to ensure children receive the best start in numeracy learning and </w:t>
            </w:r>
            <w:r w:rsidRPr="009715CE">
              <w:rPr>
                <w:rFonts w:ascii="Times New Roman" w:hAnsi="Times New Roman" w:cs="Times New Roman"/>
              </w:rPr>
              <w:lastRenderedPageBreak/>
              <w:t xml:space="preserve">is quickly implemented from an early age. To communicate with children using mathematic through conversation for example, “Your two shoes” or “Five little ducks”. Practitioners can offer advice on ways and activities they can introduce numeracy at home to further help a child’s understanding of mathematics. During activities or playtime practitioners provide play equipment to introduce numeracy including, providing various shapes/ shape sorters for the children and objects that’s children can sort into various groups and match as a pair, or threes. </w:t>
            </w:r>
          </w:p>
          <w:p w:rsidR="009715CE" w:rsidRPr="009715CE" w:rsidRDefault="009715CE" w:rsidP="000A311B">
            <w:pPr>
              <w:spacing w:line="360" w:lineRule="auto"/>
              <w:rPr>
                <w:rFonts w:ascii="Times New Roman" w:hAnsi="Times New Roman" w:cs="Times New Roman"/>
                <w:b/>
                <w:sz w:val="28"/>
                <w:szCs w:val="28"/>
                <w:u w:val="single"/>
              </w:rPr>
            </w:pPr>
          </w:p>
          <w:p w:rsidR="00B62307" w:rsidRPr="00B62307" w:rsidRDefault="00B62307" w:rsidP="00B62307">
            <w:pPr>
              <w:spacing w:after="160" w:line="360" w:lineRule="auto"/>
              <w:rPr>
                <w:rFonts w:ascii="Times New Roman" w:hAnsi="Times New Roman" w:cs="Times New Roman"/>
                <w:b/>
                <w:sz w:val="28"/>
                <w:szCs w:val="28"/>
                <w:u w:val="single"/>
                <w:lang w:val="en-US"/>
              </w:rPr>
            </w:pPr>
            <w:r w:rsidRPr="00B62307">
              <w:rPr>
                <w:rFonts w:ascii="Times New Roman" w:hAnsi="Times New Roman" w:cs="Times New Roman"/>
                <w:b/>
                <w:sz w:val="28"/>
                <w:szCs w:val="28"/>
                <w:u w:val="single"/>
                <w:lang w:val="en-US"/>
              </w:rPr>
              <w:t>References</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Anon, (2018). [online] p.11. Available at: https://www.foundationyears.org.uk/files/2012/10/Curriculum-guidance-for-the-foundation-stage-Principles-for-early-years-education.pdf [Accessed 22 Feb. 2018].</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 xml:space="preserve">Bailey, D. (2003). </w:t>
            </w:r>
            <w:r w:rsidRPr="00B62307">
              <w:rPr>
                <w:rFonts w:ascii="Times New Roman" w:hAnsi="Times New Roman" w:cs="Times New Roman"/>
                <w:i/>
                <w:lang w:val="en-US"/>
              </w:rPr>
              <w:t>Multicultural resources: On reflection</w:t>
            </w:r>
            <w:r w:rsidRPr="00B62307">
              <w:rPr>
                <w:rFonts w:ascii="Times New Roman" w:hAnsi="Times New Roman" w:cs="Times New Roman"/>
                <w:lang w:val="en-US"/>
              </w:rPr>
              <w:t>. [online] Nurseryworld.co.uk. Available at: https://www.nurseryworld.co.uk/nursery-world/news/1101691/multicultural-resources-reflection [Accessed 23 Feb. 2018].</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Dell, C. (2010). Children's Rights in the Early Years Settings. pp.1 5 7.</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Development Matters in the Early Years Foundation Stage (EYFS). (2012). [online] p.32. Available at: https://www.foundationyears.org.uk/files/2012/03/Development-Matters-FINAL-PRINT-AMENDED.pdf [Accessed 1 Mar. 2018].</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 xml:space="preserve">Government, W. (2015). Curriculum for Wales. </w:t>
            </w:r>
            <w:r w:rsidRPr="00B62307">
              <w:rPr>
                <w:rFonts w:ascii="Times New Roman" w:hAnsi="Times New Roman" w:cs="Times New Roman"/>
                <w:i/>
                <w:lang w:val="en-US"/>
              </w:rPr>
              <w:t>Foundation Phase Framework</w:t>
            </w:r>
            <w:r w:rsidRPr="00B62307">
              <w:rPr>
                <w:rFonts w:ascii="Times New Roman" w:hAnsi="Times New Roman" w:cs="Times New Roman"/>
                <w:lang w:val="en-US"/>
              </w:rPr>
              <w:t>, [online] p.54. Available at: http://learning.gov.wales/docs/learningwales/publications/150803-fp-framework-en.pdf [Accessed 28 Feb. 2018].</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Government, W. (2016). National Literacy and Numeracy Programme-a strategic plan. [online] pp.6 12. Available at: http://learning.gov.wales/docs/learningwales/publications/160316-national-literacy-and-numeracy-programmes-en.pdf [Accessed 1 Mar. 2018].</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 xml:space="preserve">Lindon, J. (2018). </w:t>
            </w:r>
            <w:r w:rsidRPr="00B62307">
              <w:rPr>
                <w:rFonts w:ascii="Times New Roman" w:hAnsi="Times New Roman" w:cs="Times New Roman"/>
                <w:i/>
                <w:lang w:val="en-US"/>
              </w:rPr>
              <w:t>Community Playthings | Cultural diversity in the early years</w:t>
            </w:r>
            <w:r w:rsidRPr="00B62307">
              <w:rPr>
                <w:rFonts w:ascii="Times New Roman" w:hAnsi="Times New Roman" w:cs="Times New Roman"/>
                <w:lang w:val="en-US"/>
              </w:rPr>
              <w:t>. [online] Communityplaythings.co.uk. Available at: https://www.communityplaythings.co.uk/learning-library/articles/cultural-diversity-in-the-early-years [Accessed 19 Feb. 2018].</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 xml:space="preserve">Pancare, R. (2018). </w:t>
            </w:r>
            <w:r w:rsidRPr="00B62307">
              <w:rPr>
                <w:rFonts w:ascii="Times New Roman" w:hAnsi="Times New Roman" w:cs="Times New Roman"/>
                <w:i/>
                <w:lang w:val="en-US"/>
              </w:rPr>
              <w:t>Why do bright colours appeal to kids?</w:t>
            </w:r>
            <w:r w:rsidRPr="00B62307">
              <w:rPr>
                <w:rFonts w:ascii="Times New Roman" w:hAnsi="Times New Roman" w:cs="Times New Roman"/>
                <w:lang w:val="en-US"/>
              </w:rPr>
              <w:t>. [online] sciencing.com. Available at: https://sciencing.com/do-bright-colors-appeal-kids-5476948.html [Accessed 25 Feb. 2018].</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Personal and social development, well-being and cultural diversity. (2008). [online] p.5. Available at: http://learning.gov.wales/docs/learningwales/publications/130425-personal-and-social-development-en.pdf [Accessed 22 Feb. 2018].</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lastRenderedPageBreak/>
              <w:t xml:space="preserve">Pound, L. and Lee, T. (2015). </w:t>
            </w:r>
            <w:r w:rsidRPr="00B62307">
              <w:rPr>
                <w:rFonts w:ascii="Times New Roman" w:hAnsi="Times New Roman" w:cs="Times New Roman"/>
                <w:i/>
                <w:lang w:val="en-US"/>
              </w:rPr>
              <w:t>Teaching Mathematics Creatively</w:t>
            </w:r>
            <w:r w:rsidRPr="00B62307">
              <w:rPr>
                <w:rFonts w:ascii="Times New Roman" w:hAnsi="Times New Roman" w:cs="Times New Roman"/>
                <w:lang w:val="en-US"/>
              </w:rPr>
              <w:t>. Hoboken: Taylor and Francis, pp.115 116.</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 xml:space="preserve">Wood, E. (2013). </w:t>
            </w:r>
            <w:r w:rsidRPr="00B62307">
              <w:rPr>
                <w:rFonts w:ascii="Times New Roman" w:hAnsi="Times New Roman" w:cs="Times New Roman"/>
                <w:i/>
                <w:lang w:val="en-US"/>
              </w:rPr>
              <w:t>Play, Learning and the Early Childhood Cirriculum</w:t>
            </w:r>
            <w:r w:rsidRPr="00B62307">
              <w:rPr>
                <w:rFonts w:ascii="Times New Roman" w:hAnsi="Times New Roman" w:cs="Times New Roman"/>
                <w:lang w:val="en-US"/>
              </w:rPr>
              <w:t>. 3rd ed. London: Sage, p.11.</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 xml:space="preserve">Years, F. (2017). Statuary Framework for the Early Years Foundation Stage. </w:t>
            </w:r>
            <w:r w:rsidRPr="00B62307">
              <w:rPr>
                <w:rFonts w:ascii="Times New Roman" w:hAnsi="Times New Roman" w:cs="Times New Roman"/>
                <w:i/>
                <w:lang w:val="en-US"/>
              </w:rPr>
              <w:t>Setting the standards for learning, development and care for children from birth to five</w:t>
            </w:r>
            <w:r w:rsidRPr="00B62307">
              <w:rPr>
                <w:rFonts w:ascii="Times New Roman" w:hAnsi="Times New Roman" w:cs="Times New Roman"/>
                <w:lang w:val="en-US"/>
              </w:rPr>
              <w:t>, [online] p.13. Available at: https://www.foundationyears.org.uk/files/2017/03/EYFS_STATUTORY_FRAMEWORK_2017.pdf [Accessed 1 Mar. 2018].</w:t>
            </w:r>
          </w:p>
          <w:p w:rsidR="00B62307" w:rsidRPr="00B62307" w:rsidRDefault="00B62307" w:rsidP="00B62307">
            <w:pPr>
              <w:spacing w:after="160" w:line="360" w:lineRule="auto"/>
              <w:rPr>
                <w:rFonts w:ascii="Times New Roman" w:hAnsi="Times New Roman" w:cs="Times New Roman"/>
                <w:lang w:val="en-US"/>
              </w:rPr>
            </w:pPr>
            <w:r w:rsidRPr="00B62307">
              <w:rPr>
                <w:rFonts w:ascii="Times New Roman" w:hAnsi="Times New Roman" w:cs="Times New Roman"/>
                <w:lang w:val="en-US"/>
              </w:rPr>
              <w:t>Davis. C (2018) A Portfolio with 4 components: Activity plan, EAEE4005</w:t>
            </w:r>
          </w:p>
          <w:p w:rsidR="009715CE" w:rsidRPr="009715CE" w:rsidRDefault="009715CE" w:rsidP="000A311B">
            <w:pPr>
              <w:spacing w:after="160" w:line="360" w:lineRule="auto"/>
              <w:rPr>
                <w:rFonts w:ascii="Times New Roman" w:hAnsi="Times New Roman" w:cs="Times New Roman"/>
                <w:b/>
                <w:sz w:val="28"/>
                <w:szCs w:val="28"/>
                <w:u w:val="single"/>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544716" w:rsidRPr="00184D99" w:rsidRDefault="00544716" w:rsidP="000A311B">
            <w:pPr>
              <w:spacing w:after="160" w:line="360" w:lineRule="auto"/>
              <w:rPr>
                <w:rFonts w:ascii="Times New Roman" w:hAnsi="Times New Roman" w:cs="Times New Roman"/>
                <w:b/>
                <w:lang w:val="en-US"/>
              </w:rPr>
            </w:pPr>
          </w:p>
          <w:p w:rsidR="002A172D" w:rsidRDefault="002A172D" w:rsidP="000A311B">
            <w:pPr>
              <w:spacing w:after="16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0A311B" w:rsidRDefault="002A172D" w:rsidP="000A311B">
            <w:pPr>
              <w:spacing w:after="160"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0A311B" w:rsidRDefault="000A311B" w:rsidP="000A311B">
            <w:pPr>
              <w:spacing w:after="160" w:line="360" w:lineRule="auto"/>
              <w:rPr>
                <w:rFonts w:ascii="Times New Roman" w:hAnsi="Times New Roman" w:cs="Times New Roman"/>
                <w:sz w:val="28"/>
                <w:szCs w:val="28"/>
                <w:lang w:val="en-US"/>
              </w:rPr>
            </w:pPr>
          </w:p>
          <w:p w:rsidR="000A311B" w:rsidRDefault="000A311B" w:rsidP="000A311B">
            <w:pPr>
              <w:spacing w:after="160" w:line="360" w:lineRule="auto"/>
              <w:rPr>
                <w:rFonts w:ascii="Times New Roman" w:hAnsi="Times New Roman" w:cs="Times New Roman"/>
                <w:sz w:val="28"/>
                <w:szCs w:val="28"/>
                <w:lang w:val="en-US"/>
              </w:rPr>
            </w:pPr>
          </w:p>
          <w:p w:rsidR="002A172D" w:rsidRPr="002A172D" w:rsidRDefault="002A172D" w:rsidP="00B62307">
            <w:pPr>
              <w:spacing w:line="360" w:lineRule="auto"/>
              <w:rPr>
                <w:rFonts w:ascii="Times New Roman" w:hAnsi="Times New Roman" w:cs="Times New Roman"/>
                <w:b/>
                <w:sz w:val="28"/>
                <w:szCs w:val="28"/>
                <w:u w:val="single"/>
                <w:lang w:val="en-US"/>
              </w:rPr>
            </w:pPr>
          </w:p>
        </w:tc>
      </w:tr>
      <w:tr w:rsidR="00184D99" w:rsidRPr="00544716" w:rsidTr="00184D99">
        <w:tc>
          <w:tcPr>
            <w:tcW w:w="8926" w:type="dxa"/>
            <w:gridSpan w:val="3"/>
            <w:tcBorders>
              <w:top w:val="nil"/>
              <w:left w:val="nil"/>
              <w:bottom w:val="nil"/>
              <w:right w:val="nil"/>
            </w:tcBorders>
          </w:tcPr>
          <w:p w:rsidR="00184D99" w:rsidRDefault="00184D99" w:rsidP="000A311B">
            <w:pPr>
              <w:rPr>
                <w:rFonts w:ascii="Times New Roman" w:hAnsi="Times New Roman" w:cs="Times New Roman"/>
                <w:b/>
                <w:lang w:val="en-US"/>
              </w:rPr>
            </w:pPr>
          </w:p>
        </w:tc>
      </w:tr>
    </w:tbl>
    <w:p w:rsidR="00544716" w:rsidRPr="00544716" w:rsidRDefault="00544716" w:rsidP="000A311B">
      <w:pPr>
        <w:rPr>
          <w:rFonts w:ascii="Times New Roman" w:hAnsi="Times New Roman" w:cs="Times New Roman"/>
          <w:sz w:val="28"/>
          <w:szCs w:val="28"/>
        </w:rPr>
      </w:pPr>
    </w:p>
    <w:sectPr w:rsidR="00544716" w:rsidRPr="0054471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D0E" w:rsidRDefault="00345D0E" w:rsidP="00544716">
      <w:pPr>
        <w:spacing w:after="0" w:line="240" w:lineRule="auto"/>
      </w:pPr>
      <w:r>
        <w:separator/>
      </w:r>
    </w:p>
  </w:endnote>
  <w:endnote w:type="continuationSeparator" w:id="0">
    <w:p w:rsidR="00345D0E" w:rsidRDefault="00345D0E" w:rsidP="00544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7151313"/>
      <w:docPartObj>
        <w:docPartGallery w:val="Page Numbers (Bottom of Page)"/>
        <w:docPartUnique/>
      </w:docPartObj>
    </w:sdtPr>
    <w:sdtEndPr>
      <w:rPr>
        <w:noProof/>
      </w:rPr>
    </w:sdtEndPr>
    <w:sdtContent>
      <w:p w:rsidR="002A172D" w:rsidRDefault="002A172D">
        <w:pPr>
          <w:pStyle w:val="Footer"/>
          <w:jc w:val="center"/>
        </w:pPr>
        <w:r>
          <w:fldChar w:fldCharType="begin"/>
        </w:r>
        <w:r>
          <w:instrText xml:space="preserve"> PAGE   \* MERGEFORMAT </w:instrText>
        </w:r>
        <w:r>
          <w:fldChar w:fldCharType="separate"/>
        </w:r>
        <w:r w:rsidR="00B62307">
          <w:rPr>
            <w:noProof/>
          </w:rPr>
          <w:t>1</w:t>
        </w:r>
        <w:r>
          <w:rPr>
            <w:noProof/>
          </w:rPr>
          <w:fldChar w:fldCharType="end"/>
        </w:r>
      </w:p>
    </w:sdtContent>
  </w:sdt>
  <w:p w:rsidR="002A172D" w:rsidRDefault="002A1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D0E" w:rsidRDefault="00345D0E" w:rsidP="00544716">
      <w:pPr>
        <w:spacing w:after="0" w:line="240" w:lineRule="auto"/>
      </w:pPr>
      <w:r>
        <w:separator/>
      </w:r>
    </w:p>
  </w:footnote>
  <w:footnote w:type="continuationSeparator" w:id="0">
    <w:p w:rsidR="00345D0E" w:rsidRDefault="00345D0E" w:rsidP="00544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11B" w:rsidRDefault="000A311B">
    <w:pPr>
      <w:pStyle w:val="Header"/>
    </w:pPr>
    <w:r>
      <w:t>EAEE4005</w:t>
    </w:r>
    <w:r>
      <w:ptab w:relativeTo="margin" w:alignment="center" w:leader="none"/>
    </w:r>
    <w:sdt>
      <w:sdtPr>
        <w:id w:val="968859947"/>
        <w:placeholder>
          <w:docPart w:val="6E5D3ECC334844A3BEF72C5F34282A52"/>
        </w:placeholder>
        <w:temporary/>
        <w:showingPlcHdr/>
        <w15:appearance w15:val="hidden"/>
      </w:sdtPr>
      <w:sdtContent>
        <w:r>
          <w:t>[Type here]</w:t>
        </w:r>
      </w:sdtContent>
    </w:sdt>
    <w:r>
      <w:ptab w:relativeTo="margin" w:alignment="right" w:leader="none"/>
    </w:r>
    <w:r>
      <w:t>Wo</w:t>
    </w:r>
    <w:r w:rsidR="00B62307">
      <w:t>rd count: 3058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716"/>
    <w:rsid w:val="000A311B"/>
    <w:rsid w:val="00184D99"/>
    <w:rsid w:val="002A172D"/>
    <w:rsid w:val="002B00A5"/>
    <w:rsid w:val="00345D0E"/>
    <w:rsid w:val="00544716"/>
    <w:rsid w:val="007E6D93"/>
    <w:rsid w:val="00847AEA"/>
    <w:rsid w:val="00941A74"/>
    <w:rsid w:val="009715CE"/>
    <w:rsid w:val="00A045AE"/>
    <w:rsid w:val="00B62307"/>
    <w:rsid w:val="00F81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4754"/>
  <w15:chartTrackingRefBased/>
  <w15:docId w15:val="{E28D0C10-E779-4830-A73D-3772D447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4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716"/>
  </w:style>
  <w:style w:type="paragraph" w:styleId="Footer">
    <w:name w:val="footer"/>
    <w:basedOn w:val="Normal"/>
    <w:link w:val="FooterChar"/>
    <w:uiPriority w:val="99"/>
    <w:unhideWhenUsed/>
    <w:rsid w:val="00544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716"/>
  </w:style>
  <w:style w:type="table" w:styleId="TableGrid">
    <w:name w:val="Table Grid"/>
    <w:basedOn w:val="TableNormal"/>
    <w:uiPriority w:val="39"/>
    <w:rsid w:val="00544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15CE"/>
    <w:rPr>
      <w:color w:val="0563C1" w:themeColor="hyperlink"/>
      <w:u w:val="single"/>
    </w:rPr>
  </w:style>
  <w:style w:type="character" w:styleId="UnresolvedMention">
    <w:name w:val="Unresolved Mention"/>
    <w:basedOn w:val="DefaultParagraphFont"/>
    <w:uiPriority w:val="99"/>
    <w:semiHidden/>
    <w:unhideWhenUsed/>
    <w:rsid w:val="009715C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59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undationyears.org.uk/files/2012/10/Curriculum-guidance-for-the-foundation-stage-Principles-for-early-years-education.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svg"/><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E5D3ECC334844A3BEF72C5F34282A52"/>
        <w:category>
          <w:name w:val="General"/>
          <w:gallery w:val="placeholder"/>
        </w:category>
        <w:types>
          <w:type w:val="bbPlcHdr"/>
        </w:types>
        <w:behaviors>
          <w:behavior w:val="content"/>
        </w:behaviors>
        <w:guid w:val="{80F971CC-41A6-4206-932F-15126AFA5D5B}"/>
      </w:docPartPr>
      <w:docPartBody>
        <w:p w:rsidR="00000000" w:rsidRDefault="00730368" w:rsidP="00730368">
          <w:pPr>
            <w:pStyle w:val="6E5D3ECC334844A3BEF72C5F34282A52"/>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368"/>
    <w:rsid w:val="003D1952"/>
    <w:rsid w:val="00730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D12EA7FBC64D90935F34E5845C51A2">
    <w:name w:val="47D12EA7FBC64D90935F34E5845C51A2"/>
    <w:rsid w:val="00730368"/>
  </w:style>
  <w:style w:type="paragraph" w:customStyle="1" w:styleId="6E5D3ECC334844A3BEF72C5F34282A52">
    <w:name w:val="6E5D3ECC334844A3BEF72C5F34282A52"/>
    <w:rsid w:val="007303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11</Pages>
  <Words>3268</Words>
  <Characters>18629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2018-03-01T22:24:00Z</dcterms:created>
  <dcterms:modified xsi:type="dcterms:W3CDTF">2018-03-01T23:55:00Z</dcterms:modified>
</cp:coreProperties>
</file>