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5E86" w:rsidRDefault="00E4141F">
      <w:pPr>
        <w:pStyle w:val="Heading1"/>
        <w:jc w:val="center"/>
        <w:rPr>
          <w:sz w:val="26"/>
          <w:szCs w:val="26"/>
        </w:rPr>
      </w:pPr>
      <w:bookmarkStart w:id="0" w:name="_heading=h.3b34vizawzxx" w:colFirst="0" w:colLast="0"/>
      <w:bookmarkStart w:id="1" w:name="_Toc239702783"/>
      <w:bookmarkEnd w:id="0"/>
      <w:r>
        <w:rPr>
          <w:noProof/>
          <w:lang w:eastAsia="en-US"/>
        </w:rPr>
        <w:drawing>
          <wp:anchor distT="0" distB="0" distL="114300" distR="114300" simplePos="0" relativeHeight="251658240" behindDoc="0" locked="0" layoutInCell="1" allowOverlap="1">
            <wp:simplePos x="0" y="0"/>
            <wp:positionH relativeFrom="column">
              <wp:posOffset>1802130</wp:posOffset>
            </wp:positionH>
            <wp:positionV relativeFrom="paragraph">
              <wp:posOffset>182880</wp:posOffset>
            </wp:positionV>
            <wp:extent cx="2282190" cy="1009478"/>
            <wp:effectExtent l="19050" t="0" r="3810" b="0"/>
            <wp:wrapNone/>
            <wp:docPr id="7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8"/>
                    <a:srcRect/>
                    <a:stretch>
                      <a:fillRect/>
                    </a:stretch>
                  </pic:blipFill>
                  <pic:spPr>
                    <a:xfrm>
                      <a:off x="0" y="0"/>
                      <a:ext cx="2295042" cy="1015163"/>
                    </a:xfrm>
                    <a:prstGeom prst="rect">
                      <a:avLst/>
                    </a:prstGeom>
                    <a:ln/>
                  </pic:spPr>
                </pic:pic>
              </a:graphicData>
            </a:graphic>
          </wp:anchor>
        </w:drawing>
      </w:r>
      <w:bookmarkEnd w:id="1"/>
    </w:p>
    <w:p w:rsidR="00CB5E86" w:rsidRDefault="00CB5E86"/>
    <w:p w:rsidR="003948FB" w:rsidRDefault="003948FB">
      <w:pPr>
        <w:jc w:val="center"/>
        <w:rPr>
          <w:b/>
          <w:bCs/>
          <w:sz w:val="32"/>
          <w:szCs w:val="32"/>
        </w:rPr>
      </w:pPr>
    </w:p>
    <w:p w:rsidR="003948FB" w:rsidRDefault="003948FB">
      <w:pPr>
        <w:jc w:val="center"/>
        <w:rPr>
          <w:b/>
          <w:bCs/>
          <w:sz w:val="32"/>
          <w:szCs w:val="32"/>
        </w:rPr>
      </w:pPr>
    </w:p>
    <w:p w:rsidR="00CB5E86" w:rsidRDefault="00E4141F">
      <w:pPr>
        <w:jc w:val="center"/>
        <w:rPr>
          <w:b/>
          <w:bCs/>
          <w:sz w:val="32"/>
          <w:szCs w:val="32"/>
        </w:rPr>
      </w:pPr>
      <w:r>
        <w:rPr>
          <w:b/>
          <w:bCs/>
          <w:sz w:val="32"/>
          <w:szCs w:val="32"/>
        </w:rPr>
        <w:t>Programme name: Master of Business Administration</w:t>
      </w:r>
    </w:p>
    <w:p w:rsidR="00CB5E86" w:rsidRDefault="00E4141F">
      <w:pPr>
        <w:jc w:val="center"/>
        <w:rPr>
          <w:b/>
          <w:bCs/>
          <w:sz w:val="32"/>
          <w:szCs w:val="32"/>
        </w:rPr>
      </w:pPr>
      <w:r>
        <w:rPr>
          <w:b/>
          <w:bCs/>
          <w:sz w:val="32"/>
          <w:szCs w:val="32"/>
        </w:rPr>
        <w:t>Module name: Business Development Proposal</w:t>
      </w:r>
    </w:p>
    <w:p w:rsidR="00CB5E86" w:rsidRDefault="00E4141F">
      <w:pPr>
        <w:jc w:val="center"/>
        <w:rPr>
          <w:b/>
          <w:bCs/>
          <w:sz w:val="32"/>
          <w:szCs w:val="32"/>
        </w:rPr>
      </w:pPr>
      <w:r>
        <w:rPr>
          <w:b/>
          <w:bCs/>
          <w:sz w:val="32"/>
          <w:szCs w:val="32"/>
        </w:rPr>
        <w:t>Module code: LCMB7037</w:t>
      </w:r>
    </w:p>
    <w:p w:rsidR="00CB5E86" w:rsidRDefault="00E4141F">
      <w:pPr>
        <w:jc w:val="center"/>
        <w:rPr>
          <w:b/>
          <w:bCs/>
          <w:sz w:val="32"/>
          <w:szCs w:val="32"/>
        </w:rPr>
      </w:pPr>
      <w:r>
        <w:rPr>
          <w:b/>
          <w:bCs/>
          <w:sz w:val="32"/>
          <w:szCs w:val="32"/>
        </w:rPr>
        <w:t>Assignment title: Business development proposal on EcoLoop Office</w:t>
      </w:r>
      <w:r w:rsidR="003948FB">
        <w:rPr>
          <w:b/>
          <w:bCs/>
          <w:sz w:val="32"/>
          <w:szCs w:val="32"/>
        </w:rPr>
        <w:t xml:space="preserve"> (Chapter 1 to 12)</w:t>
      </w:r>
    </w:p>
    <w:p w:rsidR="00CB5E86" w:rsidRDefault="003948FB">
      <w:pPr>
        <w:jc w:val="center"/>
        <w:rPr>
          <w:b/>
          <w:bCs/>
          <w:sz w:val="32"/>
          <w:szCs w:val="32"/>
        </w:rPr>
      </w:pPr>
      <w:r>
        <w:rPr>
          <w:b/>
          <w:bCs/>
          <w:sz w:val="32"/>
          <w:szCs w:val="32"/>
        </w:rPr>
        <w:t>Supervisor</w:t>
      </w:r>
      <w:r w:rsidR="00E4141F">
        <w:rPr>
          <w:b/>
          <w:bCs/>
          <w:sz w:val="32"/>
          <w:szCs w:val="32"/>
        </w:rPr>
        <w:t xml:space="preserve">’s name: </w:t>
      </w:r>
      <w:r>
        <w:rPr>
          <w:b/>
          <w:bCs/>
          <w:sz w:val="32"/>
          <w:szCs w:val="32"/>
        </w:rPr>
        <w:t>Balendran Kandasamy</w:t>
      </w:r>
    </w:p>
    <w:p w:rsidR="00CB5E86" w:rsidRDefault="00E4141F">
      <w:pPr>
        <w:jc w:val="center"/>
        <w:rPr>
          <w:b/>
          <w:bCs/>
          <w:sz w:val="32"/>
          <w:szCs w:val="32"/>
        </w:rPr>
      </w:pPr>
      <w:r>
        <w:rPr>
          <w:b/>
          <w:bCs/>
          <w:sz w:val="32"/>
          <w:szCs w:val="32"/>
        </w:rPr>
        <w:t>Student ID &amp; Name:</w:t>
      </w:r>
      <w:r w:rsidR="003948FB">
        <w:rPr>
          <w:b/>
          <w:bCs/>
          <w:sz w:val="32"/>
          <w:szCs w:val="32"/>
        </w:rPr>
        <w:t xml:space="preserve"> Deep J. Viththani - 2508635</w:t>
      </w:r>
    </w:p>
    <w:p w:rsidR="00CB5E86" w:rsidRDefault="008E4949">
      <w:pPr>
        <w:jc w:val="center"/>
        <w:rPr>
          <w:b/>
          <w:bCs/>
          <w:sz w:val="32"/>
          <w:szCs w:val="32"/>
        </w:rPr>
      </w:pPr>
      <w:bookmarkStart w:id="2" w:name="_heading=h.92zqwb9080fz" w:colFirst="0" w:colLast="0"/>
      <w:bookmarkEnd w:id="2"/>
      <w:r>
        <w:rPr>
          <w:b/>
          <w:bCs/>
          <w:sz w:val="32"/>
          <w:szCs w:val="32"/>
        </w:rPr>
        <w:t>Word Count: 14886</w:t>
      </w:r>
      <w:bookmarkStart w:id="3" w:name="_GoBack"/>
      <w:bookmarkEnd w:id="3"/>
    </w:p>
    <w:p w:rsidR="00CB5E86" w:rsidRDefault="00E4141F">
      <w:pPr>
        <w:jc w:val="center"/>
        <w:rPr>
          <w:b/>
          <w:bCs/>
          <w:sz w:val="32"/>
          <w:szCs w:val="32"/>
        </w:rPr>
      </w:pPr>
      <w:r>
        <w:rPr>
          <w:b/>
          <w:bCs/>
          <w:sz w:val="32"/>
          <w:szCs w:val="32"/>
        </w:rPr>
        <w:t>Submission date:</w:t>
      </w:r>
      <w:r w:rsidR="003948FB">
        <w:rPr>
          <w:b/>
          <w:bCs/>
          <w:sz w:val="32"/>
          <w:szCs w:val="32"/>
        </w:rPr>
        <w:t xml:space="preserve"> 9</w:t>
      </w:r>
      <w:r w:rsidR="003948FB" w:rsidRPr="003948FB">
        <w:rPr>
          <w:b/>
          <w:bCs/>
          <w:sz w:val="32"/>
          <w:szCs w:val="32"/>
          <w:vertAlign w:val="superscript"/>
        </w:rPr>
        <w:t>th</w:t>
      </w:r>
      <w:r w:rsidR="003948FB">
        <w:rPr>
          <w:b/>
          <w:bCs/>
          <w:sz w:val="32"/>
          <w:szCs w:val="32"/>
        </w:rPr>
        <w:t xml:space="preserve"> Sep 2026</w:t>
      </w:r>
      <w:r>
        <w:br w:type="page"/>
      </w:r>
    </w:p>
    <w:p w:rsidR="00CB5E86" w:rsidRDefault="00E4141F">
      <w:pPr>
        <w:pStyle w:val="Heading1"/>
        <w:keepNext w:val="0"/>
        <w:keepLines w:val="0"/>
        <w:jc w:val="center"/>
      </w:pPr>
      <w:bookmarkStart w:id="4" w:name="_Toc239702784"/>
      <w:bookmarkStart w:id="5" w:name="_Toc239815902"/>
      <w:r>
        <w:lastRenderedPageBreak/>
        <w:t>Executive Summary</w:t>
      </w:r>
      <w:bookmarkEnd w:id="4"/>
      <w:bookmarkEnd w:id="5"/>
    </w:p>
    <w:p w:rsidR="00CB5E86" w:rsidRDefault="00E4141F">
      <w:r>
        <w:t>EcoLoop Office is a proposed UK B2B circular-furniture initiative that meets evolving working environments and establishes a new model of furniture usage from ownership to subscription, maintenance &amp; refurbishment, swap-out, take-back, resale and ESG reporting. The study adopts secondary research and thematic and comparative analysis with the academic, government and industry evidence. This is a way to carry out structured feasibility assessment, but it lacks primary research so there is no confirmation of customer willingness to pay.</w:t>
      </w:r>
    </w:p>
    <w:p w:rsidR="00CB5E86" w:rsidRDefault="00E4141F">
      <w:r>
        <w:t>The analysis combines Circular Economy Theory and Sustainable Business Model Innovation (SBMI) to evaluate the potential of bringing furniture from ownership to access to generate environmental and economic value. Jobs-to-be-Done (JTBD) identifies customer requirements associated with furnishing, relocation, expansion, downsizing and ownership problems. The Value Proposition Canvas (VPC) evaluates if flexibility, convenience, refurbishment and ESG reporting will solve customer pains and deliver customer gains. The proposition is then targeted at SMEs, medium-sized organisations and flexible-workspace operators, as part of the process of Segmentation, Targeting and Positioning (STP).</w:t>
      </w:r>
    </w:p>
    <w:p w:rsidR="00CB5E86" w:rsidRDefault="00E4141F">
      <w:r>
        <w:t>PESTLE highlights the favourable political, social and environmental factors, including the pressures for circular procurement, hybrid working and resource-efficiency; however, the uncertainty of the economy and compliance pressures limit pricing and operational flexibility. Porter’s Five Forces provides a more critical assessment, highlighting buyer power, substitutes, competitive rivalry and supplier dependencies. Thus, market need does not necessarily equate to commercial demand.</w:t>
      </w:r>
    </w:p>
    <w:p w:rsidR="00CB5E86" w:rsidRDefault="00E4141F">
      <w:r>
        <w:t xml:space="preserve">VRIO suggests the resources are valuable, but not rare nor hard to imitate, except for the case of EcoLoop. Therefore, to achieve sustainable competitive advantage, digitization and sustainability reporting will be able to support differentiation but cannot do that alone. SWOT brings all of these elements together – circularity, digital transparency and recurring revenue are strengths and limited resources, weak brand </w:t>
      </w:r>
      <w:r>
        <w:lastRenderedPageBreak/>
        <w:t>recognition and partner dependence are weaknesses. It's about focus differentiation and competing on convenience, on reliable service, on measurable results and credible reporting, not on price or on generic sustainability claims.</w:t>
      </w:r>
    </w:p>
    <w:p w:rsidR="00CB5E86" w:rsidRDefault="00E4141F">
      <w:r>
        <w:t>The Business Model Canvas (BMC) transforms this strategy into an integrated approach in the areas of customer segments, value proposition, channels, relationships, activities, resources, partnerships, revenues and costs. Financial analysis shows potential monthly packages of between £199 and £799+; a start-up of £75,000 and an operating profit of £35,000 in Year 1; with projected revenue of £350,000 in Year 1. However, the break-even of this operation occurs after about 60 customers and the sensitivity analysis shows that customer acquisition, customer retention, and revenue and logistics costs are important factors for profitability.</w:t>
      </w:r>
    </w:p>
    <w:p w:rsidR="00CB5E86" w:rsidRDefault="00E4141F">
      <w:r>
        <w:t>Overall, feasibility is a Conditional Go. Prior to significant capital investment, EcoLoop should carry out a carefully managed pilot of the system, first with small and medium enterprises and organisations. This relies on reliable logistics, refurbishment capacity, technology and authorised waste handling, and transparent, evidence-based environmental reporting is crucial for ethical viability. The implementation should be done through preparation, pilot, commercial launch and growth, monitored by acquisition, retention, margin KPIs, collection reliability and sustainability KPIs. The integrated frameworks then lend themselves to a measured approach to commercial progress, rather than to a blanket approach to market entry.</w:t>
      </w:r>
    </w:p>
    <w:p w:rsidR="00CB5E86" w:rsidRDefault="00CB5E86">
      <w:pPr>
        <w:jc w:val="left"/>
      </w:pPr>
    </w:p>
    <w:p w:rsidR="00CB5E86" w:rsidRDefault="00E4141F">
      <w:pPr>
        <w:pStyle w:val="Heading1"/>
        <w:jc w:val="left"/>
      </w:pPr>
      <w:bookmarkStart w:id="6" w:name="_heading=h.9qev3shi69yt" w:colFirst="0" w:colLast="0"/>
      <w:bookmarkEnd w:id="6"/>
      <w:r>
        <w:br w:type="page"/>
      </w:r>
    </w:p>
    <w:p w:rsidR="00CB5E86" w:rsidRDefault="00E4141F" w:rsidP="00E606E5">
      <w:pPr>
        <w:jc w:val="left"/>
      </w:pPr>
      <w:bookmarkStart w:id="7" w:name="_Toc239702786"/>
      <w:r>
        <w:lastRenderedPageBreak/>
        <w:t>Table of Contents</w:t>
      </w:r>
      <w:bookmarkEnd w:id="7"/>
    </w:p>
    <w:bookmarkStart w:id="8" w:name="_heading=h.mfzkv0cu6b2j" w:colFirst="0" w:colLast="0" w:displacedByCustomXml="next"/>
    <w:bookmarkEnd w:id="8" w:displacedByCustomXml="next"/>
    <w:sdt>
      <w:sdtPr>
        <w:rPr>
          <w:rFonts w:ascii="Arial" w:eastAsia="Arial" w:hAnsi="Arial" w:cs="Arial"/>
          <w:b w:val="0"/>
          <w:bCs w:val="0"/>
          <w:color w:val="auto"/>
          <w:sz w:val="24"/>
          <w:szCs w:val="24"/>
          <w:lang w:eastAsia="en-IN"/>
        </w:rPr>
        <w:id w:val="461599"/>
        <w:docPartObj>
          <w:docPartGallery w:val="Table of Contents"/>
          <w:docPartUnique/>
        </w:docPartObj>
      </w:sdtPr>
      <w:sdtContent>
        <w:p w:rsidR="00E606E5" w:rsidRDefault="00E606E5">
          <w:pPr>
            <w:pStyle w:val="TOCHeading"/>
          </w:pPr>
          <w:r>
            <w:t>Contents</w:t>
          </w:r>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r>
            <w:fldChar w:fldCharType="begin"/>
          </w:r>
          <w:r w:rsidR="00E606E5">
            <w:instrText xml:space="preserve"> TOC \o "1-3" \h \z \u </w:instrText>
          </w:r>
          <w:r>
            <w:fldChar w:fldCharType="separate"/>
          </w:r>
          <w:hyperlink w:anchor="_Toc239815902" w:history="1">
            <w:r w:rsidR="003948FB" w:rsidRPr="00E84FD5">
              <w:rPr>
                <w:rStyle w:val="Hyperlink"/>
                <w:noProof/>
              </w:rPr>
              <w:t>Executive Summary</w:t>
            </w:r>
            <w:r w:rsidR="003948FB">
              <w:rPr>
                <w:noProof/>
                <w:webHidden/>
              </w:rPr>
              <w:tab/>
            </w:r>
            <w:r>
              <w:rPr>
                <w:noProof/>
                <w:webHidden/>
              </w:rPr>
              <w:fldChar w:fldCharType="begin"/>
            </w:r>
            <w:r w:rsidR="003948FB">
              <w:rPr>
                <w:noProof/>
                <w:webHidden/>
              </w:rPr>
              <w:instrText xml:space="preserve"> PAGEREF _Toc239815902 \h </w:instrText>
            </w:r>
            <w:r>
              <w:rPr>
                <w:noProof/>
                <w:webHidden/>
              </w:rPr>
            </w:r>
            <w:r>
              <w:rPr>
                <w:noProof/>
                <w:webHidden/>
              </w:rPr>
              <w:fldChar w:fldCharType="separate"/>
            </w:r>
            <w:r w:rsidR="003948FB">
              <w:rPr>
                <w:noProof/>
                <w:webHidden/>
              </w:rPr>
              <w:t>1</w:t>
            </w:r>
            <w:r>
              <w:rPr>
                <w:noProof/>
                <w:webHidden/>
              </w:rPr>
              <w:fldChar w:fldCharType="end"/>
            </w:r>
          </w:hyperlink>
        </w:p>
        <w:p w:rsidR="003948FB" w:rsidRDefault="002C72D7">
          <w:pPr>
            <w:pStyle w:val="TOC1"/>
            <w:tabs>
              <w:tab w:val="right" w:leader="dot" w:pos="9350"/>
            </w:tabs>
            <w:rPr>
              <w:noProof/>
            </w:rPr>
          </w:pPr>
          <w:hyperlink w:anchor="_Toc239815903" w:history="1">
            <w:r w:rsidR="003948FB" w:rsidRPr="00E84FD5">
              <w:rPr>
                <w:rStyle w:val="Hyperlink"/>
                <w:noProof/>
              </w:rPr>
              <w:t>1. Introduction</w:t>
            </w:r>
            <w:r w:rsidR="003948FB">
              <w:rPr>
                <w:noProof/>
                <w:webHidden/>
              </w:rPr>
              <w:tab/>
            </w:r>
            <w:r>
              <w:rPr>
                <w:noProof/>
                <w:webHidden/>
              </w:rPr>
              <w:fldChar w:fldCharType="begin"/>
            </w:r>
            <w:r w:rsidR="003948FB">
              <w:rPr>
                <w:noProof/>
                <w:webHidden/>
              </w:rPr>
              <w:instrText xml:space="preserve"> PAGEREF _Toc239815903 \h </w:instrText>
            </w:r>
            <w:r>
              <w:rPr>
                <w:noProof/>
                <w:webHidden/>
              </w:rPr>
            </w:r>
            <w:r>
              <w:rPr>
                <w:noProof/>
                <w:webHidden/>
              </w:rPr>
              <w:fldChar w:fldCharType="separate"/>
            </w:r>
            <w:r w:rsidR="003948FB">
              <w:rPr>
                <w:noProof/>
                <w:webHidden/>
              </w:rPr>
              <w:t>10</w:t>
            </w:r>
            <w:r>
              <w:rPr>
                <w:noProof/>
                <w:webHidden/>
              </w:rPr>
              <w:fldChar w:fldCharType="end"/>
            </w:r>
          </w:hyperlink>
        </w:p>
        <w:p w:rsidR="00F72BC7" w:rsidRPr="00F72BC7" w:rsidRDefault="00F72BC7" w:rsidP="00F72BC7">
          <w:r>
            <w:t>1.1 Background and Context…………………………………………………………………10</w:t>
          </w:r>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04" w:history="1">
            <w:r w:rsidR="003948FB" w:rsidRPr="00E84FD5">
              <w:rPr>
                <w:rStyle w:val="Hyperlink"/>
                <w:noProof/>
              </w:rPr>
              <w:t>1.2 Problem / Opportunity Statement</w:t>
            </w:r>
            <w:r w:rsidR="003948FB">
              <w:rPr>
                <w:noProof/>
                <w:webHidden/>
              </w:rPr>
              <w:tab/>
            </w:r>
            <w:r>
              <w:rPr>
                <w:noProof/>
                <w:webHidden/>
              </w:rPr>
              <w:fldChar w:fldCharType="begin"/>
            </w:r>
            <w:r w:rsidR="003948FB">
              <w:rPr>
                <w:noProof/>
                <w:webHidden/>
              </w:rPr>
              <w:instrText xml:space="preserve"> PAGEREF _Toc239815904 \h </w:instrText>
            </w:r>
            <w:r>
              <w:rPr>
                <w:noProof/>
                <w:webHidden/>
              </w:rPr>
            </w:r>
            <w:r>
              <w:rPr>
                <w:noProof/>
                <w:webHidden/>
              </w:rPr>
              <w:fldChar w:fldCharType="separate"/>
            </w:r>
            <w:r w:rsidR="003948FB">
              <w:rPr>
                <w:noProof/>
                <w:webHidden/>
              </w:rPr>
              <w:t>11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05" w:history="1">
            <w:r w:rsidR="003948FB" w:rsidRPr="00E84FD5">
              <w:rPr>
                <w:rStyle w:val="Hyperlink"/>
                <w:noProof/>
              </w:rPr>
              <w:t>1.3 Initial Observation of Demand</w:t>
            </w:r>
            <w:r w:rsidR="003948FB">
              <w:rPr>
                <w:noProof/>
                <w:webHidden/>
              </w:rPr>
              <w:tab/>
            </w:r>
            <w:r>
              <w:rPr>
                <w:noProof/>
                <w:webHidden/>
              </w:rPr>
              <w:fldChar w:fldCharType="begin"/>
            </w:r>
            <w:r w:rsidR="003948FB">
              <w:rPr>
                <w:noProof/>
                <w:webHidden/>
              </w:rPr>
              <w:instrText xml:space="preserve"> PAGEREF _Toc239815905 \h </w:instrText>
            </w:r>
            <w:r>
              <w:rPr>
                <w:noProof/>
                <w:webHidden/>
              </w:rPr>
            </w:r>
            <w:r>
              <w:rPr>
                <w:noProof/>
                <w:webHidden/>
              </w:rPr>
              <w:fldChar w:fldCharType="separate"/>
            </w:r>
            <w:r w:rsidR="003948FB">
              <w:rPr>
                <w:noProof/>
                <w:webHidden/>
              </w:rPr>
              <w:t>12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06" w:history="1">
            <w:r w:rsidR="003948FB" w:rsidRPr="00E84FD5">
              <w:rPr>
                <w:rStyle w:val="Hyperlink"/>
                <w:noProof/>
              </w:rPr>
              <w:t>1.4 Aim, Objectives and Research Questions</w:t>
            </w:r>
            <w:r w:rsidR="003948FB">
              <w:rPr>
                <w:noProof/>
                <w:webHidden/>
              </w:rPr>
              <w:tab/>
            </w:r>
            <w:r>
              <w:rPr>
                <w:noProof/>
                <w:webHidden/>
              </w:rPr>
              <w:fldChar w:fldCharType="begin"/>
            </w:r>
            <w:r w:rsidR="003948FB">
              <w:rPr>
                <w:noProof/>
                <w:webHidden/>
              </w:rPr>
              <w:instrText xml:space="preserve"> PAGEREF _Toc239815906 \h </w:instrText>
            </w:r>
            <w:r>
              <w:rPr>
                <w:noProof/>
                <w:webHidden/>
              </w:rPr>
            </w:r>
            <w:r>
              <w:rPr>
                <w:noProof/>
                <w:webHidden/>
              </w:rPr>
              <w:fldChar w:fldCharType="separate"/>
            </w:r>
            <w:r w:rsidR="003948FB">
              <w:rPr>
                <w:noProof/>
                <w:webHidden/>
              </w:rPr>
              <w:t>12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07" w:history="1">
            <w:r w:rsidR="003948FB" w:rsidRPr="00E84FD5">
              <w:rPr>
                <w:rStyle w:val="Hyperlink"/>
                <w:noProof/>
              </w:rPr>
              <w:t>Research Aim</w:t>
            </w:r>
            <w:r w:rsidR="003948FB">
              <w:rPr>
                <w:noProof/>
                <w:webHidden/>
              </w:rPr>
              <w:tab/>
            </w:r>
            <w:r>
              <w:rPr>
                <w:noProof/>
                <w:webHidden/>
              </w:rPr>
              <w:fldChar w:fldCharType="begin"/>
            </w:r>
            <w:r w:rsidR="003948FB">
              <w:rPr>
                <w:noProof/>
                <w:webHidden/>
              </w:rPr>
              <w:instrText xml:space="preserve"> PAGEREF _Toc239815907 \h </w:instrText>
            </w:r>
            <w:r>
              <w:rPr>
                <w:noProof/>
                <w:webHidden/>
              </w:rPr>
            </w:r>
            <w:r>
              <w:rPr>
                <w:noProof/>
                <w:webHidden/>
              </w:rPr>
              <w:fldChar w:fldCharType="separate"/>
            </w:r>
            <w:r w:rsidR="003948FB">
              <w:rPr>
                <w:noProof/>
                <w:webHidden/>
              </w:rPr>
              <w:t>12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08" w:history="1">
            <w:r w:rsidR="003948FB" w:rsidRPr="00E84FD5">
              <w:rPr>
                <w:rStyle w:val="Hyperlink"/>
                <w:noProof/>
              </w:rPr>
              <w:t>Research Objectives</w:t>
            </w:r>
            <w:r w:rsidR="003948FB">
              <w:rPr>
                <w:noProof/>
                <w:webHidden/>
              </w:rPr>
              <w:tab/>
            </w:r>
            <w:r>
              <w:rPr>
                <w:noProof/>
                <w:webHidden/>
              </w:rPr>
              <w:fldChar w:fldCharType="begin"/>
            </w:r>
            <w:r w:rsidR="003948FB">
              <w:rPr>
                <w:noProof/>
                <w:webHidden/>
              </w:rPr>
              <w:instrText xml:space="preserve"> PAGEREF _Toc239815908 \h </w:instrText>
            </w:r>
            <w:r>
              <w:rPr>
                <w:noProof/>
                <w:webHidden/>
              </w:rPr>
            </w:r>
            <w:r>
              <w:rPr>
                <w:noProof/>
                <w:webHidden/>
              </w:rPr>
              <w:fldChar w:fldCharType="separate"/>
            </w:r>
            <w:r w:rsidR="003948FB">
              <w:rPr>
                <w:noProof/>
                <w:webHidden/>
              </w:rPr>
              <w:t>12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09" w:history="1">
            <w:r w:rsidR="003948FB" w:rsidRPr="00E84FD5">
              <w:rPr>
                <w:rStyle w:val="Hyperlink"/>
                <w:noProof/>
              </w:rPr>
              <w:t>Research Questions</w:t>
            </w:r>
            <w:r w:rsidR="003948FB">
              <w:rPr>
                <w:noProof/>
                <w:webHidden/>
              </w:rPr>
              <w:tab/>
            </w:r>
            <w:r>
              <w:rPr>
                <w:noProof/>
                <w:webHidden/>
              </w:rPr>
              <w:fldChar w:fldCharType="begin"/>
            </w:r>
            <w:r w:rsidR="003948FB">
              <w:rPr>
                <w:noProof/>
                <w:webHidden/>
              </w:rPr>
              <w:instrText xml:space="preserve"> PAGEREF _Toc239815909 \h </w:instrText>
            </w:r>
            <w:r>
              <w:rPr>
                <w:noProof/>
                <w:webHidden/>
              </w:rPr>
            </w:r>
            <w:r>
              <w:rPr>
                <w:noProof/>
                <w:webHidden/>
              </w:rPr>
              <w:fldChar w:fldCharType="separate"/>
            </w:r>
            <w:r w:rsidR="003948FB">
              <w:rPr>
                <w:noProof/>
                <w:webHidden/>
              </w:rPr>
              <w:t>13</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10" w:history="1">
            <w:r w:rsidR="003948FB" w:rsidRPr="00E84FD5">
              <w:rPr>
                <w:rStyle w:val="Hyperlink"/>
                <w:noProof/>
              </w:rPr>
              <w:t>1.5 Scope of Analysis</w:t>
            </w:r>
            <w:r w:rsidR="003948FB">
              <w:rPr>
                <w:noProof/>
                <w:webHidden/>
              </w:rPr>
              <w:tab/>
            </w:r>
            <w:r>
              <w:rPr>
                <w:noProof/>
                <w:webHidden/>
              </w:rPr>
              <w:fldChar w:fldCharType="begin"/>
            </w:r>
            <w:r w:rsidR="003948FB">
              <w:rPr>
                <w:noProof/>
                <w:webHidden/>
              </w:rPr>
              <w:instrText xml:space="preserve"> PAGEREF _Toc239815910 \h </w:instrText>
            </w:r>
            <w:r>
              <w:rPr>
                <w:noProof/>
                <w:webHidden/>
              </w:rPr>
            </w:r>
            <w:r>
              <w:rPr>
                <w:noProof/>
                <w:webHidden/>
              </w:rPr>
              <w:fldChar w:fldCharType="separate"/>
            </w:r>
            <w:r w:rsidR="003948FB">
              <w:rPr>
                <w:noProof/>
                <w:webHidden/>
              </w:rPr>
              <w:t>13</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11" w:history="1">
            <w:r w:rsidR="003948FB" w:rsidRPr="00E84FD5">
              <w:rPr>
                <w:rStyle w:val="Hyperlink"/>
                <w:noProof/>
              </w:rPr>
              <w:t>1.6 Structure of the Report</w:t>
            </w:r>
            <w:r w:rsidR="003948FB">
              <w:rPr>
                <w:noProof/>
                <w:webHidden/>
              </w:rPr>
              <w:tab/>
            </w:r>
            <w:r>
              <w:rPr>
                <w:noProof/>
                <w:webHidden/>
              </w:rPr>
              <w:fldChar w:fldCharType="begin"/>
            </w:r>
            <w:r w:rsidR="003948FB">
              <w:rPr>
                <w:noProof/>
                <w:webHidden/>
              </w:rPr>
              <w:instrText xml:space="preserve"> PAGEREF _Toc239815911 \h </w:instrText>
            </w:r>
            <w:r>
              <w:rPr>
                <w:noProof/>
                <w:webHidden/>
              </w:rPr>
            </w:r>
            <w:r>
              <w:rPr>
                <w:noProof/>
                <w:webHidden/>
              </w:rPr>
              <w:fldChar w:fldCharType="separate"/>
            </w:r>
            <w:r w:rsidR="003948FB">
              <w:rPr>
                <w:noProof/>
                <w:webHidden/>
              </w:rPr>
              <w:t>13</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5912" w:history="1">
            <w:r w:rsidR="003948FB" w:rsidRPr="00E84FD5">
              <w:rPr>
                <w:rStyle w:val="Hyperlink"/>
                <w:noProof/>
              </w:rPr>
              <w:t>2. Company Description</w:t>
            </w:r>
            <w:r w:rsidR="003948FB">
              <w:rPr>
                <w:noProof/>
                <w:webHidden/>
              </w:rPr>
              <w:tab/>
            </w:r>
            <w:r>
              <w:rPr>
                <w:noProof/>
                <w:webHidden/>
              </w:rPr>
              <w:fldChar w:fldCharType="begin"/>
            </w:r>
            <w:r w:rsidR="003948FB">
              <w:rPr>
                <w:noProof/>
                <w:webHidden/>
              </w:rPr>
              <w:instrText xml:space="preserve"> PAGEREF _Toc239815912 \h </w:instrText>
            </w:r>
            <w:r>
              <w:rPr>
                <w:noProof/>
                <w:webHidden/>
              </w:rPr>
            </w:r>
            <w:r>
              <w:rPr>
                <w:noProof/>
                <w:webHidden/>
              </w:rPr>
              <w:fldChar w:fldCharType="separate"/>
            </w:r>
            <w:r w:rsidR="003948FB">
              <w:rPr>
                <w:noProof/>
                <w:webHidden/>
              </w:rPr>
              <w:t>13</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13" w:history="1">
            <w:r w:rsidR="003948FB" w:rsidRPr="00E84FD5">
              <w:rPr>
                <w:rStyle w:val="Hyperlink"/>
                <w:noProof/>
              </w:rPr>
              <w:t>2.1 Business Identity and Legal Structure</w:t>
            </w:r>
            <w:r w:rsidR="003948FB">
              <w:rPr>
                <w:noProof/>
                <w:webHidden/>
              </w:rPr>
              <w:tab/>
            </w:r>
            <w:r>
              <w:rPr>
                <w:noProof/>
                <w:webHidden/>
              </w:rPr>
              <w:fldChar w:fldCharType="begin"/>
            </w:r>
            <w:r w:rsidR="003948FB">
              <w:rPr>
                <w:noProof/>
                <w:webHidden/>
              </w:rPr>
              <w:instrText xml:space="preserve"> PAGEREF _Toc239815913 \h </w:instrText>
            </w:r>
            <w:r>
              <w:rPr>
                <w:noProof/>
                <w:webHidden/>
              </w:rPr>
            </w:r>
            <w:r>
              <w:rPr>
                <w:noProof/>
                <w:webHidden/>
              </w:rPr>
              <w:fldChar w:fldCharType="separate"/>
            </w:r>
            <w:r w:rsidR="003948FB">
              <w:rPr>
                <w:noProof/>
                <w:webHidden/>
              </w:rPr>
              <w:t>14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14" w:history="1">
            <w:r w:rsidR="003948FB" w:rsidRPr="00E84FD5">
              <w:rPr>
                <w:rStyle w:val="Hyperlink"/>
                <w:noProof/>
              </w:rPr>
              <w:t>2.2 Product/Service and Problem Solved</w:t>
            </w:r>
            <w:r w:rsidR="003948FB">
              <w:rPr>
                <w:noProof/>
                <w:webHidden/>
              </w:rPr>
              <w:tab/>
            </w:r>
            <w:r>
              <w:rPr>
                <w:noProof/>
                <w:webHidden/>
              </w:rPr>
              <w:fldChar w:fldCharType="begin"/>
            </w:r>
            <w:r w:rsidR="003948FB">
              <w:rPr>
                <w:noProof/>
                <w:webHidden/>
              </w:rPr>
              <w:instrText xml:space="preserve"> PAGEREF _Toc239815914 \h </w:instrText>
            </w:r>
            <w:r>
              <w:rPr>
                <w:noProof/>
                <w:webHidden/>
              </w:rPr>
            </w:r>
            <w:r>
              <w:rPr>
                <w:noProof/>
                <w:webHidden/>
              </w:rPr>
              <w:fldChar w:fldCharType="separate"/>
            </w:r>
            <w:r w:rsidR="003948FB">
              <w:rPr>
                <w:noProof/>
                <w:webHidden/>
              </w:rPr>
              <w:t>15</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15" w:history="1">
            <w:r w:rsidR="003948FB" w:rsidRPr="00E84FD5">
              <w:rPr>
                <w:rStyle w:val="Hyperlink"/>
                <w:noProof/>
              </w:rPr>
              <w:t>2.3 Founding Idea and History</w:t>
            </w:r>
            <w:r w:rsidR="003948FB">
              <w:rPr>
                <w:noProof/>
                <w:webHidden/>
              </w:rPr>
              <w:tab/>
            </w:r>
            <w:r>
              <w:rPr>
                <w:noProof/>
                <w:webHidden/>
              </w:rPr>
              <w:fldChar w:fldCharType="begin"/>
            </w:r>
            <w:r w:rsidR="003948FB">
              <w:rPr>
                <w:noProof/>
                <w:webHidden/>
              </w:rPr>
              <w:instrText xml:space="preserve"> PAGEREF _Toc239815915 \h </w:instrText>
            </w:r>
            <w:r>
              <w:rPr>
                <w:noProof/>
                <w:webHidden/>
              </w:rPr>
            </w:r>
            <w:r>
              <w:rPr>
                <w:noProof/>
                <w:webHidden/>
              </w:rPr>
              <w:fldChar w:fldCharType="separate"/>
            </w:r>
            <w:r w:rsidR="003948FB">
              <w:rPr>
                <w:noProof/>
                <w:webHidden/>
              </w:rPr>
              <w:t>15</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16" w:history="1">
            <w:r w:rsidR="003948FB" w:rsidRPr="00E84FD5">
              <w:rPr>
                <w:rStyle w:val="Hyperlink"/>
                <w:noProof/>
              </w:rPr>
              <w:t>2.4 SMART Business Objectives and Goals</w:t>
            </w:r>
            <w:r w:rsidR="003948FB">
              <w:rPr>
                <w:noProof/>
                <w:webHidden/>
              </w:rPr>
              <w:tab/>
            </w:r>
            <w:r>
              <w:rPr>
                <w:noProof/>
                <w:webHidden/>
              </w:rPr>
              <w:fldChar w:fldCharType="begin"/>
            </w:r>
            <w:r w:rsidR="003948FB">
              <w:rPr>
                <w:noProof/>
                <w:webHidden/>
              </w:rPr>
              <w:instrText xml:space="preserve"> PAGEREF _Toc239815916 \h </w:instrText>
            </w:r>
            <w:r>
              <w:rPr>
                <w:noProof/>
                <w:webHidden/>
              </w:rPr>
            </w:r>
            <w:r>
              <w:rPr>
                <w:noProof/>
                <w:webHidden/>
              </w:rPr>
              <w:fldChar w:fldCharType="separate"/>
            </w:r>
            <w:r w:rsidR="003948FB">
              <w:rPr>
                <w:noProof/>
                <w:webHidden/>
              </w:rPr>
              <w:t>16</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17" w:history="1">
            <w:r w:rsidR="003948FB" w:rsidRPr="00E84FD5">
              <w:rPr>
                <w:rStyle w:val="Hyperlink"/>
                <w:noProof/>
              </w:rPr>
              <w:t>2.5 Core Values and Trend Alignment</w:t>
            </w:r>
            <w:r w:rsidR="003948FB">
              <w:rPr>
                <w:noProof/>
                <w:webHidden/>
              </w:rPr>
              <w:tab/>
            </w:r>
            <w:r>
              <w:rPr>
                <w:noProof/>
                <w:webHidden/>
              </w:rPr>
              <w:fldChar w:fldCharType="begin"/>
            </w:r>
            <w:r w:rsidR="003948FB">
              <w:rPr>
                <w:noProof/>
                <w:webHidden/>
              </w:rPr>
              <w:instrText xml:space="preserve"> PAGEREF _Toc239815917 \h </w:instrText>
            </w:r>
            <w:r>
              <w:rPr>
                <w:noProof/>
                <w:webHidden/>
              </w:rPr>
            </w:r>
            <w:r>
              <w:rPr>
                <w:noProof/>
                <w:webHidden/>
              </w:rPr>
              <w:fldChar w:fldCharType="separate"/>
            </w:r>
            <w:r w:rsidR="003948FB">
              <w:rPr>
                <w:noProof/>
                <w:webHidden/>
              </w:rPr>
              <w:t>16</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5918" w:history="1">
            <w:r w:rsidR="003948FB" w:rsidRPr="00E84FD5">
              <w:rPr>
                <w:rStyle w:val="Hyperlink"/>
                <w:rFonts w:eastAsia="Times New Roman"/>
                <w:noProof/>
              </w:rPr>
              <w:t>3. Literature Review</w:t>
            </w:r>
            <w:r w:rsidR="003948FB">
              <w:rPr>
                <w:noProof/>
                <w:webHidden/>
              </w:rPr>
              <w:tab/>
            </w:r>
            <w:r>
              <w:rPr>
                <w:noProof/>
                <w:webHidden/>
              </w:rPr>
              <w:fldChar w:fldCharType="begin"/>
            </w:r>
            <w:r w:rsidR="003948FB">
              <w:rPr>
                <w:noProof/>
                <w:webHidden/>
              </w:rPr>
              <w:instrText xml:space="preserve"> PAGEREF _Toc239815918 \h </w:instrText>
            </w:r>
            <w:r>
              <w:rPr>
                <w:noProof/>
                <w:webHidden/>
              </w:rPr>
            </w:r>
            <w:r>
              <w:rPr>
                <w:noProof/>
                <w:webHidden/>
              </w:rPr>
              <w:fldChar w:fldCharType="separate"/>
            </w:r>
            <w:r w:rsidR="003948FB">
              <w:rPr>
                <w:noProof/>
                <w:webHidden/>
              </w:rPr>
              <w:t>18</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19" w:history="1">
            <w:r w:rsidR="003948FB" w:rsidRPr="00E84FD5">
              <w:rPr>
                <w:rStyle w:val="Hyperlink"/>
                <w:rFonts w:eastAsia="Times New Roman"/>
                <w:noProof/>
              </w:rPr>
              <w:t>3.1 UK Office Fit-Out and Furniture Market</w:t>
            </w:r>
            <w:r w:rsidR="003948FB">
              <w:rPr>
                <w:noProof/>
                <w:webHidden/>
              </w:rPr>
              <w:tab/>
            </w:r>
            <w:r>
              <w:rPr>
                <w:noProof/>
                <w:webHidden/>
              </w:rPr>
              <w:fldChar w:fldCharType="begin"/>
            </w:r>
            <w:r w:rsidR="003948FB">
              <w:rPr>
                <w:noProof/>
                <w:webHidden/>
              </w:rPr>
              <w:instrText xml:space="preserve"> PAGEREF _Toc239815919 \h </w:instrText>
            </w:r>
            <w:r>
              <w:rPr>
                <w:noProof/>
                <w:webHidden/>
              </w:rPr>
            </w:r>
            <w:r>
              <w:rPr>
                <w:noProof/>
                <w:webHidden/>
              </w:rPr>
              <w:fldChar w:fldCharType="separate"/>
            </w:r>
            <w:r w:rsidR="003948FB">
              <w:rPr>
                <w:noProof/>
                <w:webHidden/>
              </w:rPr>
              <w:t>18</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20" w:history="1">
            <w:r w:rsidR="003948FB" w:rsidRPr="00E84FD5">
              <w:rPr>
                <w:rStyle w:val="Hyperlink"/>
                <w:rFonts w:eastAsia="Times New Roman"/>
                <w:noProof/>
              </w:rPr>
              <w:t>3.2 Circular Economy Theory</w:t>
            </w:r>
            <w:r w:rsidR="003948FB">
              <w:rPr>
                <w:noProof/>
                <w:webHidden/>
              </w:rPr>
              <w:tab/>
            </w:r>
            <w:r>
              <w:rPr>
                <w:noProof/>
                <w:webHidden/>
              </w:rPr>
              <w:fldChar w:fldCharType="begin"/>
            </w:r>
            <w:r w:rsidR="003948FB">
              <w:rPr>
                <w:noProof/>
                <w:webHidden/>
              </w:rPr>
              <w:instrText xml:space="preserve"> PAGEREF _Toc239815920 \h </w:instrText>
            </w:r>
            <w:r>
              <w:rPr>
                <w:noProof/>
                <w:webHidden/>
              </w:rPr>
            </w:r>
            <w:r>
              <w:rPr>
                <w:noProof/>
                <w:webHidden/>
              </w:rPr>
              <w:fldChar w:fldCharType="separate"/>
            </w:r>
            <w:r w:rsidR="003948FB">
              <w:rPr>
                <w:noProof/>
                <w:webHidden/>
              </w:rPr>
              <w:t>18</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21" w:history="1">
            <w:r w:rsidR="003948FB" w:rsidRPr="00E84FD5">
              <w:rPr>
                <w:rStyle w:val="Hyperlink"/>
                <w:rFonts w:eastAsia="Times New Roman"/>
                <w:noProof/>
              </w:rPr>
              <w:t>3.3 Sustainable Business Model Innovation</w:t>
            </w:r>
            <w:r w:rsidR="003948FB">
              <w:rPr>
                <w:noProof/>
                <w:webHidden/>
              </w:rPr>
              <w:tab/>
            </w:r>
            <w:r>
              <w:rPr>
                <w:noProof/>
                <w:webHidden/>
              </w:rPr>
              <w:fldChar w:fldCharType="begin"/>
            </w:r>
            <w:r w:rsidR="003948FB">
              <w:rPr>
                <w:noProof/>
                <w:webHidden/>
              </w:rPr>
              <w:instrText xml:space="preserve"> PAGEREF _Toc239815921 \h </w:instrText>
            </w:r>
            <w:r>
              <w:rPr>
                <w:noProof/>
                <w:webHidden/>
              </w:rPr>
            </w:r>
            <w:r>
              <w:rPr>
                <w:noProof/>
                <w:webHidden/>
              </w:rPr>
              <w:fldChar w:fldCharType="separate"/>
            </w:r>
            <w:r w:rsidR="003948FB">
              <w:rPr>
                <w:noProof/>
                <w:webHidden/>
              </w:rPr>
              <w:t>20</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22" w:history="1">
            <w:r w:rsidR="003948FB" w:rsidRPr="00E84FD5">
              <w:rPr>
                <w:rStyle w:val="Hyperlink"/>
                <w:rFonts w:eastAsia="Times New Roman"/>
                <w:noProof/>
              </w:rPr>
              <w:t>3.4 Strategic Frameworks for Business Development</w:t>
            </w:r>
            <w:r w:rsidR="003948FB">
              <w:rPr>
                <w:noProof/>
                <w:webHidden/>
              </w:rPr>
              <w:tab/>
            </w:r>
            <w:r>
              <w:rPr>
                <w:noProof/>
                <w:webHidden/>
              </w:rPr>
              <w:fldChar w:fldCharType="begin"/>
            </w:r>
            <w:r w:rsidR="003948FB">
              <w:rPr>
                <w:noProof/>
                <w:webHidden/>
              </w:rPr>
              <w:instrText xml:space="preserve"> PAGEREF _Toc239815922 \h </w:instrText>
            </w:r>
            <w:r>
              <w:rPr>
                <w:noProof/>
                <w:webHidden/>
              </w:rPr>
            </w:r>
            <w:r>
              <w:rPr>
                <w:noProof/>
                <w:webHidden/>
              </w:rPr>
              <w:fldChar w:fldCharType="separate"/>
            </w:r>
            <w:r w:rsidR="003948FB">
              <w:rPr>
                <w:noProof/>
                <w:webHidden/>
              </w:rPr>
              <w:t>21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23" w:history="1">
            <w:r w:rsidR="003948FB" w:rsidRPr="00E84FD5">
              <w:rPr>
                <w:rStyle w:val="Hyperlink"/>
                <w:rFonts w:eastAsia="Times New Roman"/>
                <w:noProof/>
              </w:rPr>
              <w:t>3.5 Synthesis and Research Gap</w:t>
            </w:r>
            <w:r w:rsidR="003948FB">
              <w:rPr>
                <w:noProof/>
                <w:webHidden/>
              </w:rPr>
              <w:tab/>
            </w:r>
            <w:r>
              <w:rPr>
                <w:noProof/>
                <w:webHidden/>
              </w:rPr>
              <w:fldChar w:fldCharType="begin"/>
            </w:r>
            <w:r w:rsidR="003948FB">
              <w:rPr>
                <w:noProof/>
                <w:webHidden/>
              </w:rPr>
              <w:instrText xml:space="preserve"> PAGEREF _Toc239815923 \h </w:instrText>
            </w:r>
            <w:r>
              <w:rPr>
                <w:noProof/>
                <w:webHidden/>
              </w:rPr>
            </w:r>
            <w:r>
              <w:rPr>
                <w:noProof/>
                <w:webHidden/>
              </w:rPr>
              <w:fldChar w:fldCharType="separate"/>
            </w:r>
            <w:r w:rsidR="003948FB">
              <w:rPr>
                <w:noProof/>
                <w:webHidden/>
              </w:rPr>
              <w:t>22</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5924" w:history="1">
            <w:r w:rsidR="003948FB" w:rsidRPr="00E84FD5">
              <w:rPr>
                <w:rStyle w:val="Hyperlink"/>
                <w:rFonts w:eastAsia="Times New Roman"/>
                <w:noProof/>
              </w:rPr>
              <w:t>4. Methodology</w:t>
            </w:r>
            <w:r w:rsidR="003948FB">
              <w:rPr>
                <w:noProof/>
                <w:webHidden/>
              </w:rPr>
              <w:tab/>
            </w:r>
            <w:r>
              <w:rPr>
                <w:noProof/>
                <w:webHidden/>
              </w:rPr>
              <w:fldChar w:fldCharType="begin"/>
            </w:r>
            <w:r w:rsidR="003948FB">
              <w:rPr>
                <w:noProof/>
                <w:webHidden/>
              </w:rPr>
              <w:instrText xml:space="preserve"> PAGEREF _Toc239815924 \h </w:instrText>
            </w:r>
            <w:r>
              <w:rPr>
                <w:noProof/>
                <w:webHidden/>
              </w:rPr>
            </w:r>
            <w:r>
              <w:rPr>
                <w:noProof/>
                <w:webHidden/>
              </w:rPr>
              <w:fldChar w:fldCharType="separate"/>
            </w:r>
            <w:r w:rsidR="003948FB">
              <w:rPr>
                <w:noProof/>
                <w:webHidden/>
              </w:rPr>
              <w:t>23</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25" w:history="1">
            <w:r w:rsidR="003948FB" w:rsidRPr="00E84FD5">
              <w:rPr>
                <w:rStyle w:val="Hyperlink"/>
                <w:rFonts w:eastAsia="Times New Roman"/>
                <w:noProof/>
              </w:rPr>
              <w:t>4.1 Methodological Approach to Opportunity Identification</w:t>
            </w:r>
            <w:r w:rsidR="003948FB">
              <w:rPr>
                <w:noProof/>
                <w:webHidden/>
              </w:rPr>
              <w:tab/>
            </w:r>
            <w:r>
              <w:rPr>
                <w:noProof/>
                <w:webHidden/>
              </w:rPr>
              <w:fldChar w:fldCharType="begin"/>
            </w:r>
            <w:r w:rsidR="003948FB">
              <w:rPr>
                <w:noProof/>
                <w:webHidden/>
              </w:rPr>
              <w:instrText xml:space="preserve"> PAGEREF _Toc239815925 \h </w:instrText>
            </w:r>
            <w:r>
              <w:rPr>
                <w:noProof/>
                <w:webHidden/>
              </w:rPr>
            </w:r>
            <w:r>
              <w:rPr>
                <w:noProof/>
                <w:webHidden/>
              </w:rPr>
              <w:fldChar w:fldCharType="separate"/>
            </w:r>
            <w:r w:rsidR="003948FB">
              <w:rPr>
                <w:noProof/>
                <w:webHidden/>
              </w:rPr>
              <w:t>23</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26" w:history="1">
            <w:r w:rsidR="003948FB" w:rsidRPr="00E84FD5">
              <w:rPr>
                <w:rStyle w:val="Hyperlink"/>
                <w:rFonts w:eastAsia="Times New Roman"/>
                <w:noProof/>
              </w:rPr>
              <w:t>4.2 Market Insight Collection</w:t>
            </w:r>
            <w:r w:rsidR="003948FB">
              <w:rPr>
                <w:noProof/>
                <w:webHidden/>
              </w:rPr>
              <w:tab/>
            </w:r>
            <w:r>
              <w:rPr>
                <w:noProof/>
                <w:webHidden/>
              </w:rPr>
              <w:fldChar w:fldCharType="begin"/>
            </w:r>
            <w:r w:rsidR="003948FB">
              <w:rPr>
                <w:noProof/>
                <w:webHidden/>
              </w:rPr>
              <w:instrText xml:space="preserve"> PAGEREF _Toc239815926 \h </w:instrText>
            </w:r>
            <w:r>
              <w:rPr>
                <w:noProof/>
                <w:webHidden/>
              </w:rPr>
            </w:r>
            <w:r>
              <w:rPr>
                <w:noProof/>
                <w:webHidden/>
              </w:rPr>
              <w:fldChar w:fldCharType="separate"/>
            </w:r>
            <w:r w:rsidR="003948FB">
              <w:rPr>
                <w:noProof/>
                <w:webHidden/>
              </w:rPr>
              <w:t>23</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27" w:history="1">
            <w:r w:rsidR="003948FB" w:rsidRPr="00E84FD5">
              <w:rPr>
                <w:rStyle w:val="Hyperlink"/>
                <w:rFonts w:eastAsia="Times New Roman"/>
                <w:noProof/>
              </w:rPr>
              <w:t>4.3 Market Data Gathering</w:t>
            </w:r>
            <w:r w:rsidR="003948FB">
              <w:rPr>
                <w:noProof/>
                <w:webHidden/>
              </w:rPr>
              <w:tab/>
            </w:r>
            <w:r>
              <w:rPr>
                <w:noProof/>
                <w:webHidden/>
              </w:rPr>
              <w:fldChar w:fldCharType="begin"/>
            </w:r>
            <w:r w:rsidR="003948FB">
              <w:rPr>
                <w:noProof/>
                <w:webHidden/>
              </w:rPr>
              <w:instrText xml:space="preserve"> PAGEREF _Toc239815927 \h </w:instrText>
            </w:r>
            <w:r>
              <w:rPr>
                <w:noProof/>
                <w:webHidden/>
              </w:rPr>
            </w:r>
            <w:r>
              <w:rPr>
                <w:noProof/>
                <w:webHidden/>
              </w:rPr>
              <w:fldChar w:fldCharType="separate"/>
            </w:r>
            <w:r w:rsidR="003948FB">
              <w:rPr>
                <w:noProof/>
                <w:webHidden/>
              </w:rPr>
              <w:t>24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28" w:history="1">
            <w:r w:rsidR="003948FB" w:rsidRPr="00E84FD5">
              <w:rPr>
                <w:rStyle w:val="Hyperlink"/>
                <w:rFonts w:eastAsia="Times New Roman"/>
                <w:noProof/>
              </w:rPr>
              <w:t>4.4 Search Strategy and Search Terms</w:t>
            </w:r>
            <w:r w:rsidR="003948FB">
              <w:rPr>
                <w:noProof/>
                <w:webHidden/>
              </w:rPr>
              <w:tab/>
            </w:r>
            <w:r>
              <w:rPr>
                <w:noProof/>
                <w:webHidden/>
              </w:rPr>
              <w:fldChar w:fldCharType="begin"/>
            </w:r>
            <w:r w:rsidR="003948FB">
              <w:rPr>
                <w:noProof/>
                <w:webHidden/>
              </w:rPr>
              <w:instrText xml:space="preserve"> PAGEREF _Toc239815928 \h </w:instrText>
            </w:r>
            <w:r>
              <w:rPr>
                <w:noProof/>
                <w:webHidden/>
              </w:rPr>
            </w:r>
            <w:r>
              <w:rPr>
                <w:noProof/>
                <w:webHidden/>
              </w:rPr>
              <w:fldChar w:fldCharType="separate"/>
            </w:r>
            <w:r w:rsidR="003948FB">
              <w:rPr>
                <w:noProof/>
                <w:webHidden/>
              </w:rPr>
              <w:t>24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29" w:history="1">
            <w:r w:rsidR="003948FB" w:rsidRPr="00E84FD5">
              <w:rPr>
                <w:rStyle w:val="Hyperlink"/>
                <w:rFonts w:eastAsia="Times New Roman"/>
                <w:noProof/>
              </w:rPr>
              <w:t>4.5 Data Analysis</w:t>
            </w:r>
            <w:r w:rsidR="003948FB">
              <w:rPr>
                <w:noProof/>
                <w:webHidden/>
              </w:rPr>
              <w:tab/>
            </w:r>
            <w:r>
              <w:rPr>
                <w:noProof/>
                <w:webHidden/>
              </w:rPr>
              <w:fldChar w:fldCharType="begin"/>
            </w:r>
            <w:r w:rsidR="003948FB">
              <w:rPr>
                <w:noProof/>
                <w:webHidden/>
              </w:rPr>
              <w:instrText xml:space="preserve"> PAGEREF _Toc239815929 \h </w:instrText>
            </w:r>
            <w:r>
              <w:rPr>
                <w:noProof/>
                <w:webHidden/>
              </w:rPr>
            </w:r>
            <w:r>
              <w:rPr>
                <w:noProof/>
                <w:webHidden/>
              </w:rPr>
              <w:fldChar w:fldCharType="separate"/>
            </w:r>
            <w:r w:rsidR="003948FB">
              <w:rPr>
                <w:noProof/>
                <w:webHidden/>
              </w:rPr>
              <w:t>25</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30" w:history="1">
            <w:r w:rsidR="003948FB" w:rsidRPr="00E84FD5">
              <w:rPr>
                <w:rStyle w:val="Hyperlink"/>
                <w:rFonts w:eastAsia="Times New Roman"/>
                <w:noProof/>
              </w:rPr>
              <w:t>4.6 Models and Frameworks</w:t>
            </w:r>
            <w:r w:rsidR="003948FB">
              <w:rPr>
                <w:noProof/>
                <w:webHidden/>
              </w:rPr>
              <w:tab/>
            </w:r>
            <w:r>
              <w:rPr>
                <w:noProof/>
                <w:webHidden/>
              </w:rPr>
              <w:fldChar w:fldCharType="begin"/>
            </w:r>
            <w:r w:rsidR="003948FB">
              <w:rPr>
                <w:noProof/>
                <w:webHidden/>
              </w:rPr>
              <w:instrText xml:space="preserve"> PAGEREF _Toc239815930 \h </w:instrText>
            </w:r>
            <w:r>
              <w:rPr>
                <w:noProof/>
                <w:webHidden/>
              </w:rPr>
            </w:r>
            <w:r>
              <w:rPr>
                <w:noProof/>
                <w:webHidden/>
              </w:rPr>
              <w:fldChar w:fldCharType="separate"/>
            </w:r>
            <w:r w:rsidR="003948FB">
              <w:rPr>
                <w:noProof/>
                <w:webHidden/>
              </w:rPr>
              <w:t>25</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31" w:history="1">
            <w:r w:rsidR="003948FB" w:rsidRPr="00E84FD5">
              <w:rPr>
                <w:rStyle w:val="Hyperlink"/>
                <w:rFonts w:eastAsia="Times New Roman"/>
                <w:noProof/>
              </w:rPr>
              <w:t>4.7 Limitations and Ethical Considerations</w:t>
            </w:r>
            <w:r w:rsidR="003948FB">
              <w:rPr>
                <w:noProof/>
                <w:webHidden/>
              </w:rPr>
              <w:tab/>
            </w:r>
            <w:r>
              <w:rPr>
                <w:noProof/>
                <w:webHidden/>
              </w:rPr>
              <w:fldChar w:fldCharType="begin"/>
            </w:r>
            <w:r w:rsidR="003948FB">
              <w:rPr>
                <w:noProof/>
                <w:webHidden/>
              </w:rPr>
              <w:instrText xml:space="preserve"> PAGEREF _Toc239815931 \h </w:instrText>
            </w:r>
            <w:r>
              <w:rPr>
                <w:noProof/>
                <w:webHidden/>
              </w:rPr>
            </w:r>
            <w:r>
              <w:rPr>
                <w:noProof/>
                <w:webHidden/>
              </w:rPr>
              <w:fldChar w:fldCharType="separate"/>
            </w:r>
            <w:r w:rsidR="003948FB">
              <w:rPr>
                <w:noProof/>
                <w:webHidden/>
              </w:rPr>
              <w:t>26</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5932" w:history="1">
            <w:r w:rsidR="003948FB" w:rsidRPr="00E84FD5">
              <w:rPr>
                <w:rStyle w:val="Hyperlink"/>
                <w:noProof/>
              </w:rPr>
              <w:t>Chapter 5: Market Opportunity Analysis</w:t>
            </w:r>
            <w:r w:rsidR="003948FB">
              <w:rPr>
                <w:noProof/>
                <w:webHidden/>
              </w:rPr>
              <w:tab/>
            </w:r>
            <w:r>
              <w:rPr>
                <w:noProof/>
                <w:webHidden/>
              </w:rPr>
              <w:fldChar w:fldCharType="begin"/>
            </w:r>
            <w:r w:rsidR="003948FB">
              <w:rPr>
                <w:noProof/>
                <w:webHidden/>
              </w:rPr>
              <w:instrText xml:space="preserve"> PAGEREF _Toc239815932 \h </w:instrText>
            </w:r>
            <w:r>
              <w:rPr>
                <w:noProof/>
                <w:webHidden/>
              </w:rPr>
            </w:r>
            <w:r>
              <w:rPr>
                <w:noProof/>
                <w:webHidden/>
              </w:rPr>
              <w:fldChar w:fldCharType="separate"/>
            </w:r>
            <w:r w:rsidR="003948FB">
              <w:rPr>
                <w:noProof/>
                <w:webHidden/>
              </w:rPr>
              <w:t>27</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33" w:history="1">
            <w:r w:rsidR="003948FB" w:rsidRPr="00E84FD5">
              <w:rPr>
                <w:rStyle w:val="Hyperlink"/>
                <w:noProof/>
              </w:rPr>
              <w:t>5.1 Scope and Market Definition</w:t>
            </w:r>
            <w:r w:rsidR="003948FB">
              <w:rPr>
                <w:noProof/>
                <w:webHidden/>
              </w:rPr>
              <w:tab/>
            </w:r>
            <w:r>
              <w:rPr>
                <w:noProof/>
                <w:webHidden/>
              </w:rPr>
              <w:fldChar w:fldCharType="begin"/>
            </w:r>
            <w:r w:rsidR="003948FB">
              <w:rPr>
                <w:noProof/>
                <w:webHidden/>
              </w:rPr>
              <w:instrText xml:space="preserve"> PAGEREF _Toc239815933 \h </w:instrText>
            </w:r>
            <w:r>
              <w:rPr>
                <w:noProof/>
                <w:webHidden/>
              </w:rPr>
            </w:r>
            <w:r>
              <w:rPr>
                <w:noProof/>
                <w:webHidden/>
              </w:rPr>
              <w:fldChar w:fldCharType="separate"/>
            </w:r>
            <w:r w:rsidR="003948FB">
              <w:rPr>
                <w:noProof/>
                <w:webHidden/>
              </w:rPr>
              <w:t>27</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34" w:history="1">
            <w:r w:rsidR="003948FB" w:rsidRPr="00E84FD5">
              <w:rPr>
                <w:rStyle w:val="Hyperlink"/>
                <w:noProof/>
              </w:rPr>
              <w:t>5.2 Market Size and Growth</w:t>
            </w:r>
            <w:r w:rsidR="003948FB">
              <w:rPr>
                <w:noProof/>
                <w:webHidden/>
              </w:rPr>
              <w:tab/>
            </w:r>
            <w:r>
              <w:rPr>
                <w:noProof/>
                <w:webHidden/>
              </w:rPr>
              <w:fldChar w:fldCharType="begin"/>
            </w:r>
            <w:r w:rsidR="003948FB">
              <w:rPr>
                <w:noProof/>
                <w:webHidden/>
              </w:rPr>
              <w:instrText xml:space="preserve"> PAGEREF _Toc239815934 \h </w:instrText>
            </w:r>
            <w:r>
              <w:rPr>
                <w:noProof/>
                <w:webHidden/>
              </w:rPr>
            </w:r>
            <w:r>
              <w:rPr>
                <w:noProof/>
                <w:webHidden/>
              </w:rPr>
              <w:fldChar w:fldCharType="separate"/>
            </w:r>
            <w:r w:rsidR="003948FB">
              <w:rPr>
                <w:noProof/>
                <w:webHidden/>
              </w:rPr>
              <w:t>27</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35" w:history="1">
            <w:r w:rsidR="003948FB" w:rsidRPr="00E84FD5">
              <w:rPr>
                <w:rStyle w:val="Hyperlink"/>
                <w:noProof/>
              </w:rPr>
              <w:t>5.3 Segmentation and Target Customer</w:t>
            </w:r>
            <w:r w:rsidR="003948FB">
              <w:rPr>
                <w:noProof/>
                <w:webHidden/>
              </w:rPr>
              <w:tab/>
            </w:r>
            <w:r>
              <w:rPr>
                <w:noProof/>
                <w:webHidden/>
              </w:rPr>
              <w:fldChar w:fldCharType="begin"/>
            </w:r>
            <w:r w:rsidR="003948FB">
              <w:rPr>
                <w:noProof/>
                <w:webHidden/>
              </w:rPr>
              <w:instrText xml:space="preserve"> PAGEREF _Toc239815935 \h </w:instrText>
            </w:r>
            <w:r>
              <w:rPr>
                <w:noProof/>
                <w:webHidden/>
              </w:rPr>
            </w:r>
            <w:r>
              <w:rPr>
                <w:noProof/>
                <w:webHidden/>
              </w:rPr>
              <w:fldChar w:fldCharType="separate"/>
            </w:r>
            <w:r w:rsidR="003948FB">
              <w:rPr>
                <w:noProof/>
                <w:webHidden/>
              </w:rPr>
              <w:t>28</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36" w:history="1">
            <w:r w:rsidR="003948FB" w:rsidRPr="00E84FD5">
              <w:rPr>
                <w:rStyle w:val="Hyperlink"/>
                <w:noProof/>
              </w:rPr>
              <w:t>5.3.1 Segmentation</w:t>
            </w:r>
            <w:r w:rsidR="003948FB">
              <w:rPr>
                <w:noProof/>
                <w:webHidden/>
              </w:rPr>
              <w:tab/>
            </w:r>
            <w:r>
              <w:rPr>
                <w:noProof/>
                <w:webHidden/>
              </w:rPr>
              <w:fldChar w:fldCharType="begin"/>
            </w:r>
            <w:r w:rsidR="003948FB">
              <w:rPr>
                <w:noProof/>
                <w:webHidden/>
              </w:rPr>
              <w:instrText xml:space="preserve"> PAGEREF _Toc239815936 \h </w:instrText>
            </w:r>
            <w:r>
              <w:rPr>
                <w:noProof/>
                <w:webHidden/>
              </w:rPr>
            </w:r>
            <w:r>
              <w:rPr>
                <w:noProof/>
                <w:webHidden/>
              </w:rPr>
              <w:fldChar w:fldCharType="separate"/>
            </w:r>
            <w:r w:rsidR="003948FB">
              <w:rPr>
                <w:noProof/>
                <w:webHidden/>
              </w:rPr>
              <w:t>29</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37" w:history="1">
            <w:r w:rsidR="003948FB" w:rsidRPr="00E84FD5">
              <w:rPr>
                <w:rStyle w:val="Hyperlink"/>
                <w:noProof/>
              </w:rPr>
              <w:t>5.3.2 Targeting</w:t>
            </w:r>
            <w:r w:rsidR="003948FB">
              <w:rPr>
                <w:noProof/>
                <w:webHidden/>
              </w:rPr>
              <w:tab/>
            </w:r>
            <w:r>
              <w:rPr>
                <w:noProof/>
                <w:webHidden/>
              </w:rPr>
              <w:fldChar w:fldCharType="begin"/>
            </w:r>
            <w:r w:rsidR="003948FB">
              <w:rPr>
                <w:noProof/>
                <w:webHidden/>
              </w:rPr>
              <w:instrText xml:space="preserve"> PAGEREF _Toc239815937 \h </w:instrText>
            </w:r>
            <w:r>
              <w:rPr>
                <w:noProof/>
                <w:webHidden/>
              </w:rPr>
            </w:r>
            <w:r>
              <w:rPr>
                <w:noProof/>
                <w:webHidden/>
              </w:rPr>
              <w:fldChar w:fldCharType="separate"/>
            </w:r>
            <w:r w:rsidR="003948FB">
              <w:rPr>
                <w:noProof/>
                <w:webHidden/>
              </w:rPr>
              <w:t>30</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38" w:history="1">
            <w:r w:rsidR="003948FB" w:rsidRPr="00E84FD5">
              <w:rPr>
                <w:rStyle w:val="Hyperlink"/>
                <w:noProof/>
              </w:rPr>
              <w:t>5.4 Pain Points, Unmet Needs and Demand</w:t>
            </w:r>
            <w:r w:rsidR="003948FB">
              <w:rPr>
                <w:noProof/>
                <w:webHidden/>
              </w:rPr>
              <w:tab/>
            </w:r>
            <w:r>
              <w:rPr>
                <w:noProof/>
                <w:webHidden/>
              </w:rPr>
              <w:fldChar w:fldCharType="begin"/>
            </w:r>
            <w:r w:rsidR="003948FB">
              <w:rPr>
                <w:noProof/>
                <w:webHidden/>
              </w:rPr>
              <w:instrText xml:space="preserve"> PAGEREF _Toc239815938 \h </w:instrText>
            </w:r>
            <w:r>
              <w:rPr>
                <w:noProof/>
                <w:webHidden/>
              </w:rPr>
            </w:r>
            <w:r>
              <w:rPr>
                <w:noProof/>
                <w:webHidden/>
              </w:rPr>
              <w:fldChar w:fldCharType="separate"/>
            </w:r>
            <w:r w:rsidR="003948FB">
              <w:rPr>
                <w:noProof/>
                <w:webHidden/>
              </w:rPr>
              <w:t>31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39" w:history="1">
            <w:r w:rsidR="003948FB" w:rsidRPr="00E84FD5">
              <w:rPr>
                <w:rStyle w:val="Hyperlink"/>
                <w:noProof/>
              </w:rPr>
              <w:t>5.5 Economic and Geographic Conditions</w:t>
            </w:r>
            <w:r w:rsidR="003948FB">
              <w:rPr>
                <w:noProof/>
                <w:webHidden/>
              </w:rPr>
              <w:tab/>
            </w:r>
            <w:r>
              <w:rPr>
                <w:noProof/>
                <w:webHidden/>
              </w:rPr>
              <w:fldChar w:fldCharType="begin"/>
            </w:r>
            <w:r w:rsidR="003948FB">
              <w:rPr>
                <w:noProof/>
                <w:webHidden/>
              </w:rPr>
              <w:instrText xml:space="preserve"> PAGEREF _Toc239815939 \h </w:instrText>
            </w:r>
            <w:r>
              <w:rPr>
                <w:noProof/>
                <w:webHidden/>
              </w:rPr>
            </w:r>
            <w:r>
              <w:rPr>
                <w:noProof/>
                <w:webHidden/>
              </w:rPr>
              <w:fldChar w:fldCharType="separate"/>
            </w:r>
            <w:r w:rsidR="003948FB">
              <w:rPr>
                <w:noProof/>
                <w:webHidden/>
              </w:rPr>
              <w:t>32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40" w:history="1">
            <w:r w:rsidR="003948FB" w:rsidRPr="00E84FD5">
              <w:rPr>
                <w:rStyle w:val="Hyperlink"/>
                <w:noProof/>
              </w:rPr>
              <w:t>5.6 Research Findings and Opportunity Synthesis</w:t>
            </w:r>
            <w:r w:rsidR="003948FB">
              <w:rPr>
                <w:noProof/>
                <w:webHidden/>
              </w:rPr>
              <w:tab/>
            </w:r>
            <w:r>
              <w:rPr>
                <w:noProof/>
                <w:webHidden/>
              </w:rPr>
              <w:fldChar w:fldCharType="begin"/>
            </w:r>
            <w:r w:rsidR="003948FB">
              <w:rPr>
                <w:noProof/>
                <w:webHidden/>
              </w:rPr>
              <w:instrText xml:space="preserve"> PAGEREF _Toc239815940 \h </w:instrText>
            </w:r>
            <w:r>
              <w:rPr>
                <w:noProof/>
                <w:webHidden/>
              </w:rPr>
            </w:r>
            <w:r>
              <w:rPr>
                <w:noProof/>
                <w:webHidden/>
              </w:rPr>
              <w:fldChar w:fldCharType="separate"/>
            </w:r>
            <w:r w:rsidR="003948FB">
              <w:rPr>
                <w:noProof/>
                <w:webHidden/>
              </w:rPr>
              <w:t>33</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5941" w:history="1">
            <w:r w:rsidR="003948FB" w:rsidRPr="00E84FD5">
              <w:rPr>
                <w:rStyle w:val="Hyperlink"/>
                <w:noProof/>
              </w:rPr>
              <w:t>Chapter 6: Competitive Environment Analysis</w:t>
            </w:r>
            <w:r w:rsidR="003948FB">
              <w:rPr>
                <w:noProof/>
                <w:webHidden/>
              </w:rPr>
              <w:tab/>
            </w:r>
            <w:r>
              <w:rPr>
                <w:noProof/>
                <w:webHidden/>
              </w:rPr>
              <w:fldChar w:fldCharType="begin"/>
            </w:r>
            <w:r w:rsidR="003948FB">
              <w:rPr>
                <w:noProof/>
                <w:webHidden/>
              </w:rPr>
              <w:instrText xml:space="preserve"> PAGEREF _Toc239815941 \h </w:instrText>
            </w:r>
            <w:r>
              <w:rPr>
                <w:noProof/>
                <w:webHidden/>
              </w:rPr>
            </w:r>
            <w:r>
              <w:rPr>
                <w:noProof/>
                <w:webHidden/>
              </w:rPr>
              <w:fldChar w:fldCharType="separate"/>
            </w:r>
            <w:r w:rsidR="003948FB">
              <w:rPr>
                <w:noProof/>
                <w:webHidden/>
              </w:rPr>
              <w:t>36</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42" w:history="1">
            <w:r w:rsidR="003948FB" w:rsidRPr="00E84FD5">
              <w:rPr>
                <w:rStyle w:val="Hyperlink"/>
                <w:noProof/>
              </w:rPr>
              <w:t>6.1 Scope, Frameworks and Competitive Set</w:t>
            </w:r>
            <w:r w:rsidR="003948FB">
              <w:rPr>
                <w:noProof/>
                <w:webHidden/>
              </w:rPr>
              <w:tab/>
            </w:r>
            <w:r>
              <w:rPr>
                <w:noProof/>
                <w:webHidden/>
              </w:rPr>
              <w:fldChar w:fldCharType="begin"/>
            </w:r>
            <w:r w:rsidR="003948FB">
              <w:rPr>
                <w:noProof/>
                <w:webHidden/>
              </w:rPr>
              <w:instrText xml:space="preserve"> PAGEREF _Toc239815942 \h </w:instrText>
            </w:r>
            <w:r>
              <w:rPr>
                <w:noProof/>
                <w:webHidden/>
              </w:rPr>
            </w:r>
            <w:r>
              <w:rPr>
                <w:noProof/>
                <w:webHidden/>
              </w:rPr>
              <w:fldChar w:fldCharType="separate"/>
            </w:r>
            <w:r w:rsidR="003948FB">
              <w:rPr>
                <w:noProof/>
                <w:webHidden/>
              </w:rPr>
              <w:t>36</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43" w:history="1">
            <w:r w:rsidR="003948FB" w:rsidRPr="00E84FD5">
              <w:rPr>
                <w:rStyle w:val="Hyperlink"/>
                <w:noProof/>
              </w:rPr>
              <w:t>6.2 Key Success Factors</w:t>
            </w:r>
            <w:r w:rsidR="003948FB">
              <w:rPr>
                <w:noProof/>
                <w:webHidden/>
              </w:rPr>
              <w:tab/>
            </w:r>
            <w:r>
              <w:rPr>
                <w:noProof/>
                <w:webHidden/>
              </w:rPr>
              <w:fldChar w:fldCharType="begin"/>
            </w:r>
            <w:r w:rsidR="003948FB">
              <w:rPr>
                <w:noProof/>
                <w:webHidden/>
              </w:rPr>
              <w:instrText xml:space="preserve"> PAGEREF _Toc239815943 \h </w:instrText>
            </w:r>
            <w:r>
              <w:rPr>
                <w:noProof/>
                <w:webHidden/>
              </w:rPr>
            </w:r>
            <w:r>
              <w:rPr>
                <w:noProof/>
                <w:webHidden/>
              </w:rPr>
              <w:fldChar w:fldCharType="separate"/>
            </w:r>
            <w:r w:rsidR="003948FB">
              <w:rPr>
                <w:noProof/>
                <w:webHidden/>
              </w:rPr>
              <w:t>36</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44" w:history="1">
            <w:r w:rsidR="003948FB" w:rsidRPr="00E84FD5">
              <w:rPr>
                <w:rStyle w:val="Hyperlink"/>
                <w:noProof/>
              </w:rPr>
              <w:t>6.3 Main Competitors and Positioning</w:t>
            </w:r>
            <w:r w:rsidR="003948FB">
              <w:rPr>
                <w:noProof/>
                <w:webHidden/>
              </w:rPr>
              <w:tab/>
            </w:r>
            <w:r>
              <w:rPr>
                <w:noProof/>
                <w:webHidden/>
              </w:rPr>
              <w:fldChar w:fldCharType="begin"/>
            </w:r>
            <w:r w:rsidR="003948FB">
              <w:rPr>
                <w:noProof/>
                <w:webHidden/>
              </w:rPr>
              <w:instrText xml:space="preserve"> PAGEREF _Toc239815944 \h </w:instrText>
            </w:r>
            <w:r>
              <w:rPr>
                <w:noProof/>
                <w:webHidden/>
              </w:rPr>
            </w:r>
            <w:r>
              <w:rPr>
                <w:noProof/>
                <w:webHidden/>
              </w:rPr>
              <w:fldChar w:fldCharType="separate"/>
            </w:r>
            <w:r w:rsidR="003948FB">
              <w:rPr>
                <w:noProof/>
                <w:webHidden/>
              </w:rPr>
              <w:t>37</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45" w:history="1">
            <w:r w:rsidR="003948FB" w:rsidRPr="00E84FD5">
              <w:rPr>
                <w:rStyle w:val="Hyperlink"/>
                <w:noProof/>
              </w:rPr>
              <w:t>6.3.1 Competitor Analysis</w:t>
            </w:r>
            <w:r w:rsidR="003948FB">
              <w:rPr>
                <w:noProof/>
                <w:webHidden/>
              </w:rPr>
              <w:tab/>
            </w:r>
            <w:r>
              <w:rPr>
                <w:noProof/>
                <w:webHidden/>
              </w:rPr>
              <w:fldChar w:fldCharType="begin"/>
            </w:r>
            <w:r w:rsidR="003948FB">
              <w:rPr>
                <w:noProof/>
                <w:webHidden/>
              </w:rPr>
              <w:instrText xml:space="preserve"> PAGEREF _Toc239815945 \h </w:instrText>
            </w:r>
            <w:r>
              <w:rPr>
                <w:noProof/>
                <w:webHidden/>
              </w:rPr>
            </w:r>
            <w:r>
              <w:rPr>
                <w:noProof/>
                <w:webHidden/>
              </w:rPr>
              <w:fldChar w:fldCharType="separate"/>
            </w:r>
            <w:r w:rsidR="003948FB">
              <w:rPr>
                <w:noProof/>
                <w:webHidden/>
              </w:rPr>
              <w:t>37</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46" w:history="1">
            <w:r w:rsidR="003948FB" w:rsidRPr="00E84FD5">
              <w:rPr>
                <w:rStyle w:val="Hyperlink"/>
                <w:noProof/>
              </w:rPr>
              <w:t>6.3.2 Positioning Map</w:t>
            </w:r>
            <w:r w:rsidR="003948FB">
              <w:rPr>
                <w:noProof/>
                <w:webHidden/>
              </w:rPr>
              <w:tab/>
            </w:r>
            <w:r>
              <w:rPr>
                <w:noProof/>
                <w:webHidden/>
              </w:rPr>
              <w:fldChar w:fldCharType="begin"/>
            </w:r>
            <w:r w:rsidR="003948FB">
              <w:rPr>
                <w:noProof/>
                <w:webHidden/>
              </w:rPr>
              <w:instrText xml:space="preserve"> PAGEREF _Toc239815946 \h </w:instrText>
            </w:r>
            <w:r>
              <w:rPr>
                <w:noProof/>
                <w:webHidden/>
              </w:rPr>
            </w:r>
            <w:r>
              <w:rPr>
                <w:noProof/>
                <w:webHidden/>
              </w:rPr>
              <w:fldChar w:fldCharType="separate"/>
            </w:r>
            <w:r w:rsidR="003948FB">
              <w:rPr>
                <w:noProof/>
                <w:webHidden/>
              </w:rPr>
              <w:t>38</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47" w:history="1">
            <w:r w:rsidR="003948FB" w:rsidRPr="00E84FD5">
              <w:rPr>
                <w:rStyle w:val="Hyperlink"/>
                <w:noProof/>
              </w:rPr>
              <w:t>6.4 Porter’s Five Forces</w:t>
            </w:r>
            <w:r w:rsidR="003948FB">
              <w:rPr>
                <w:noProof/>
                <w:webHidden/>
              </w:rPr>
              <w:tab/>
            </w:r>
            <w:r>
              <w:rPr>
                <w:noProof/>
                <w:webHidden/>
              </w:rPr>
              <w:fldChar w:fldCharType="begin"/>
            </w:r>
            <w:r w:rsidR="003948FB">
              <w:rPr>
                <w:noProof/>
                <w:webHidden/>
              </w:rPr>
              <w:instrText xml:space="preserve"> PAGEREF _Toc239815947 \h </w:instrText>
            </w:r>
            <w:r>
              <w:rPr>
                <w:noProof/>
                <w:webHidden/>
              </w:rPr>
            </w:r>
            <w:r>
              <w:rPr>
                <w:noProof/>
                <w:webHidden/>
              </w:rPr>
              <w:fldChar w:fldCharType="separate"/>
            </w:r>
            <w:r w:rsidR="003948FB">
              <w:rPr>
                <w:noProof/>
                <w:webHidden/>
              </w:rPr>
              <w:t>39</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48" w:history="1">
            <w:r w:rsidR="003948FB" w:rsidRPr="00E84FD5">
              <w:rPr>
                <w:rStyle w:val="Hyperlink"/>
                <w:noProof/>
              </w:rPr>
              <w:t>6.5 PESTLE and External Change</w:t>
            </w:r>
            <w:r w:rsidR="003948FB">
              <w:rPr>
                <w:noProof/>
                <w:webHidden/>
              </w:rPr>
              <w:tab/>
            </w:r>
            <w:r>
              <w:rPr>
                <w:noProof/>
                <w:webHidden/>
              </w:rPr>
              <w:fldChar w:fldCharType="begin"/>
            </w:r>
            <w:r w:rsidR="003948FB">
              <w:rPr>
                <w:noProof/>
                <w:webHidden/>
              </w:rPr>
              <w:instrText xml:space="preserve"> PAGEREF _Toc239815948 \h </w:instrText>
            </w:r>
            <w:r>
              <w:rPr>
                <w:noProof/>
                <w:webHidden/>
              </w:rPr>
            </w:r>
            <w:r>
              <w:rPr>
                <w:noProof/>
                <w:webHidden/>
              </w:rPr>
              <w:fldChar w:fldCharType="separate"/>
            </w:r>
            <w:r w:rsidR="003948FB">
              <w:rPr>
                <w:noProof/>
                <w:webHidden/>
              </w:rPr>
              <w:t>41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49" w:history="1">
            <w:r w:rsidR="003948FB" w:rsidRPr="00E84FD5">
              <w:rPr>
                <w:rStyle w:val="Hyperlink"/>
                <w:noProof/>
              </w:rPr>
              <w:t>6.6 Industry Attractiveness, Market Gaps and Synthesis</w:t>
            </w:r>
            <w:r w:rsidR="003948FB">
              <w:rPr>
                <w:noProof/>
                <w:webHidden/>
              </w:rPr>
              <w:tab/>
            </w:r>
            <w:r>
              <w:rPr>
                <w:noProof/>
                <w:webHidden/>
              </w:rPr>
              <w:fldChar w:fldCharType="begin"/>
            </w:r>
            <w:r w:rsidR="003948FB">
              <w:rPr>
                <w:noProof/>
                <w:webHidden/>
              </w:rPr>
              <w:instrText xml:space="preserve"> PAGEREF _Toc239815949 \h </w:instrText>
            </w:r>
            <w:r>
              <w:rPr>
                <w:noProof/>
                <w:webHidden/>
              </w:rPr>
            </w:r>
            <w:r>
              <w:rPr>
                <w:noProof/>
                <w:webHidden/>
              </w:rPr>
              <w:fldChar w:fldCharType="separate"/>
            </w:r>
            <w:r w:rsidR="003948FB">
              <w:rPr>
                <w:noProof/>
                <w:webHidden/>
              </w:rPr>
              <w:t>42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50" w:history="1">
            <w:r w:rsidR="003948FB" w:rsidRPr="00E84FD5">
              <w:rPr>
                <w:rStyle w:val="Hyperlink"/>
                <w:noProof/>
              </w:rPr>
              <w:t>6.7 Chapter Summary</w:t>
            </w:r>
            <w:r w:rsidR="003948FB">
              <w:rPr>
                <w:noProof/>
                <w:webHidden/>
              </w:rPr>
              <w:tab/>
            </w:r>
            <w:r>
              <w:rPr>
                <w:noProof/>
                <w:webHidden/>
              </w:rPr>
              <w:fldChar w:fldCharType="begin"/>
            </w:r>
            <w:r w:rsidR="003948FB">
              <w:rPr>
                <w:noProof/>
                <w:webHidden/>
              </w:rPr>
              <w:instrText xml:space="preserve"> PAGEREF _Toc239815950 \h </w:instrText>
            </w:r>
            <w:r>
              <w:rPr>
                <w:noProof/>
                <w:webHidden/>
              </w:rPr>
            </w:r>
            <w:r>
              <w:rPr>
                <w:noProof/>
                <w:webHidden/>
              </w:rPr>
              <w:fldChar w:fldCharType="separate"/>
            </w:r>
            <w:r w:rsidR="003948FB">
              <w:rPr>
                <w:noProof/>
                <w:webHidden/>
              </w:rPr>
              <w:t>43</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5951" w:history="1">
            <w:r w:rsidR="003948FB" w:rsidRPr="00E84FD5">
              <w:rPr>
                <w:rStyle w:val="Hyperlink"/>
                <w:noProof/>
              </w:rPr>
              <w:t>Chapter 7. Business Strategy</w:t>
            </w:r>
            <w:r w:rsidR="003948FB">
              <w:rPr>
                <w:noProof/>
                <w:webHidden/>
              </w:rPr>
              <w:tab/>
            </w:r>
            <w:r>
              <w:rPr>
                <w:noProof/>
                <w:webHidden/>
              </w:rPr>
              <w:fldChar w:fldCharType="begin"/>
            </w:r>
            <w:r w:rsidR="003948FB">
              <w:rPr>
                <w:noProof/>
                <w:webHidden/>
              </w:rPr>
              <w:instrText xml:space="preserve"> PAGEREF _Toc239815951 \h </w:instrText>
            </w:r>
            <w:r>
              <w:rPr>
                <w:noProof/>
                <w:webHidden/>
              </w:rPr>
            </w:r>
            <w:r>
              <w:rPr>
                <w:noProof/>
                <w:webHidden/>
              </w:rPr>
              <w:fldChar w:fldCharType="separate"/>
            </w:r>
            <w:r w:rsidR="003948FB">
              <w:rPr>
                <w:noProof/>
                <w:webHidden/>
              </w:rPr>
              <w:t>44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52" w:history="1">
            <w:r w:rsidR="003948FB" w:rsidRPr="00E84FD5">
              <w:rPr>
                <w:rStyle w:val="Hyperlink"/>
                <w:noProof/>
              </w:rPr>
              <w:t>7.1 Strategic Introduction</w:t>
            </w:r>
            <w:r w:rsidR="003948FB">
              <w:rPr>
                <w:noProof/>
                <w:webHidden/>
              </w:rPr>
              <w:tab/>
            </w:r>
            <w:r>
              <w:rPr>
                <w:noProof/>
                <w:webHidden/>
              </w:rPr>
              <w:fldChar w:fldCharType="begin"/>
            </w:r>
            <w:r w:rsidR="003948FB">
              <w:rPr>
                <w:noProof/>
                <w:webHidden/>
              </w:rPr>
              <w:instrText xml:space="preserve"> PAGEREF _Toc239815952 \h </w:instrText>
            </w:r>
            <w:r>
              <w:rPr>
                <w:noProof/>
                <w:webHidden/>
              </w:rPr>
            </w:r>
            <w:r>
              <w:rPr>
                <w:noProof/>
                <w:webHidden/>
              </w:rPr>
              <w:fldChar w:fldCharType="separate"/>
            </w:r>
            <w:r w:rsidR="003948FB">
              <w:rPr>
                <w:noProof/>
                <w:webHidden/>
              </w:rPr>
              <w:t>44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53" w:history="1">
            <w:r w:rsidR="003948FB" w:rsidRPr="00E84FD5">
              <w:rPr>
                <w:rStyle w:val="Hyperlink"/>
                <w:noProof/>
              </w:rPr>
              <w:t>7.2 External Strategic Analysis</w:t>
            </w:r>
            <w:r w:rsidR="003948FB">
              <w:rPr>
                <w:noProof/>
                <w:webHidden/>
              </w:rPr>
              <w:tab/>
            </w:r>
            <w:r>
              <w:rPr>
                <w:noProof/>
                <w:webHidden/>
              </w:rPr>
              <w:fldChar w:fldCharType="begin"/>
            </w:r>
            <w:r w:rsidR="003948FB">
              <w:rPr>
                <w:noProof/>
                <w:webHidden/>
              </w:rPr>
              <w:instrText xml:space="preserve"> PAGEREF _Toc239815953 \h </w:instrText>
            </w:r>
            <w:r>
              <w:rPr>
                <w:noProof/>
                <w:webHidden/>
              </w:rPr>
            </w:r>
            <w:r>
              <w:rPr>
                <w:noProof/>
                <w:webHidden/>
              </w:rPr>
              <w:fldChar w:fldCharType="separate"/>
            </w:r>
            <w:r w:rsidR="003948FB">
              <w:rPr>
                <w:noProof/>
                <w:webHidden/>
              </w:rPr>
              <w:t>44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54" w:history="1">
            <w:r w:rsidR="003948FB" w:rsidRPr="00E84FD5">
              <w:rPr>
                <w:rStyle w:val="Hyperlink"/>
                <w:noProof/>
              </w:rPr>
              <w:t>7.3 Internal Analysis: VRIO</w:t>
            </w:r>
            <w:r w:rsidR="003948FB">
              <w:rPr>
                <w:noProof/>
                <w:webHidden/>
              </w:rPr>
              <w:tab/>
            </w:r>
            <w:r>
              <w:rPr>
                <w:noProof/>
                <w:webHidden/>
              </w:rPr>
              <w:fldChar w:fldCharType="begin"/>
            </w:r>
            <w:r w:rsidR="003948FB">
              <w:rPr>
                <w:noProof/>
                <w:webHidden/>
              </w:rPr>
              <w:instrText xml:space="preserve"> PAGEREF _Toc239815954 \h </w:instrText>
            </w:r>
            <w:r>
              <w:rPr>
                <w:noProof/>
                <w:webHidden/>
              </w:rPr>
            </w:r>
            <w:r>
              <w:rPr>
                <w:noProof/>
                <w:webHidden/>
              </w:rPr>
              <w:fldChar w:fldCharType="separate"/>
            </w:r>
            <w:r w:rsidR="003948FB">
              <w:rPr>
                <w:noProof/>
                <w:webHidden/>
              </w:rPr>
              <w:t>46</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55" w:history="1">
            <w:r w:rsidR="003948FB" w:rsidRPr="00E84FD5">
              <w:rPr>
                <w:rStyle w:val="Hyperlink"/>
                <w:noProof/>
              </w:rPr>
              <w:t>7.4 SWOT and Strategic Implications</w:t>
            </w:r>
            <w:r w:rsidR="003948FB">
              <w:rPr>
                <w:noProof/>
                <w:webHidden/>
              </w:rPr>
              <w:tab/>
            </w:r>
            <w:r>
              <w:rPr>
                <w:noProof/>
                <w:webHidden/>
              </w:rPr>
              <w:fldChar w:fldCharType="begin"/>
            </w:r>
            <w:r w:rsidR="003948FB">
              <w:rPr>
                <w:noProof/>
                <w:webHidden/>
              </w:rPr>
              <w:instrText xml:space="preserve"> PAGEREF _Toc239815955 \h </w:instrText>
            </w:r>
            <w:r>
              <w:rPr>
                <w:noProof/>
                <w:webHidden/>
              </w:rPr>
            </w:r>
            <w:r>
              <w:rPr>
                <w:noProof/>
                <w:webHidden/>
              </w:rPr>
              <w:fldChar w:fldCharType="separate"/>
            </w:r>
            <w:r w:rsidR="003948FB">
              <w:rPr>
                <w:noProof/>
                <w:webHidden/>
              </w:rPr>
              <w:t>47</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56" w:history="1">
            <w:r w:rsidR="003948FB" w:rsidRPr="00E84FD5">
              <w:rPr>
                <w:rStyle w:val="Hyperlink"/>
                <w:noProof/>
              </w:rPr>
              <w:t>7.5 Strategic Choice</w:t>
            </w:r>
            <w:r w:rsidR="003948FB">
              <w:rPr>
                <w:noProof/>
                <w:webHidden/>
              </w:rPr>
              <w:tab/>
            </w:r>
            <w:r>
              <w:rPr>
                <w:noProof/>
                <w:webHidden/>
              </w:rPr>
              <w:fldChar w:fldCharType="begin"/>
            </w:r>
            <w:r w:rsidR="003948FB">
              <w:rPr>
                <w:noProof/>
                <w:webHidden/>
              </w:rPr>
              <w:instrText xml:space="preserve"> PAGEREF _Toc239815956 \h </w:instrText>
            </w:r>
            <w:r>
              <w:rPr>
                <w:noProof/>
                <w:webHidden/>
              </w:rPr>
            </w:r>
            <w:r>
              <w:rPr>
                <w:noProof/>
                <w:webHidden/>
              </w:rPr>
              <w:fldChar w:fldCharType="separate"/>
            </w:r>
            <w:r w:rsidR="003948FB">
              <w:rPr>
                <w:noProof/>
                <w:webHidden/>
              </w:rPr>
              <w:t>49</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57" w:history="1">
            <w:r w:rsidR="003948FB" w:rsidRPr="00E84FD5">
              <w:rPr>
                <w:rStyle w:val="Hyperlink"/>
                <w:noProof/>
              </w:rPr>
              <w:t>7.6 USP and Value Proposition</w:t>
            </w:r>
            <w:r w:rsidR="003948FB">
              <w:rPr>
                <w:noProof/>
                <w:webHidden/>
              </w:rPr>
              <w:tab/>
            </w:r>
            <w:r>
              <w:rPr>
                <w:noProof/>
                <w:webHidden/>
              </w:rPr>
              <w:fldChar w:fldCharType="begin"/>
            </w:r>
            <w:r w:rsidR="003948FB">
              <w:rPr>
                <w:noProof/>
                <w:webHidden/>
              </w:rPr>
              <w:instrText xml:space="preserve"> PAGEREF _Toc239815957 \h </w:instrText>
            </w:r>
            <w:r>
              <w:rPr>
                <w:noProof/>
                <w:webHidden/>
              </w:rPr>
            </w:r>
            <w:r>
              <w:rPr>
                <w:noProof/>
                <w:webHidden/>
              </w:rPr>
              <w:fldChar w:fldCharType="separate"/>
            </w:r>
            <w:r w:rsidR="003948FB">
              <w:rPr>
                <w:noProof/>
                <w:webHidden/>
              </w:rPr>
              <w:t>50</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58" w:history="1">
            <w:r w:rsidR="003948FB" w:rsidRPr="00E84FD5">
              <w:rPr>
                <w:rStyle w:val="Hyperlink"/>
                <w:noProof/>
              </w:rPr>
              <w:t>7.7 Competitive Advantage</w:t>
            </w:r>
            <w:r w:rsidR="003948FB">
              <w:rPr>
                <w:noProof/>
                <w:webHidden/>
              </w:rPr>
              <w:tab/>
            </w:r>
            <w:r>
              <w:rPr>
                <w:noProof/>
                <w:webHidden/>
              </w:rPr>
              <w:fldChar w:fldCharType="begin"/>
            </w:r>
            <w:r w:rsidR="003948FB">
              <w:rPr>
                <w:noProof/>
                <w:webHidden/>
              </w:rPr>
              <w:instrText xml:space="preserve"> PAGEREF _Toc239815958 \h </w:instrText>
            </w:r>
            <w:r>
              <w:rPr>
                <w:noProof/>
                <w:webHidden/>
              </w:rPr>
            </w:r>
            <w:r>
              <w:rPr>
                <w:noProof/>
                <w:webHidden/>
              </w:rPr>
              <w:fldChar w:fldCharType="separate"/>
            </w:r>
            <w:r w:rsidR="003948FB">
              <w:rPr>
                <w:noProof/>
                <w:webHidden/>
              </w:rPr>
              <w:t>51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59" w:history="1">
            <w:r w:rsidR="003948FB" w:rsidRPr="00E84FD5">
              <w:rPr>
                <w:rStyle w:val="Hyperlink"/>
                <w:noProof/>
              </w:rPr>
              <w:t>7.8 Key Success Factors</w:t>
            </w:r>
            <w:r w:rsidR="003948FB">
              <w:rPr>
                <w:noProof/>
                <w:webHidden/>
              </w:rPr>
              <w:tab/>
            </w:r>
            <w:r>
              <w:rPr>
                <w:noProof/>
                <w:webHidden/>
              </w:rPr>
              <w:fldChar w:fldCharType="begin"/>
            </w:r>
            <w:r w:rsidR="003948FB">
              <w:rPr>
                <w:noProof/>
                <w:webHidden/>
              </w:rPr>
              <w:instrText xml:space="preserve"> PAGEREF _Toc239815959 \h </w:instrText>
            </w:r>
            <w:r>
              <w:rPr>
                <w:noProof/>
                <w:webHidden/>
              </w:rPr>
            </w:r>
            <w:r>
              <w:rPr>
                <w:noProof/>
                <w:webHidden/>
              </w:rPr>
              <w:fldChar w:fldCharType="separate"/>
            </w:r>
            <w:r w:rsidR="003948FB">
              <w:rPr>
                <w:noProof/>
                <w:webHidden/>
              </w:rPr>
              <w:t>51</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5960" w:history="1">
            <w:r w:rsidR="003948FB" w:rsidRPr="00E84FD5">
              <w:rPr>
                <w:rStyle w:val="Hyperlink"/>
                <w:noProof/>
              </w:rPr>
              <w:t>Chapter 8. Business Model Canvas</w:t>
            </w:r>
            <w:r w:rsidR="003948FB">
              <w:rPr>
                <w:noProof/>
                <w:webHidden/>
              </w:rPr>
              <w:tab/>
            </w:r>
            <w:r>
              <w:rPr>
                <w:noProof/>
                <w:webHidden/>
              </w:rPr>
              <w:fldChar w:fldCharType="begin"/>
            </w:r>
            <w:r w:rsidR="003948FB">
              <w:rPr>
                <w:noProof/>
                <w:webHidden/>
              </w:rPr>
              <w:instrText xml:space="preserve"> PAGEREF _Toc239815960 \h </w:instrText>
            </w:r>
            <w:r>
              <w:rPr>
                <w:noProof/>
                <w:webHidden/>
              </w:rPr>
            </w:r>
            <w:r>
              <w:rPr>
                <w:noProof/>
                <w:webHidden/>
              </w:rPr>
              <w:fldChar w:fldCharType="separate"/>
            </w:r>
            <w:r w:rsidR="003948FB">
              <w:rPr>
                <w:noProof/>
                <w:webHidden/>
              </w:rPr>
              <w:t>52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61" w:history="1">
            <w:r w:rsidR="003948FB" w:rsidRPr="00E84FD5">
              <w:rPr>
                <w:rStyle w:val="Hyperlink"/>
                <w:noProof/>
              </w:rPr>
              <w:t>8.1 BMC Introduction</w:t>
            </w:r>
            <w:r w:rsidR="003948FB">
              <w:rPr>
                <w:noProof/>
                <w:webHidden/>
              </w:rPr>
              <w:tab/>
            </w:r>
            <w:r>
              <w:rPr>
                <w:noProof/>
                <w:webHidden/>
              </w:rPr>
              <w:fldChar w:fldCharType="begin"/>
            </w:r>
            <w:r w:rsidR="003948FB">
              <w:rPr>
                <w:noProof/>
                <w:webHidden/>
              </w:rPr>
              <w:instrText xml:space="preserve"> PAGEREF _Toc239815961 \h </w:instrText>
            </w:r>
            <w:r>
              <w:rPr>
                <w:noProof/>
                <w:webHidden/>
              </w:rPr>
            </w:r>
            <w:r>
              <w:rPr>
                <w:noProof/>
                <w:webHidden/>
              </w:rPr>
              <w:fldChar w:fldCharType="separate"/>
            </w:r>
            <w:r w:rsidR="003948FB">
              <w:rPr>
                <w:noProof/>
                <w:webHidden/>
              </w:rPr>
              <w:t>52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62" w:history="1">
            <w:r w:rsidR="003948FB" w:rsidRPr="00E84FD5">
              <w:rPr>
                <w:rStyle w:val="Hyperlink"/>
                <w:noProof/>
              </w:rPr>
              <w:t>8.2 Customer Segments</w:t>
            </w:r>
            <w:r w:rsidR="003948FB">
              <w:rPr>
                <w:noProof/>
                <w:webHidden/>
              </w:rPr>
              <w:tab/>
            </w:r>
            <w:r>
              <w:rPr>
                <w:noProof/>
                <w:webHidden/>
              </w:rPr>
              <w:fldChar w:fldCharType="begin"/>
            </w:r>
            <w:r w:rsidR="003948FB">
              <w:rPr>
                <w:noProof/>
                <w:webHidden/>
              </w:rPr>
              <w:instrText xml:space="preserve"> PAGEREF _Toc239815962 \h </w:instrText>
            </w:r>
            <w:r>
              <w:rPr>
                <w:noProof/>
                <w:webHidden/>
              </w:rPr>
            </w:r>
            <w:r>
              <w:rPr>
                <w:noProof/>
                <w:webHidden/>
              </w:rPr>
              <w:fldChar w:fldCharType="separate"/>
            </w:r>
            <w:r w:rsidR="003948FB">
              <w:rPr>
                <w:noProof/>
                <w:webHidden/>
              </w:rPr>
              <w:t>52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63" w:history="1">
            <w:r w:rsidR="003948FB" w:rsidRPr="00E84FD5">
              <w:rPr>
                <w:rStyle w:val="Hyperlink"/>
                <w:noProof/>
              </w:rPr>
              <w:t>8.3 Value Proposition</w:t>
            </w:r>
            <w:r w:rsidR="003948FB">
              <w:rPr>
                <w:noProof/>
                <w:webHidden/>
              </w:rPr>
              <w:tab/>
            </w:r>
            <w:r>
              <w:rPr>
                <w:noProof/>
                <w:webHidden/>
              </w:rPr>
              <w:fldChar w:fldCharType="begin"/>
            </w:r>
            <w:r w:rsidR="003948FB">
              <w:rPr>
                <w:noProof/>
                <w:webHidden/>
              </w:rPr>
              <w:instrText xml:space="preserve"> PAGEREF _Toc239815963 \h </w:instrText>
            </w:r>
            <w:r>
              <w:rPr>
                <w:noProof/>
                <w:webHidden/>
              </w:rPr>
            </w:r>
            <w:r>
              <w:rPr>
                <w:noProof/>
                <w:webHidden/>
              </w:rPr>
              <w:fldChar w:fldCharType="separate"/>
            </w:r>
            <w:r w:rsidR="003948FB">
              <w:rPr>
                <w:noProof/>
                <w:webHidden/>
              </w:rPr>
              <w:t>53</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64" w:history="1">
            <w:r w:rsidR="003948FB" w:rsidRPr="00E84FD5">
              <w:rPr>
                <w:rStyle w:val="Hyperlink"/>
                <w:noProof/>
              </w:rPr>
              <w:t>8.4 Channels</w:t>
            </w:r>
            <w:r w:rsidR="003948FB">
              <w:rPr>
                <w:noProof/>
                <w:webHidden/>
              </w:rPr>
              <w:tab/>
            </w:r>
            <w:r>
              <w:rPr>
                <w:noProof/>
                <w:webHidden/>
              </w:rPr>
              <w:fldChar w:fldCharType="begin"/>
            </w:r>
            <w:r w:rsidR="003948FB">
              <w:rPr>
                <w:noProof/>
                <w:webHidden/>
              </w:rPr>
              <w:instrText xml:space="preserve"> PAGEREF _Toc239815964 \h </w:instrText>
            </w:r>
            <w:r>
              <w:rPr>
                <w:noProof/>
                <w:webHidden/>
              </w:rPr>
            </w:r>
            <w:r>
              <w:rPr>
                <w:noProof/>
                <w:webHidden/>
              </w:rPr>
              <w:fldChar w:fldCharType="separate"/>
            </w:r>
            <w:r w:rsidR="003948FB">
              <w:rPr>
                <w:noProof/>
                <w:webHidden/>
              </w:rPr>
              <w:t>53</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65" w:history="1">
            <w:r w:rsidR="003948FB" w:rsidRPr="00E84FD5">
              <w:rPr>
                <w:rStyle w:val="Hyperlink"/>
                <w:noProof/>
              </w:rPr>
              <w:t>8.5 Customer Relationships</w:t>
            </w:r>
            <w:r w:rsidR="003948FB">
              <w:rPr>
                <w:noProof/>
                <w:webHidden/>
              </w:rPr>
              <w:tab/>
            </w:r>
            <w:r>
              <w:rPr>
                <w:noProof/>
                <w:webHidden/>
              </w:rPr>
              <w:fldChar w:fldCharType="begin"/>
            </w:r>
            <w:r w:rsidR="003948FB">
              <w:rPr>
                <w:noProof/>
                <w:webHidden/>
              </w:rPr>
              <w:instrText xml:space="preserve"> PAGEREF _Toc239815965 \h </w:instrText>
            </w:r>
            <w:r>
              <w:rPr>
                <w:noProof/>
                <w:webHidden/>
              </w:rPr>
            </w:r>
            <w:r>
              <w:rPr>
                <w:noProof/>
                <w:webHidden/>
              </w:rPr>
              <w:fldChar w:fldCharType="separate"/>
            </w:r>
            <w:r w:rsidR="003948FB">
              <w:rPr>
                <w:noProof/>
                <w:webHidden/>
              </w:rPr>
              <w:t>53</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66" w:history="1">
            <w:r w:rsidR="003948FB" w:rsidRPr="00E84FD5">
              <w:rPr>
                <w:rStyle w:val="Hyperlink"/>
                <w:noProof/>
              </w:rPr>
              <w:t>8.6 Revenue Streams</w:t>
            </w:r>
            <w:r w:rsidR="003948FB">
              <w:rPr>
                <w:noProof/>
                <w:webHidden/>
              </w:rPr>
              <w:tab/>
            </w:r>
            <w:r>
              <w:rPr>
                <w:noProof/>
                <w:webHidden/>
              </w:rPr>
              <w:fldChar w:fldCharType="begin"/>
            </w:r>
            <w:r w:rsidR="003948FB">
              <w:rPr>
                <w:noProof/>
                <w:webHidden/>
              </w:rPr>
              <w:instrText xml:space="preserve"> PAGEREF _Toc239815966 \h </w:instrText>
            </w:r>
            <w:r>
              <w:rPr>
                <w:noProof/>
                <w:webHidden/>
              </w:rPr>
            </w:r>
            <w:r>
              <w:rPr>
                <w:noProof/>
                <w:webHidden/>
              </w:rPr>
              <w:fldChar w:fldCharType="separate"/>
            </w:r>
            <w:r w:rsidR="003948FB">
              <w:rPr>
                <w:noProof/>
                <w:webHidden/>
              </w:rPr>
              <w:t>54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67" w:history="1">
            <w:r w:rsidR="003948FB" w:rsidRPr="00E84FD5">
              <w:rPr>
                <w:rStyle w:val="Hyperlink"/>
                <w:noProof/>
              </w:rPr>
              <w:t>8.7 Key Resources</w:t>
            </w:r>
            <w:r w:rsidR="003948FB">
              <w:rPr>
                <w:noProof/>
                <w:webHidden/>
              </w:rPr>
              <w:tab/>
            </w:r>
            <w:r>
              <w:rPr>
                <w:noProof/>
                <w:webHidden/>
              </w:rPr>
              <w:fldChar w:fldCharType="begin"/>
            </w:r>
            <w:r w:rsidR="003948FB">
              <w:rPr>
                <w:noProof/>
                <w:webHidden/>
              </w:rPr>
              <w:instrText xml:space="preserve"> PAGEREF _Toc239815967 \h </w:instrText>
            </w:r>
            <w:r>
              <w:rPr>
                <w:noProof/>
                <w:webHidden/>
              </w:rPr>
            </w:r>
            <w:r>
              <w:rPr>
                <w:noProof/>
                <w:webHidden/>
              </w:rPr>
              <w:fldChar w:fldCharType="separate"/>
            </w:r>
            <w:r w:rsidR="003948FB">
              <w:rPr>
                <w:noProof/>
                <w:webHidden/>
              </w:rPr>
              <w:t>54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68" w:history="1">
            <w:r w:rsidR="003948FB" w:rsidRPr="00E84FD5">
              <w:rPr>
                <w:rStyle w:val="Hyperlink"/>
                <w:noProof/>
              </w:rPr>
              <w:t>8.8 Key Activities</w:t>
            </w:r>
            <w:r w:rsidR="003948FB">
              <w:rPr>
                <w:noProof/>
                <w:webHidden/>
              </w:rPr>
              <w:tab/>
            </w:r>
            <w:r>
              <w:rPr>
                <w:noProof/>
                <w:webHidden/>
              </w:rPr>
              <w:fldChar w:fldCharType="begin"/>
            </w:r>
            <w:r w:rsidR="003948FB">
              <w:rPr>
                <w:noProof/>
                <w:webHidden/>
              </w:rPr>
              <w:instrText xml:space="preserve"> PAGEREF _Toc239815968 \h </w:instrText>
            </w:r>
            <w:r>
              <w:rPr>
                <w:noProof/>
                <w:webHidden/>
              </w:rPr>
            </w:r>
            <w:r>
              <w:rPr>
                <w:noProof/>
                <w:webHidden/>
              </w:rPr>
              <w:fldChar w:fldCharType="separate"/>
            </w:r>
            <w:r w:rsidR="003948FB">
              <w:rPr>
                <w:noProof/>
                <w:webHidden/>
              </w:rPr>
              <w:t>54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69" w:history="1">
            <w:r w:rsidR="003948FB" w:rsidRPr="00E84FD5">
              <w:rPr>
                <w:rStyle w:val="Hyperlink"/>
                <w:noProof/>
              </w:rPr>
              <w:t>8.9 Key Partnerships</w:t>
            </w:r>
            <w:r w:rsidR="003948FB">
              <w:rPr>
                <w:noProof/>
                <w:webHidden/>
              </w:rPr>
              <w:tab/>
            </w:r>
            <w:r>
              <w:rPr>
                <w:noProof/>
                <w:webHidden/>
              </w:rPr>
              <w:fldChar w:fldCharType="begin"/>
            </w:r>
            <w:r w:rsidR="003948FB">
              <w:rPr>
                <w:noProof/>
                <w:webHidden/>
              </w:rPr>
              <w:instrText xml:space="preserve"> PAGEREF _Toc239815969 \h </w:instrText>
            </w:r>
            <w:r>
              <w:rPr>
                <w:noProof/>
                <w:webHidden/>
              </w:rPr>
            </w:r>
            <w:r>
              <w:rPr>
                <w:noProof/>
                <w:webHidden/>
              </w:rPr>
              <w:fldChar w:fldCharType="separate"/>
            </w:r>
            <w:r w:rsidR="003948FB">
              <w:rPr>
                <w:noProof/>
                <w:webHidden/>
              </w:rPr>
              <w:t>55</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70" w:history="1">
            <w:r w:rsidR="003948FB" w:rsidRPr="00E84FD5">
              <w:rPr>
                <w:rStyle w:val="Hyperlink"/>
                <w:noProof/>
              </w:rPr>
              <w:t>8.10 Cost Structure</w:t>
            </w:r>
            <w:r w:rsidR="003948FB">
              <w:rPr>
                <w:noProof/>
                <w:webHidden/>
              </w:rPr>
              <w:tab/>
            </w:r>
            <w:r>
              <w:rPr>
                <w:noProof/>
                <w:webHidden/>
              </w:rPr>
              <w:fldChar w:fldCharType="begin"/>
            </w:r>
            <w:r w:rsidR="003948FB">
              <w:rPr>
                <w:noProof/>
                <w:webHidden/>
              </w:rPr>
              <w:instrText xml:space="preserve"> PAGEREF _Toc239815970 \h </w:instrText>
            </w:r>
            <w:r>
              <w:rPr>
                <w:noProof/>
                <w:webHidden/>
              </w:rPr>
            </w:r>
            <w:r>
              <w:rPr>
                <w:noProof/>
                <w:webHidden/>
              </w:rPr>
              <w:fldChar w:fldCharType="separate"/>
            </w:r>
            <w:r w:rsidR="003948FB">
              <w:rPr>
                <w:noProof/>
                <w:webHidden/>
              </w:rPr>
              <w:t>55</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5971" w:history="1">
            <w:r w:rsidR="003948FB" w:rsidRPr="00E84FD5">
              <w:rPr>
                <w:rStyle w:val="Hyperlink"/>
                <w:noProof/>
              </w:rPr>
              <w:t>Chapter 9. Financial, Marketing &amp; Human Capital Management Plan</w:t>
            </w:r>
            <w:r w:rsidR="003948FB">
              <w:rPr>
                <w:noProof/>
                <w:webHidden/>
              </w:rPr>
              <w:tab/>
            </w:r>
            <w:r>
              <w:rPr>
                <w:noProof/>
                <w:webHidden/>
              </w:rPr>
              <w:fldChar w:fldCharType="begin"/>
            </w:r>
            <w:r w:rsidR="003948FB">
              <w:rPr>
                <w:noProof/>
                <w:webHidden/>
              </w:rPr>
              <w:instrText xml:space="preserve"> PAGEREF _Toc239815971 \h </w:instrText>
            </w:r>
            <w:r>
              <w:rPr>
                <w:noProof/>
                <w:webHidden/>
              </w:rPr>
            </w:r>
            <w:r>
              <w:rPr>
                <w:noProof/>
                <w:webHidden/>
              </w:rPr>
              <w:fldChar w:fldCharType="separate"/>
            </w:r>
            <w:r w:rsidR="003948FB">
              <w:rPr>
                <w:noProof/>
                <w:webHidden/>
              </w:rPr>
              <w:t>56</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72" w:history="1">
            <w:r w:rsidR="003948FB" w:rsidRPr="00E84FD5">
              <w:rPr>
                <w:rStyle w:val="Hyperlink"/>
                <w:noProof/>
              </w:rPr>
              <w:t>9.1 Financial Plan</w:t>
            </w:r>
            <w:r w:rsidR="003948FB">
              <w:rPr>
                <w:noProof/>
                <w:webHidden/>
              </w:rPr>
              <w:tab/>
            </w:r>
            <w:r>
              <w:rPr>
                <w:noProof/>
                <w:webHidden/>
              </w:rPr>
              <w:fldChar w:fldCharType="begin"/>
            </w:r>
            <w:r w:rsidR="003948FB">
              <w:rPr>
                <w:noProof/>
                <w:webHidden/>
              </w:rPr>
              <w:instrText xml:space="preserve"> PAGEREF _Toc239815972 \h </w:instrText>
            </w:r>
            <w:r>
              <w:rPr>
                <w:noProof/>
                <w:webHidden/>
              </w:rPr>
            </w:r>
            <w:r>
              <w:rPr>
                <w:noProof/>
                <w:webHidden/>
              </w:rPr>
              <w:fldChar w:fldCharType="separate"/>
            </w:r>
            <w:r w:rsidR="003948FB">
              <w:rPr>
                <w:noProof/>
                <w:webHidden/>
              </w:rPr>
              <w:t>56</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73" w:history="1">
            <w:r w:rsidR="003948FB" w:rsidRPr="00E84FD5">
              <w:rPr>
                <w:rStyle w:val="Hyperlink"/>
                <w:noProof/>
              </w:rPr>
              <w:t>9.1.1 Financial Strategy</w:t>
            </w:r>
            <w:r w:rsidR="003948FB">
              <w:rPr>
                <w:noProof/>
                <w:webHidden/>
              </w:rPr>
              <w:tab/>
            </w:r>
            <w:r>
              <w:rPr>
                <w:noProof/>
                <w:webHidden/>
              </w:rPr>
              <w:fldChar w:fldCharType="begin"/>
            </w:r>
            <w:r w:rsidR="003948FB">
              <w:rPr>
                <w:noProof/>
                <w:webHidden/>
              </w:rPr>
              <w:instrText xml:space="preserve"> PAGEREF _Toc239815973 \h </w:instrText>
            </w:r>
            <w:r>
              <w:rPr>
                <w:noProof/>
                <w:webHidden/>
              </w:rPr>
            </w:r>
            <w:r>
              <w:rPr>
                <w:noProof/>
                <w:webHidden/>
              </w:rPr>
              <w:fldChar w:fldCharType="separate"/>
            </w:r>
            <w:r w:rsidR="003948FB">
              <w:rPr>
                <w:noProof/>
                <w:webHidden/>
              </w:rPr>
              <w:t>56</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74" w:history="1">
            <w:r w:rsidR="003948FB" w:rsidRPr="00E84FD5">
              <w:rPr>
                <w:rStyle w:val="Hyperlink"/>
                <w:noProof/>
              </w:rPr>
              <w:t>9.1.2 Start-Up Costs</w:t>
            </w:r>
            <w:r w:rsidR="003948FB">
              <w:rPr>
                <w:noProof/>
                <w:webHidden/>
              </w:rPr>
              <w:tab/>
            </w:r>
            <w:r>
              <w:rPr>
                <w:noProof/>
                <w:webHidden/>
              </w:rPr>
              <w:fldChar w:fldCharType="begin"/>
            </w:r>
            <w:r w:rsidR="003948FB">
              <w:rPr>
                <w:noProof/>
                <w:webHidden/>
              </w:rPr>
              <w:instrText xml:space="preserve"> PAGEREF _Toc239815974 \h </w:instrText>
            </w:r>
            <w:r>
              <w:rPr>
                <w:noProof/>
                <w:webHidden/>
              </w:rPr>
            </w:r>
            <w:r>
              <w:rPr>
                <w:noProof/>
                <w:webHidden/>
              </w:rPr>
              <w:fldChar w:fldCharType="separate"/>
            </w:r>
            <w:r w:rsidR="003948FB">
              <w:rPr>
                <w:noProof/>
                <w:webHidden/>
              </w:rPr>
              <w:t>56</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75" w:history="1">
            <w:r w:rsidR="003948FB" w:rsidRPr="00E84FD5">
              <w:rPr>
                <w:rStyle w:val="Hyperlink"/>
                <w:noProof/>
              </w:rPr>
              <w:t>9.1.3 Revenue Model</w:t>
            </w:r>
            <w:r w:rsidR="003948FB">
              <w:rPr>
                <w:noProof/>
                <w:webHidden/>
              </w:rPr>
              <w:tab/>
            </w:r>
            <w:r>
              <w:rPr>
                <w:noProof/>
                <w:webHidden/>
              </w:rPr>
              <w:fldChar w:fldCharType="begin"/>
            </w:r>
            <w:r w:rsidR="003948FB">
              <w:rPr>
                <w:noProof/>
                <w:webHidden/>
              </w:rPr>
              <w:instrText xml:space="preserve"> PAGEREF _Toc239815975 \h </w:instrText>
            </w:r>
            <w:r>
              <w:rPr>
                <w:noProof/>
                <w:webHidden/>
              </w:rPr>
            </w:r>
            <w:r>
              <w:rPr>
                <w:noProof/>
                <w:webHidden/>
              </w:rPr>
              <w:fldChar w:fldCharType="separate"/>
            </w:r>
            <w:r w:rsidR="003948FB">
              <w:rPr>
                <w:noProof/>
                <w:webHidden/>
              </w:rPr>
              <w:t>57</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76" w:history="1">
            <w:r w:rsidR="003948FB" w:rsidRPr="00E84FD5">
              <w:rPr>
                <w:rStyle w:val="Hyperlink"/>
                <w:noProof/>
              </w:rPr>
              <w:t>9.1.4 Pricing Strategy</w:t>
            </w:r>
            <w:r w:rsidR="003948FB">
              <w:rPr>
                <w:noProof/>
                <w:webHidden/>
              </w:rPr>
              <w:tab/>
            </w:r>
            <w:r>
              <w:rPr>
                <w:noProof/>
                <w:webHidden/>
              </w:rPr>
              <w:fldChar w:fldCharType="begin"/>
            </w:r>
            <w:r w:rsidR="003948FB">
              <w:rPr>
                <w:noProof/>
                <w:webHidden/>
              </w:rPr>
              <w:instrText xml:space="preserve"> PAGEREF _Toc239815976 \h </w:instrText>
            </w:r>
            <w:r>
              <w:rPr>
                <w:noProof/>
                <w:webHidden/>
              </w:rPr>
            </w:r>
            <w:r>
              <w:rPr>
                <w:noProof/>
                <w:webHidden/>
              </w:rPr>
              <w:fldChar w:fldCharType="separate"/>
            </w:r>
            <w:r w:rsidR="003948FB">
              <w:rPr>
                <w:noProof/>
                <w:webHidden/>
              </w:rPr>
              <w:t>58</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77" w:history="1">
            <w:r w:rsidR="003948FB" w:rsidRPr="00E84FD5">
              <w:rPr>
                <w:rStyle w:val="Hyperlink"/>
                <w:noProof/>
              </w:rPr>
              <w:t>9.1.5 Three-to-Five-Year Financial Forecast</w:t>
            </w:r>
            <w:r w:rsidR="003948FB">
              <w:rPr>
                <w:noProof/>
                <w:webHidden/>
              </w:rPr>
              <w:tab/>
            </w:r>
            <w:r>
              <w:rPr>
                <w:noProof/>
                <w:webHidden/>
              </w:rPr>
              <w:fldChar w:fldCharType="begin"/>
            </w:r>
            <w:r w:rsidR="003948FB">
              <w:rPr>
                <w:noProof/>
                <w:webHidden/>
              </w:rPr>
              <w:instrText xml:space="preserve"> PAGEREF _Toc239815977 \h </w:instrText>
            </w:r>
            <w:r>
              <w:rPr>
                <w:noProof/>
                <w:webHidden/>
              </w:rPr>
            </w:r>
            <w:r>
              <w:rPr>
                <w:noProof/>
                <w:webHidden/>
              </w:rPr>
              <w:fldChar w:fldCharType="separate"/>
            </w:r>
            <w:r w:rsidR="003948FB">
              <w:rPr>
                <w:noProof/>
                <w:webHidden/>
              </w:rPr>
              <w:t>58</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78" w:history="1">
            <w:r w:rsidR="003948FB" w:rsidRPr="00E84FD5">
              <w:rPr>
                <w:rStyle w:val="Hyperlink"/>
                <w:noProof/>
              </w:rPr>
              <w:t>9.1.6 Break-Even Analysis</w:t>
            </w:r>
            <w:r w:rsidR="003948FB">
              <w:rPr>
                <w:noProof/>
                <w:webHidden/>
              </w:rPr>
              <w:tab/>
            </w:r>
            <w:r>
              <w:rPr>
                <w:noProof/>
                <w:webHidden/>
              </w:rPr>
              <w:fldChar w:fldCharType="begin"/>
            </w:r>
            <w:r w:rsidR="003948FB">
              <w:rPr>
                <w:noProof/>
                <w:webHidden/>
              </w:rPr>
              <w:instrText xml:space="preserve"> PAGEREF _Toc239815978 \h </w:instrText>
            </w:r>
            <w:r>
              <w:rPr>
                <w:noProof/>
                <w:webHidden/>
              </w:rPr>
            </w:r>
            <w:r>
              <w:rPr>
                <w:noProof/>
                <w:webHidden/>
              </w:rPr>
              <w:fldChar w:fldCharType="separate"/>
            </w:r>
            <w:r w:rsidR="003948FB">
              <w:rPr>
                <w:noProof/>
                <w:webHidden/>
              </w:rPr>
              <w:t>59</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79" w:history="1">
            <w:r w:rsidR="003948FB" w:rsidRPr="00E84FD5">
              <w:rPr>
                <w:rStyle w:val="Hyperlink"/>
                <w:noProof/>
              </w:rPr>
              <w:t>9.1.7 Sensitivity Analysis</w:t>
            </w:r>
            <w:r w:rsidR="003948FB">
              <w:rPr>
                <w:noProof/>
                <w:webHidden/>
              </w:rPr>
              <w:tab/>
            </w:r>
            <w:r>
              <w:rPr>
                <w:noProof/>
                <w:webHidden/>
              </w:rPr>
              <w:fldChar w:fldCharType="begin"/>
            </w:r>
            <w:r w:rsidR="003948FB">
              <w:rPr>
                <w:noProof/>
                <w:webHidden/>
              </w:rPr>
              <w:instrText xml:space="preserve"> PAGEREF _Toc239815979 \h </w:instrText>
            </w:r>
            <w:r>
              <w:rPr>
                <w:noProof/>
                <w:webHidden/>
              </w:rPr>
            </w:r>
            <w:r>
              <w:rPr>
                <w:noProof/>
                <w:webHidden/>
              </w:rPr>
              <w:fldChar w:fldCharType="separate"/>
            </w:r>
            <w:r w:rsidR="003948FB">
              <w:rPr>
                <w:noProof/>
                <w:webHidden/>
              </w:rPr>
              <w:t>59</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80" w:history="1">
            <w:r w:rsidR="003948FB" w:rsidRPr="00E84FD5">
              <w:rPr>
                <w:rStyle w:val="Hyperlink"/>
                <w:noProof/>
              </w:rPr>
              <w:t>9.2 Marketing Plan</w:t>
            </w:r>
            <w:r w:rsidR="003948FB">
              <w:rPr>
                <w:noProof/>
                <w:webHidden/>
              </w:rPr>
              <w:tab/>
            </w:r>
            <w:r>
              <w:rPr>
                <w:noProof/>
                <w:webHidden/>
              </w:rPr>
              <w:fldChar w:fldCharType="begin"/>
            </w:r>
            <w:r w:rsidR="003948FB">
              <w:rPr>
                <w:noProof/>
                <w:webHidden/>
              </w:rPr>
              <w:instrText xml:space="preserve"> PAGEREF _Toc239815980 \h </w:instrText>
            </w:r>
            <w:r>
              <w:rPr>
                <w:noProof/>
                <w:webHidden/>
              </w:rPr>
            </w:r>
            <w:r>
              <w:rPr>
                <w:noProof/>
                <w:webHidden/>
              </w:rPr>
              <w:fldChar w:fldCharType="separate"/>
            </w:r>
            <w:r w:rsidR="003948FB">
              <w:rPr>
                <w:noProof/>
                <w:webHidden/>
              </w:rPr>
              <w:t>60</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81" w:history="1">
            <w:r w:rsidR="003948FB" w:rsidRPr="00E84FD5">
              <w:rPr>
                <w:rStyle w:val="Hyperlink"/>
                <w:noProof/>
              </w:rPr>
              <w:t>9.2.1 SMART Marketing Objectives</w:t>
            </w:r>
            <w:r w:rsidR="003948FB">
              <w:rPr>
                <w:noProof/>
                <w:webHidden/>
              </w:rPr>
              <w:tab/>
            </w:r>
            <w:r>
              <w:rPr>
                <w:noProof/>
                <w:webHidden/>
              </w:rPr>
              <w:fldChar w:fldCharType="begin"/>
            </w:r>
            <w:r w:rsidR="003948FB">
              <w:rPr>
                <w:noProof/>
                <w:webHidden/>
              </w:rPr>
              <w:instrText xml:space="preserve"> PAGEREF _Toc239815981 \h </w:instrText>
            </w:r>
            <w:r>
              <w:rPr>
                <w:noProof/>
                <w:webHidden/>
              </w:rPr>
            </w:r>
            <w:r>
              <w:rPr>
                <w:noProof/>
                <w:webHidden/>
              </w:rPr>
              <w:fldChar w:fldCharType="separate"/>
            </w:r>
            <w:r w:rsidR="003948FB">
              <w:rPr>
                <w:noProof/>
                <w:webHidden/>
              </w:rPr>
              <w:t>60</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82" w:history="1">
            <w:r w:rsidR="003948FB" w:rsidRPr="00E84FD5">
              <w:rPr>
                <w:rStyle w:val="Hyperlink"/>
                <w:noProof/>
              </w:rPr>
              <w:t>9.2.2 Segmentation, Targeting and Positioning</w:t>
            </w:r>
            <w:r w:rsidR="003948FB">
              <w:rPr>
                <w:noProof/>
                <w:webHidden/>
              </w:rPr>
              <w:tab/>
            </w:r>
            <w:r>
              <w:rPr>
                <w:noProof/>
                <w:webHidden/>
              </w:rPr>
              <w:fldChar w:fldCharType="begin"/>
            </w:r>
            <w:r w:rsidR="003948FB">
              <w:rPr>
                <w:noProof/>
                <w:webHidden/>
              </w:rPr>
              <w:instrText xml:space="preserve"> PAGEREF _Toc239815982 \h </w:instrText>
            </w:r>
            <w:r>
              <w:rPr>
                <w:noProof/>
                <w:webHidden/>
              </w:rPr>
            </w:r>
            <w:r>
              <w:rPr>
                <w:noProof/>
                <w:webHidden/>
              </w:rPr>
              <w:fldChar w:fldCharType="separate"/>
            </w:r>
            <w:r w:rsidR="003948FB">
              <w:rPr>
                <w:noProof/>
                <w:webHidden/>
              </w:rPr>
              <w:t>61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83" w:history="1">
            <w:r w:rsidR="003948FB" w:rsidRPr="00E84FD5">
              <w:rPr>
                <w:rStyle w:val="Hyperlink"/>
                <w:noProof/>
              </w:rPr>
              <w:t>9.2.3 Marketing Mix</w:t>
            </w:r>
            <w:r w:rsidR="003948FB">
              <w:rPr>
                <w:noProof/>
                <w:webHidden/>
              </w:rPr>
              <w:tab/>
            </w:r>
            <w:r>
              <w:rPr>
                <w:noProof/>
                <w:webHidden/>
              </w:rPr>
              <w:fldChar w:fldCharType="begin"/>
            </w:r>
            <w:r w:rsidR="003948FB">
              <w:rPr>
                <w:noProof/>
                <w:webHidden/>
              </w:rPr>
              <w:instrText xml:space="preserve"> PAGEREF _Toc239815983 \h </w:instrText>
            </w:r>
            <w:r>
              <w:rPr>
                <w:noProof/>
                <w:webHidden/>
              </w:rPr>
            </w:r>
            <w:r>
              <w:rPr>
                <w:noProof/>
                <w:webHidden/>
              </w:rPr>
              <w:fldChar w:fldCharType="separate"/>
            </w:r>
            <w:r w:rsidR="003948FB">
              <w:rPr>
                <w:noProof/>
                <w:webHidden/>
              </w:rPr>
              <w:t>64</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84" w:history="1">
            <w:r w:rsidR="003948FB" w:rsidRPr="00E84FD5">
              <w:rPr>
                <w:rStyle w:val="Hyperlink"/>
                <w:noProof/>
              </w:rPr>
              <w:t>9.2.4 Customer Acquisition Funnel</w:t>
            </w:r>
            <w:r w:rsidR="003948FB">
              <w:rPr>
                <w:noProof/>
                <w:webHidden/>
              </w:rPr>
              <w:tab/>
            </w:r>
            <w:r>
              <w:rPr>
                <w:noProof/>
                <w:webHidden/>
              </w:rPr>
              <w:fldChar w:fldCharType="begin"/>
            </w:r>
            <w:r w:rsidR="003948FB">
              <w:rPr>
                <w:noProof/>
                <w:webHidden/>
              </w:rPr>
              <w:instrText xml:space="preserve"> PAGEREF _Toc239815984 \h </w:instrText>
            </w:r>
            <w:r>
              <w:rPr>
                <w:noProof/>
                <w:webHidden/>
              </w:rPr>
            </w:r>
            <w:r>
              <w:rPr>
                <w:noProof/>
                <w:webHidden/>
              </w:rPr>
              <w:fldChar w:fldCharType="separate"/>
            </w:r>
            <w:r w:rsidR="003948FB">
              <w:rPr>
                <w:noProof/>
                <w:webHidden/>
              </w:rPr>
              <w:t>65</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85" w:history="1">
            <w:r w:rsidR="003948FB" w:rsidRPr="00E84FD5">
              <w:rPr>
                <w:rStyle w:val="Hyperlink"/>
                <w:noProof/>
              </w:rPr>
              <w:t>9.2.5 Marketing Budget and KPIs</w:t>
            </w:r>
            <w:r w:rsidR="003948FB">
              <w:rPr>
                <w:noProof/>
                <w:webHidden/>
              </w:rPr>
              <w:tab/>
            </w:r>
            <w:r>
              <w:rPr>
                <w:noProof/>
                <w:webHidden/>
              </w:rPr>
              <w:fldChar w:fldCharType="begin"/>
            </w:r>
            <w:r w:rsidR="003948FB">
              <w:rPr>
                <w:noProof/>
                <w:webHidden/>
              </w:rPr>
              <w:instrText xml:space="preserve"> PAGEREF _Toc239815985 \h </w:instrText>
            </w:r>
            <w:r>
              <w:rPr>
                <w:noProof/>
                <w:webHidden/>
              </w:rPr>
            </w:r>
            <w:r>
              <w:rPr>
                <w:noProof/>
                <w:webHidden/>
              </w:rPr>
              <w:fldChar w:fldCharType="separate"/>
            </w:r>
            <w:r w:rsidR="003948FB">
              <w:rPr>
                <w:noProof/>
                <w:webHidden/>
              </w:rPr>
              <w:t>66</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86" w:history="1">
            <w:r w:rsidR="003948FB" w:rsidRPr="00E84FD5">
              <w:rPr>
                <w:rStyle w:val="Hyperlink"/>
                <w:noProof/>
              </w:rPr>
              <w:t>9.3 Human Capital Management Plan</w:t>
            </w:r>
            <w:r w:rsidR="003948FB">
              <w:rPr>
                <w:noProof/>
                <w:webHidden/>
              </w:rPr>
              <w:tab/>
            </w:r>
            <w:r>
              <w:rPr>
                <w:noProof/>
                <w:webHidden/>
              </w:rPr>
              <w:fldChar w:fldCharType="begin"/>
            </w:r>
            <w:r w:rsidR="003948FB">
              <w:rPr>
                <w:noProof/>
                <w:webHidden/>
              </w:rPr>
              <w:instrText xml:space="preserve"> PAGEREF _Toc239815986 \h </w:instrText>
            </w:r>
            <w:r>
              <w:rPr>
                <w:noProof/>
                <w:webHidden/>
              </w:rPr>
            </w:r>
            <w:r>
              <w:rPr>
                <w:noProof/>
                <w:webHidden/>
              </w:rPr>
              <w:fldChar w:fldCharType="separate"/>
            </w:r>
            <w:r w:rsidR="003948FB">
              <w:rPr>
                <w:noProof/>
                <w:webHidden/>
              </w:rPr>
              <w:t>67</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87" w:history="1">
            <w:r w:rsidR="003948FB" w:rsidRPr="00E84FD5">
              <w:rPr>
                <w:rStyle w:val="Hyperlink"/>
                <w:noProof/>
              </w:rPr>
              <w:t>9.3.1 Organisational Structure</w:t>
            </w:r>
            <w:r w:rsidR="003948FB">
              <w:rPr>
                <w:noProof/>
                <w:webHidden/>
              </w:rPr>
              <w:tab/>
            </w:r>
            <w:r>
              <w:rPr>
                <w:noProof/>
                <w:webHidden/>
              </w:rPr>
              <w:fldChar w:fldCharType="begin"/>
            </w:r>
            <w:r w:rsidR="003948FB">
              <w:rPr>
                <w:noProof/>
                <w:webHidden/>
              </w:rPr>
              <w:instrText xml:space="preserve"> PAGEREF _Toc239815987 \h </w:instrText>
            </w:r>
            <w:r>
              <w:rPr>
                <w:noProof/>
                <w:webHidden/>
              </w:rPr>
            </w:r>
            <w:r>
              <w:rPr>
                <w:noProof/>
                <w:webHidden/>
              </w:rPr>
              <w:fldChar w:fldCharType="separate"/>
            </w:r>
            <w:r w:rsidR="003948FB">
              <w:rPr>
                <w:noProof/>
                <w:webHidden/>
              </w:rPr>
              <w:t>67</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88" w:history="1">
            <w:r w:rsidR="003948FB" w:rsidRPr="00E84FD5">
              <w:rPr>
                <w:rStyle w:val="Hyperlink"/>
                <w:noProof/>
              </w:rPr>
              <w:t>9.3.2 Staffing Requirements</w:t>
            </w:r>
            <w:r w:rsidR="003948FB">
              <w:rPr>
                <w:noProof/>
                <w:webHidden/>
              </w:rPr>
              <w:tab/>
            </w:r>
            <w:r>
              <w:rPr>
                <w:noProof/>
                <w:webHidden/>
              </w:rPr>
              <w:fldChar w:fldCharType="begin"/>
            </w:r>
            <w:r w:rsidR="003948FB">
              <w:rPr>
                <w:noProof/>
                <w:webHidden/>
              </w:rPr>
              <w:instrText xml:space="preserve"> PAGEREF _Toc239815988 \h </w:instrText>
            </w:r>
            <w:r>
              <w:rPr>
                <w:noProof/>
                <w:webHidden/>
              </w:rPr>
            </w:r>
            <w:r>
              <w:rPr>
                <w:noProof/>
                <w:webHidden/>
              </w:rPr>
              <w:fldChar w:fldCharType="separate"/>
            </w:r>
            <w:r w:rsidR="003948FB">
              <w:rPr>
                <w:noProof/>
                <w:webHidden/>
              </w:rPr>
              <w:t>67</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89" w:history="1">
            <w:r w:rsidR="003948FB" w:rsidRPr="00E84FD5">
              <w:rPr>
                <w:rStyle w:val="Hyperlink"/>
                <w:noProof/>
              </w:rPr>
              <w:t>9.3.3 Recruitment and Selection</w:t>
            </w:r>
            <w:r w:rsidR="003948FB">
              <w:rPr>
                <w:noProof/>
                <w:webHidden/>
              </w:rPr>
              <w:tab/>
            </w:r>
            <w:r>
              <w:rPr>
                <w:noProof/>
                <w:webHidden/>
              </w:rPr>
              <w:fldChar w:fldCharType="begin"/>
            </w:r>
            <w:r w:rsidR="003948FB">
              <w:rPr>
                <w:noProof/>
                <w:webHidden/>
              </w:rPr>
              <w:instrText xml:space="preserve"> PAGEREF _Toc239815989 \h </w:instrText>
            </w:r>
            <w:r>
              <w:rPr>
                <w:noProof/>
                <w:webHidden/>
              </w:rPr>
            </w:r>
            <w:r>
              <w:rPr>
                <w:noProof/>
                <w:webHidden/>
              </w:rPr>
              <w:fldChar w:fldCharType="separate"/>
            </w:r>
            <w:r w:rsidR="003948FB">
              <w:rPr>
                <w:noProof/>
                <w:webHidden/>
              </w:rPr>
              <w:t>67</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90" w:history="1">
            <w:r w:rsidR="003948FB" w:rsidRPr="00E84FD5">
              <w:rPr>
                <w:rStyle w:val="Hyperlink"/>
                <w:noProof/>
              </w:rPr>
              <w:t>9.3.4 Training and Development</w:t>
            </w:r>
            <w:r w:rsidR="003948FB">
              <w:rPr>
                <w:noProof/>
                <w:webHidden/>
              </w:rPr>
              <w:tab/>
            </w:r>
            <w:r>
              <w:rPr>
                <w:noProof/>
                <w:webHidden/>
              </w:rPr>
              <w:fldChar w:fldCharType="begin"/>
            </w:r>
            <w:r w:rsidR="003948FB">
              <w:rPr>
                <w:noProof/>
                <w:webHidden/>
              </w:rPr>
              <w:instrText xml:space="preserve"> PAGEREF _Toc239815990 \h </w:instrText>
            </w:r>
            <w:r>
              <w:rPr>
                <w:noProof/>
                <w:webHidden/>
              </w:rPr>
            </w:r>
            <w:r>
              <w:rPr>
                <w:noProof/>
                <w:webHidden/>
              </w:rPr>
              <w:fldChar w:fldCharType="separate"/>
            </w:r>
            <w:r w:rsidR="003948FB">
              <w:rPr>
                <w:noProof/>
                <w:webHidden/>
              </w:rPr>
              <w:t>67</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91" w:history="1">
            <w:r w:rsidR="003948FB" w:rsidRPr="00E84FD5">
              <w:rPr>
                <w:rStyle w:val="Hyperlink"/>
                <w:noProof/>
              </w:rPr>
              <w:t>9.3.5 Compensation and Labour Costs</w:t>
            </w:r>
            <w:r w:rsidR="003948FB">
              <w:rPr>
                <w:noProof/>
                <w:webHidden/>
              </w:rPr>
              <w:tab/>
            </w:r>
            <w:r>
              <w:rPr>
                <w:noProof/>
                <w:webHidden/>
              </w:rPr>
              <w:fldChar w:fldCharType="begin"/>
            </w:r>
            <w:r w:rsidR="003948FB">
              <w:rPr>
                <w:noProof/>
                <w:webHidden/>
              </w:rPr>
              <w:instrText xml:space="preserve"> PAGEREF _Toc239815991 \h </w:instrText>
            </w:r>
            <w:r>
              <w:rPr>
                <w:noProof/>
                <w:webHidden/>
              </w:rPr>
            </w:r>
            <w:r>
              <w:rPr>
                <w:noProof/>
                <w:webHidden/>
              </w:rPr>
              <w:fldChar w:fldCharType="separate"/>
            </w:r>
            <w:r w:rsidR="003948FB">
              <w:rPr>
                <w:noProof/>
                <w:webHidden/>
              </w:rPr>
              <w:t>68</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5992" w:history="1">
            <w:r w:rsidR="003948FB" w:rsidRPr="00E84FD5">
              <w:rPr>
                <w:rStyle w:val="Hyperlink"/>
                <w:noProof/>
              </w:rPr>
              <w:t>9.3.6 HR Policies and Compliance</w:t>
            </w:r>
            <w:r w:rsidR="003948FB">
              <w:rPr>
                <w:noProof/>
                <w:webHidden/>
              </w:rPr>
              <w:tab/>
            </w:r>
            <w:r>
              <w:rPr>
                <w:noProof/>
                <w:webHidden/>
              </w:rPr>
              <w:fldChar w:fldCharType="begin"/>
            </w:r>
            <w:r w:rsidR="003948FB">
              <w:rPr>
                <w:noProof/>
                <w:webHidden/>
              </w:rPr>
              <w:instrText xml:space="preserve"> PAGEREF _Toc239815992 \h </w:instrText>
            </w:r>
            <w:r>
              <w:rPr>
                <w:noProof/>
                <w:webHidden/>
              </w:rPr>
            </w:r>
            <w:r>
              <w:rPr>
                <w:noProof/>
                <w:webHidden/>
              </w:rPr>
              <w:fldChar w:fldCharType="separate"/>
            </w:r>
            <w:r w:rsidR="003948FB">
              <w:rPr>
                <w:noProof/>
                <w:webHidden/>
              </w:rPr>
              <w:t>68</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5993" w:history="1">
            <w:r w:rsidR="003948FB" w:rsidRPr="00E84FD5">
              <w:rPr>
                <w:rStyle w:val="Hyperlink"/>
                <w:noProof/>
              </w:rPr>
              <w:t>Chapter 10. Operations Plan</w:t>
            </w:r>
            <w:r w:rsidR="003948FB">
              <w:rPr>
                <w:noProof/>
                <w:webHidden/>
              </w:rPr>
              <w:tab/>
            </w:r>
            <w:r>
              <w:rPr>
                <w:noProof/>
                <w:webHidden/>
              </w:rPr>
              <w:fldChar w:fldCharType="begin"/>
            </w:r>
            <w:r w:rsidR="003948FB">
              <w:rPr>
                <w:noProof/>
                <w:webHidden/>
              </w:rPr>
              <w:instrText xml:space="preserve"> PAGEREF _Toc239815993 \h </w:instrText>
            </w:r>
            <w:r>
              <w:rPr>
                <w:noProof/>
                <w:webHidden/>
              </w:rPr>
            </w:r>
            <w:r>
              <w:rPr>
                <w:noProof/>
                <w:webHidden/>
              </w:rPr>
              <w:fldChar w:fldCharType="separate"/>
            </w:r>
            <w:r w:rsidR="003948FB">
              <w:rPr>
                <w:noProof/>
                <w:webHidden/>
              </w:rPr>
              <w:t>69</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94" w:history="1">
            <w:r w:rsidR="003948FB" w:rsidRPr="00E84FD5">
              <w:rPr>
                <w:rStyle w:val="Hyperlink"/>
                <w:noProof/>
              </w:rPr>
              <w:t>10.1 Operations Strategy</w:t>
            </w:r>
            <w:r w:rsidR="003948FB">
              <w:rPr>
                <w:noProof/>
                <w:webHidden/>
              </w:rPr>
              <w:tab/>
            </w:r>
            <w:r>
              <w:rPr>
                <w:noProof/>
                <w:webHidden/>
              </w:rPr>
              <w:fldChar w:fldCharType="begin"/>
            </w:r>
            <w:r w:rsidR="003948FB">
              <w:rPr>
                <w:noProof/>
                <w:webHidden/>
              </w:rPr>
              <w:instrText xml:space="preserve"> PAGEREF _Toc239815994 \h </w:instrText>
            </w:r>
            <w:r>
              <w:rPr>
                <w:noProof/>
                <w:webHidden/>
              </w:rPr>
            </w:r>
            <w:r>
              <w:rPr>
                <w:noProof/>
                <w:webHidden/>
              </w:rPr>
              <w:fldChar w:fldCharType="separate"/>
            </w:r>
            <w:r w:rsidR="003948FB">
              <w:rPr>
                <w:noProof/>
                <w:webHidden/>
              </w:rPr>
              <w:t>69</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95" w:history="1">
            <w:r w:rsidR="003948FB" w:rsidRPr="00E84FD5">
              <w:rPr>
                <w:rStyle w:val="Hyperlink"/>
                <w:noProof/>
              </w:rPr>
              <w:t>10.2 End-to-End Operational Workflow</w:t>
            </w:r>
            <w:r w:rsidR="003948FB">
              <w:rPr>
                <w:noProof/>
                <w:webHidden/>
              </w:rPr>
              <w:tab/>
            </w:r>
            <w:r>
              <w:rPr>
                <w:noProof/>
                <w:webHidden/>
              </w:rPr>
              <w:fldChar w:fldCharType="begin"/>
            </w:r>
            <w:r w:rsidR="003948FB">
              <w:rPr>
                <w:noProof/>
                <w:webHidden/>
              </w:rPr>
              <w:instrText xml:space="preserve"> PAGEREF _Toc239815995 \h </w:instrText>
            </w:r>
            <w:r>
              <w:rPr>
                <w:noProof/>
                <w:webHidden/>
              </w:rPr>
            </w:r>
            <w:r>
              <w:rPr>
                <w:noProof/>
                <w:webHidden/>
              </w:rPr>
              <w:fldChar w:fldCharType="separate"/>
            </w:r>
            <w:r w:rsidR="003948FB">
              <w:rPr>
                <w:noProof/>
                <w:webHidden/>
              </w:rPr>
              <w:t>69</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96" w:history="1">
            <w:r w:rsidR="003948FB" w:rsidRPr="00E84FD5">
              <w:rPr>
                <w:rStyle w:val="Hyperlink"/>
                <w:noProof/>
              </w:rPr>
              <w:t>10.3 Location Strategy</w:t>
            </w:r>
            <w:r w:rsidR="003948FB">
              <w:rPr>
                <w:noProof/>
                <w:webHidden/>
              </w:rPr>
              <w:tab/>
            </w:r>
            <w:r>
              <w:rPr>
                <w:noProof/>
                <w:webHidden/>
              </w:rPr>
              <w:fldChar w:fldCharType="begin"/>
            </w:r>
            <w:r w:rsidR="003948FB">
              <w:rPr>
                <w:noProof/>
                <w:webHidden/>
              </w:rPr>
              <w:instrText xml:space="preserve"> PAGEREF _Toc239815996 \h </w:instrText>
            </w:r>
            <w:r>
              <w:rPr>
                <w:noProof/>
                <w:webHidden/>
              </w:rPr>
            </w:r>
            <w:r>
              <w:rPr>
                <w:noProof/>
                <w:webHidden/>
              </w:rPr>
              <w:fldChar w:fldCharType="separate"/>
            </w:r>
            <w:r w:rsidR="003948FB">
              <w:rPr>
                <w:noProof/>
                <w:webHidden/>
              </w:rPr>
              <w:t>70</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97" w:history="1">
            <w:r w:rsidR="003948FB" w:rsidRPr="00E84FD5">
              <w:rPr>
                <w:rStyle w:val="Hyperlink"/>
                <w:noProof/>
              </w:rPr>
              <w:t>10.4 Supply Chain and Procurement</w:t>
            </w:r>
            <w:r w:rsidR="003948FB">
              <w:rPr>
                <w:noProof/>
                <w:webHidden/>
              </w:rPr>
              <w:tab/>
            </w:r>
            <w:r>
              <w:rPr>
                <w:noProof/>
                <w:webHidden/>
              </w:rPr>
              <w:fldChar w:fldCharType="begin"/>
            </w:r>
            <w:r w:rsidR="003948FB">
              <w:rPr>
                <w:noProof/>
                <w:webHidden/>
              </w:rPr>
              <w:instrText xml:space="preserve"> PAGEREF _Toc239815997 \h </w:instrText>
            </w:r>
            <w:r>
              <w:rPr>
                <w:noProof/>
                <w:webHidden/>
              </w:rPr>
            </w:r>
            <w:r>
              <w:rPr>
                <w:noProof/>
                <w:webHidden/>
              </w:rPr>
              <w:fldChar w:fldCharType="separate"/>
            </w:r>
            <w:r w:rsidR="003948FB">
              <w:rPr>
                <w:noProof/>
                <w:webHidden/>
              </w:rPr>
              <w:t>71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98" w:history="1">
            <w:r w:rsidR="003948FB" w:rsidRPr="00E84FD5">
              <w:rPr>
                <w:rStyle w:val="Hyperlink"/>
                <w:noProof/>
              </w:rPr>
              <w:t>10.5 Inventory Management</w:t>
            </w:r>
            <w:r w:rsidR="003948FB">
              <w:rPr>
                <w:noProof/>
                <w:webHidden/>
              </w:rPr>
              <w:tab/>
            </w:r>
            <w:r>
              <w:rPr>
                <w:noProof/>
                <w:webHidden/>
              </w:rPr>
              <w:fldChar w:fldCharType="begin"/>
            </w:r>
            <w:r w:rsidR="003948FB">
              <w:rPr>
                <w:noProof/>
                <w:webHidden/>
              </w:rPr>
              <w:instrText xml:space="preserve"> PAGEREF _Toc239815998 \h </w:instrText>
            </w:r>
            <w:r>
              <w:rPr>
                <w:noProof/>
                <w:webHidden/>
              </w:rPr>
            </w:r>
            <w:r>
              <w:rPr>
                <w:noProof/>
                <w:webHidden/>
              </w:rPr>
              <w:fldChar w:fldCharType="separate"/>
            </w:r>
            <w:r w:rsidR="003948FB">
              <w:rPr>
                <w:noProof/>
                <w:webHidden/>
              </w:rPr>
              <w:t>71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5999" w:history="1">
            <w:r w:rsidR="003948FB" w:rsidRPr="00E84FD5">
              <w:rPr>
                <w:rStyle w:val="Hyperlink"/>
                <w:noProof/>
              </w:rPr>
              <w:t>10.6 Technology Systems</w:t>
            </w:r>
            <w:r w:rsidR="003948FB">
              <w:rPr>
                <w:noProof/>
                <w:webHidden/>
              </w:rPr>
              <w:tab/>
            </w:r>
            <w:r>
              <w:rPr>
                <w:noProof/>
                <w:webHidden/>
              </w:rPr>
              <w:fldChar w:fldCharType="begin"/>
            </w:r>
            <w:r w:rsidR="003948FB">
              <w:rPr>
                <w:noProof/>
                <w:webHidden/>
              </w:rPr>
              <w:instrText xml:space="preserve"> PAGEREF _Toc239815999 \h </w:instrText>
            </w:r>
            <w:r>
              <w:rPr>
                <w:noProof/>
                <w:webHidden/>
              </w:rPr>
            </w:r>
            <w:r>
              <w:rPr>
                <w:noProof/>
                <w:webHidden/>
              </w:rPr>
              <w:fldChar w:fldCharType="separate"/>
            </w:r>
            <w:r w:rsidR="003948FB">
              <w:rPr>
                <w:noProof/>
                <w:webHidden/>
              </w:rPr>
              <w:t>71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00" w:history="1">
            <w:r w:rsidR="003948FB" w:rsidRPr="00E84FD5">
              <w:rPr>
                <w:rStyle w:val="Hyperlink"/>
                <w:noProof/>
              </w:rPr>
              <w:t>10.7 Quality Control</w:t>
            </w:r>
            <w:r w:rsidR="003948FB">
              <w:rPr>
                <w:noProof/>
                <w:webHidden/>
              </w:rPr>
              <w:tab/>
            </w:r>
            <w:r>
              <w:rPr>
                <w:noProof/>
                <w:webHidden/>
              </w:rPr>
              <w:fldChar w:fldCharType="begin"/>
            </w:r>
            <w:r w:rsidR="003948FB">
              <w:rPr>
                <w:noProof/>
                <w:webHidden/>
              </w:rPr>
              <w:instrText xml:space="preserve"> PAGEREF _Toc239816000 \h </w:instrText>
            </w:r>
            <w:r>
              <w:rPr>
                <w:noProof/>
                <w:webHidden/>
              </w:rPr>
            </w:r>
            <w:r>
              <w:rPr>
                <w:noProof/>
                <w:webHidden/>
              </w:rPr>
              <w:fldChar w:fldCharType="separate"/>
            </w:r>
            <w:r w:rsidR="003948FB">
              <w:rPr>
                <w:noProof/>
                <w:webHidden/>
              </w:rPr>
              <w:t>72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01" w:history="1">
            <w:r w:rsidR="003948FB" w:rsidRPr="00E84FD5">
              <w:rPr>
                <w:rStyle w:val="Hyperlink"/>
                <w:noProof/>
              </w:rPr>
              <w:t>10.8 Logistics and Distribution</w:t>
            </w:r>
            <w:r w:rsidR="003948FB">
              <w:rPr>
                <w:noProof/>
                <w:webHidden/>
              </w:rPr>
              <w:tab/>
            </w:r>
            <w:r>
              <w:rPr>
                <w:noProof/>
                <w:webHidden/>
              </w:rPr>
              <w:fldChar w:fldCharType="begin"/>
            </w:r>
            <w:r w:rsidR="003948FB">
              <w:rPr>
                <w:noProof/>
                <w:webHidden/>
              </w:rPr>
              <w:instrText xml:space="preserve"> PAGEREF _Toc239816001 \h </w:instrText>
            </w:r>
            <w:r>
              <w:rPr>
                <w:noProof/>
                <w:webHidden/>
              </w:rPr>
            </w:r>
            <w:r>
              <w:rPr>
                <w:noProof/>
                <w:webHidden/>
              </w:rPr>
              <w:fldChar w:fldCharType="separate"/>
            </w:r>
            <w:r w:rsidR="003948FB">
              <w:rPr>
                <w:noProof/>
                <w:webHidden/>
              </w:rPr>
              <w:t>72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02" w:history="1">
            <w:r w:rsidR="003948FB" w:rsidRPr="00E84FD5">
              <w:rPr>
                <w:rStyle w:val="Hyperlink"/>
                <w:noProof/>
              </w:rPr>
              <w:t>10.9 Legal and Regulatory Considerations</w:t>
            </w:r>
            <w:r w:rsidR="003948FB">
              <w:rPr>
                <w:noProof/>
                <w:webHidden/>
              </w:rPr>
              <w:tab/>
            </w:r>
            <w:r>
              <w:rPr>
                <w:noProof/>
                <w:webHidden/>
              </w:rPr>
              <w:fldChar w:fldCharType="begin"/>
            </w:r>
            <w:r w:rsidR="003948FB">
              <w:rPr>
                <w:noProof/>
                <w:webHidden/>
              </w:rPr>
              <w:instrText xml:space="preserve"> PAGEREF _Toc239816002 \h </w:instrText>
            </w:r>
            <w:r>
              <w:rPr>
                <w:noProof/>
                <w:webHidden/>
              </w:rPr>
            </w:r>
            <w:r>
              <w:rPr>
                <w:noProof/>
                <w:webHidden/>
              </w:rPr>
              <w:fldChar w:fldCharType="separate"/>
            </w:r>
            <w:r w:rsidR="003948FB">
              <w:rPr>
                <w:noProof/>
                <w:webHidden/>
              </w:rPr>
              <w:t>73</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6003" w:history="1">
            <w:r w:rsidR="003948FB" w:rsidRPr="00E84FD5">
              <w:rPr>
                <w:rStyle w:val="Hyperlink"/>
                <w:noProof/>
              </w:rPr>
              <w:t>Chapter 11. Feasibility Analysis</w:t>
            </w:r>
            <w:r w:rsidR="003948FB">
              <w:rPr>
                <w:noProof/>
                <w:webHidden/>
              </w:rPr>
              <w:tab/>
            </w:r>
            <w:r>
              <w:rPr>
                <w:noProof/>
                <w:webHidden/>
              </w:rPr>
              <w:fldChar w:fldCharType="begin"/>
            </w:r>
            <w:r w:rsidR="003948FB">
              <w:rPr>
                <w:noProof/>
                <w:webHidden/>
              </w:rPr>
              <w:instrText xml:space="preserve"> PAGEREF _Toc239816003 \h </w:instrText>
            </w:r>
            <w:r>
              <w:rPr>
                <w:noProof/>
                <w:webHidden/>
              </w:rPr>
            </w:r>
            <w:r>
              <w:rPr>
                <w:noProof/>
                <w:webHidden/>
              </w:rPr>
              <w:fldChar w:fldCharType="separate"/>
            </w:r>
            <w:r w:rsidR="003948FB">
              <w:rPr>
                <w:noProof/>
                <w:webHidden/>
              </w:rPr>
              <w:t>74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04" w:history="1">
            <w:r w:rsidR="003948FB" w:rsidRPr="00E84FD5">
              <w:rPr>
                <w:rStyle w:val="Hyperlink"/>
                <w:noProof/>
              </w:rPr>
              <w:t>11.1 Market Feasibility based on Decision Criteria</w:t>
            </w:r>
            <w:r w:rsidR="003948FB">
              <w:rPr>
                <w:noProof/>
                <w:webHidden/>
              </w:rPr>
              <w:tab/>
            </w:r>
            <w:r>
              <w:rPr>
                <w:noProof/>
                <w:webHidden/>
              </w:rPr>
              <w:fldChar w:fldCharType="begin"/>
            </w:r>
            <w:r w:rsidR="003948FB">
              <w:rPr>
                <w:noProof/>
                <w:webHidden/>
              </w:rPr>
              <w:instrText xml:space="preserve"> PAGEREF _Toc239816004 \h </w:instrText>
            </w:r>
            <w:r>
              <w:rPr>
                <w:noProof/>
                <w:webHidden/>
              </w:rPr>
            </w:r>
            <w:r>
              <w:rPr>
                <w:noProof/>
                <w:webHidden/>
              </w:rPr>
              <w:fldChar w:fldCharType="separate"/>
            </w:r>
            <w:r w:rsidR="003948FB">
              <w:rPr>
                <w:noProof/>
                <w:webHidden/>
              </w:rPr>
              <w:t>74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05" w:history="1">
            <w:r w:rsidR="003948FB" w:rsidRPr="00E84FD5">
              <w:rPr>
                <w:rStyle w:val="Hyperlink"/>
                <w:noProof/>
              </w:rPr>
              <w:t>11.2 Ethical and market feasibility</w:t>
            </w:r>
            <w:r w:rsidR="003948FB">
              <w:rPr>
                <w:noProof/>
                <w:webHidden/>
              </w:rPr>
              <w:tab/>
            </w:r>
            <w:r>
              <w:rPr>
                <w:noProof/>
                <w:webHidden/>
              </w:rPr>
              <w:fldChar w:fldCharType="begin"/>
            </w:r>
            <w:r w:rsidR="003948FB">
              <w:rPr>
                <w:noProof/>
                <w:webHidden/>
              </w:rPr>
              <w:instrText xml:space="preserve"> PAGEREF _Toc239816005 \h </w:instrText>
            </w:r>
            <w:r>
              <w:rPr>
                <w:noProof/>
                <w:webHidden/>
              </w:rPr>
            </w:r>
            <w:r>
              <w:rPr>
                <w:noProof/>
                <w:webHidden/>
              </w:rPr>
              <w:fldChar w:fldCharType="separate"/>
            </w:r>
            <w:r w:rsidR="003948FB">
              <w:rPr>
                <w:noProof/>
                <w:webHidden/>
              </w:rPr>
              <w:t>74</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6006" w:history="1">
            <w:r w:rsidR="003948FB" w:rsidRPr="00E84FD5">
              <w:rPr>
                <w:rStyle w:val="Hyperlink"/>
                <w:noProof/>
              </w:rPr>
              <w:t>11.2.1 Market Feasibility</w:t>
            </w:r>
            <w:r w:rsidR="003948FB">
              <w:rPr>
                <w:noProof/>
                <w:webHidden/>
              </w:rPr>
              <w:tab/>
            </w:r>
            <w:r>
              <w:rPr>
                <w:noProof/>
                <w:webHidden/>
              </w:rPr>
              <w:fldChar w:fldCharType="begin"/>
            </w:r>
            <w:r w:rsidR="003948FB">
              <w:rPr>
                <w:noProof/>
                <w:webHidden/>
              </w:rPr>
              <w:instrText xml:space="preserve"> PAGEREF _Toc239816006 \h </w:instrText>
            </w:r>
            <w:r>
              <w:rPr>
                <w:noProof/>
                <w:webHidden/>
              </w:rPr>
            </w:r>
            <w:r>
              <w:rPr>
                <w:noProof/>
                <w:webHidden/>
              </w:rPr>
              <w:fldChar w:fldCharType="separate"/>
            </w:r>
            <w:r w:rsidR="003948FB">
              <w:rPr>
                <w:noProof/>
                <w:webHidden/>
              </w:rPr>
              <w:t>74</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6007" w:history="1">
            <w:r w:rsidR="003948FB" w:rsidRPr="00E84FD5">
              <w:rPr>
                <w:rStyle w:val="Hyperlink"/>
                <w:noProof/>
              </w:rPr>
              <w:t>11.2.2 Ethical Feasibility</w:t>
            </w:r>
            <w:r w:rsidR="003948FB">
              <w:rPr>
                <w:noProof/>
                <w:webHidden/>
              </w:rPr>
              <w:tab/>
            </w:r>
            <w:r>
              <w:rPr>
                <w:noProof/>
                <w:webHidden/>
              </w:rPr>
              <w:fldChar w:fldCharType="begin"/>
            </w:r>
            <w:r w:rsidR="003948FB">
              <w:rPr>
                <w:noProof/>
                <w:webHidden/>
              </w:rPr>
              <w:instrText xml:space="preserve"> PAGEREF _Toc239816007 \h </w:instrText>
            </w:r>
            <w:r>
              <w:rPr>
                <w:noProof/>
                <w:webHidden/>
              </w:rPr>
            </w:r>
            <w:r>
              <w:rPr>
                <w:noProof/>
                <w:webHidden/>
              </w:rPr>
              <w:fldChar w:fldCharType="separate"/>
            </w:r>
            <w:r w:rsidR="003948FB">
              <w:rPr>
                <w:noProof/>
                <w:webHidden/>
              </w:rPr>
              <w:t>74</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08" w:history="1">
            <w:r w:rsidR="003948FB" w:rsidRPr="00E84FD5">
              <w:rPr>
                <w:rStyle w:val="Hyperlink"/>
                <w:noProof/>
              </w:rPr>
              <w:t>11.3 Operational and Technical Feasibility</w:t>
            </w:r>
            <w:r w:rsidR="003948FB">
              <w:rPr>
                <w:noProof/>
                <w:webHidden/>
              </w:rPr>
              <w:tab/>
            </w:r>
            <w:r>
              <w:rPr>
                <w:noProof/>
                <w:webHidden/>
              </w:rPr>
              <w:fldChar w:fldCharType="begin"/>
            </w:r>
            <w:r w:rsidR="003948FB">
              <w:rPr>
                <w:noProof/>
                <w:webHidden/>
              </w:rPr>
              <w:instrText xml:space="preserve"> PAGEREF _Toc239816008 \h </w:instrText>
            </w:r>
            <w:r>
              <w:rPr>
                <w:noProof/>
                <w:webHidden/>
              </w:rPr>
            </w:r>
            <w:r>
              <w:rPr>
                <w:noProof/>
                <w:webHidden/>
              </w:rPr>
              <w:fldChar w:fldCharType="separate"/>
            </w:r>
            <w:r w:rsidR="003948FB">
              <w:rPr>
                <w:noProof/>
                <w:webHidden/>
              </w:rPr>
              <w:t>75</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09" w:history="1">
            <w:r w:rsidR="003948FB" w:rsidRPr="00E84FD5">
              <w:rPr>
                <w:rStyle w:val="Hyperlink"/>
                <w:noProof/>
              </w:rPr>
              <w:t>11.4 Financial Feasibility</w:t>
            </w:r>
            <w:r w:rsidR="003948FB">
              <w:rPr>
                <w:noProof/>
                <w:webHidden/>
              </w:rPr>
              <w:tab/>
            </w:r>
            <w:r>
              <w:rPr>
                <w:noProof/>
                <w:webHidden/>
              </w:rPr>
              <w:fldChar w:fldCharType="begin"/>
            </w:r>
            <w:r w:rsidR="003948FB">
              <w:rPr>
                <w:noProof/>
                <w:webHidden/>
              </w:rPr>
              <w:instrText xml:space="preserve"> PAGEREF _Toc239816009 \h </w:instrText>
            </w:r>
            <w:r>
              <w:rPr>
                <w:noProof/>
                <w:webHidden/>
              </w:rPr>
            </w:r>
            <w:r>
              <w:rPr>
                <w:noProof/>
                <w:webHidden/>
              </w:rPr>
              <w:fldChar w:fldCharType="separate"/>
            </w:r>
            <w:r w:rsidR="003948FB">
              <w:rPr>
                <w:noProof/>
                <w:webHidden/>
              </w:rPr>
              <w:t>75</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10" w:history="1">
            <w:r w:rsidR="003948FB" w:rsidRPr="00E84FD5">
              <w:rPr>
                <w:rStyle w:val="Hyperlink"/>
                <w:noProof/>
              </w:rPr>
              <w:t>11.5 Strategic Fit, risks and mitigation</w:t>
            </w:r>
            <w:r w:rsidR="003948FB">
              <w:rPr>
                <w:noProof/>
                <w:webHidden/>
              </w:rPr>
              <w:tab/>
            </w:r>
            <w:r>
              <w:rPr>
                <w:noProof/>
                <w:webHidden/>
              </w:rPr>
              <w:fldChar w:fldCharType="begin"/>
            </w:r>
            <w:r w:rsidR="003948FB">
              <w:rPr>
                <w:noProof/>
                <w:webHidden/>
              </w:rPr>
              <w:instrText xml:space="preserve"> PAGEREF _Toc239816010 \h </w:instrText>
            </w:r>
            <w:r>
              <w:rPr>
                <w:noProof/>
                <w:webHidden/>
              </w:rPr>
            </w:r>
            <w:r>
              <w:rPr>
                <w:noProof/>
                <w:webHidden/>
              </w:rPr>
              <w:fldChar w:fldCharType="separate"/>
            </w:r>
            <w:r w:rsidR="003948FB">
              <w:rPr>
                <w:noProof/>
                <w:webHidden/>
              </w:rPr>
              <w:t>77</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11" w:history="1">
            <w:r w:rsidR="003948FB" w:rsidRPr="00E84FD5">
              <w:rPr>
                <w:rStyle w:val="Hyperlink"/>
                <w:noProof/>
              </w:rPr>
              <w:t>11.6 Integrated Viability judgement</w:t>
            </w:r>
            <w:r w:rsidR="003948FB">
              <w:rPr>
                <w:noProof/>
                <w:webHidden/>
              </w:rPr>
              <w:tab/>
            </w:r>
            <w:r>
              <w:rPr>
                <w:noProof/>
                <w:webHidden/>
              </w:rPr>
              <w:fldChar w:fldCharType="begin"/>
            </w:r>
            <w:r w:rsidR="003948FB">
              <w:rPr>
                <w:noProof/>
                <w:webHidden/>
              </w:rPr>
              <w:instrText xml:space="preserve"> PAGEREF _Toc239816011 \h </w:instrText>
            </w:r>
            <w:r>
              <w:rPr>
                <w:noProof/>
                <w:webHidden/>
              </w:rPr>
            </w:r>
            <w:r>
              <w:rPr>
                <w:noProof/>
                <w:webHidden/>
              </w:rPr>
              <w:fldChar w:fldCharType="separate"/>
            </w:r>
            <w:r w:rsidR="003948FB">
              <w:rPr>
                <w:noProof/>
                <w:webHidden/>
              </w:rPr>
              <w:t>78</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6012" w:history="1">
            <w:r w:rsidR="003948FB" w:rsidRPr="00E84FD5">
              <w:rPr>
                <w:rStyle w:val="Hyperlink"/>
                <w:noProof/>
              </w:rPr>
              <w:t>Chapter 12. Implementation Plan</w:t>
            </w:r>
            <w:r w:rsidR="003948FB">
              <w:rPr>
                <w:noProof/>
                <w:webHidden/>
              </w:rPr>
              <w:tab/>
            </w:r>
            <w:r>
              <w:rPr>
                <w:noProof/>
                <w:webHidden/>
              </w:rPr>
              <w:fldChar w:fldCharType="begin"/>
            </w:r>
            <w:r w:rsidR="003948FB">
              <w:rPr>
                <w:noProof/>
                <w:webHidden/>
              </w:rPr>
              <w:instrText xml:space="preserve"> PAGEREF _Toc239816012 \h </w:instrText>
            </w:r>
            <w:r>
              <w:rPr>
                <w:noProof/>
                <w:webHidden/>
              </w:rPr>
            </w:r>
            <w:r>
              <w:rPr>
                <w:noProof/>
                <w:webHidden/>
              </w:rPr>
              <w:fldChar w:fldCharType="separate"/>
            </w:r>
            <w:r w:rsidR="003948FB">
              <w:rPr>
                <w:noProof/>
                <w:webHidden/>
              </w:rPr>
              <w:t>79</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13" w:history="1">
            <w:r w:rsidR="003948FB" w:rsidRPr="00E84FD5">
              <w:rPr>
                <w:rStyle w:val="Hyperlink"/>
                <w:noProof/>
              </w:rPr>
              <w:t>12.1 Implementation Approach and Launch Phases</w:t>
            </w:r>
            <w:r w:rsidR="003948FB">
              <w:rPr>
                <w:noProof/>
                <w:webHidden/>
              </w:rPr>
              <w:tab/>
            </w:r>
            <w:r>
              <w:rPr>
                <w:noProof/>
                <w:webHidden/>
              </w:rPr>
              <w:fldChar w:fldCharType="begin"/>
            </w:r>
            <w:r w:rsidR="003948FB">
              <w:rPr>
                <w:noProof/>
                <w:webHidden/>
              </w:rPr>
              <w:instrText xml:space="preserve"> PAGEREF _Toc239816013 \h </w:instrText>
            </w:r>
            <w:r>
              <w:rPr>
                <w:noProof/>
                <w:webHidden/>
              </w:rPr>
            </w:r>
            <w:r>
              <w:rPr>
                <w:noProof/>
                <w:webHidden/>
              </w:rPr>
              <w:fldChar w:fldCharType="separate"/>
            </w:r>
            <w:r w:rsidR="003948FB">
              <w:rPr>
                <w:noProof/>
                <w:webHidden/>
              </w:rPr>
              <w:t>79</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6014" w:history="1">
            <w:r w:rsidR="003948FB" w:rsidRPr="00E84FD5">
              <w:rPr>
                <w:rStyle w:val="Hyperlink"/>
                <w:noProof/>
              </w:rPr>
              <w:t>12.1.1 Phase 1: Preparation — Months 1–2</w:t>
            </w:r>
            <w:r w:rsidR="003948FB">
              <w:rPr>
                <w:noProof/>
                <w:webHidden/>
              </w:rPr>
              <w:tab/>
            </w:r>
            <w:r>
              <w:rPr>
                <w:noProof/>
                <w:webHidden/>
              </w:rPr>
              <w:fldChar w:fldCharType="begin"/>
            </w:r>
            <w:r w:rsidR="003948FB">
              <w:rPr>
                <w:noProof/>
                <w:webHidden/>
              </w:rPr>
              <w:instrText xml:space="preserve"> PAGEREF _Toc239816014 \h </w:instrText>
            </w:r>
            <w:r>
              <w:rPr>
                <w:noProof/>
                <w:webHidden/>
              </w:rPr>
            </w:r>
            <w:r>
              <w:rPr>
                <w:noProof/>
                <w:webHidden/>
              </w:rPr>
              <w:fldChar w:fldCharType="separate"/>
            </w:r>
            <w:r w:rsidR="003948FB">
              <w:rPr>
                <w:noProof/>
                <w:webHidden/>
              </w:rPr>
              <w:t>79</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6015" w:history="1">
            <w:r w:rsidR="003948FB" w:rsidRPr="00E84FD5">
              <w:rPr>
                <w:rStyle w:val="Hyperlink"/>
                <w:noProof/>
              </w:rPr>
              <w:t>12.1.2 Phase 2: Pilot — Months 3–4</w:t>
            </w:r>
            <w:r w:rsidR="003948FB">
              <w:rPr>
                <w:noProof/>
                <w:webHidden/>
              </w:rPr>
              <w:tab/>
            </w:r>
            <w:r>
              <w:rPr>
                <w:noProof/>
                <w:webHidden/>
              </w:rPr>
              <w:fldChar w:fldCharType="begin"/>
            </w:r>
            <w:r w:rsidR="003948FB">
              <w:rPr>
                <w:noProof/>
                <w:webHidden/>
              </w:rPr>
              <w:instrText xml:space="preserve"> PAGEREF _Toc239816015 \h </w:instrText>
            </w:r>
            <w:r>
              <w:rPr>
                <w:noProof/>
                <w:webHidden/>
              </w:rPr>
            </w:r>
            <w:r>
              <w:rPr>
                <w:noProof/>
                <w:webHidden/>
              </w:rPr>
              <w:fldChar w:fldCharType="separate"/>
            </w:r>
            <w:r w:rsidR="003948FB">
              <w:rPr>
                <w:noProof/>
                <w:webHidden/>
              </w:rPr>
              <w:t>79</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6016" w:history="1">
            <w:r w:rsidR="003948FB" w:rsidRPr="00E84FD5">
              <w:rPr>
                <w:rStyle w:val="Hyperlink"/>
                <w:noProof/>
              </w:rPr>
              <w:t>12.1.3 Phase 3: Commercial Launch — Months 5–6</w:t>
            </w:r>
            <w:r w:rsidR="003948FB">
              <w:rPr>
                <w:noProof/>
                <w:webHidden/>
              </w:rPr>
              <w:tab/>
            </w:r>
            <w:r>
              <w:rPr>
                <w:noProof/>
                <w:webHidden/>
              </w:rPr>
              <w:fldChar w:fldCharType="begin"/>
            </w:r>
            <w:r w:rsidR="003948FB">
              <w:rPr>
                <w:noProof/>
                <w:webHidden/>
              </w:rPr>
              <w:instrText xml:space="preserve"> PAGEREF _Toc239816016 \h </w:instrText>
            </w:r>
            <w:r>
              <w:rPr>
                <w:noProof/>
                <w:webHidden/>
              </w:rPr>
            </w:r>
            <w:r>
              <w:rPr>
                <w:noProof/>
                <w:webHidden/>
              </w:rPr>
              <w:fldChar w:fldCharType="separate"/>
            </w:r>
            <w:r w:rsidR="003948FB">
              <w:rPr>
                <w:noProof/>
                <w:webHidden/>
              </w:rPr>
              <w:t>79</w:t>
            </w:r>
            <w:r>
              <w:rPr>
                <w:noProof/>
                <w:webHidden/>
              </w:rPr>
              <w:fldChar w:fldCharType="end"/>
            </w:r>
          </w:hyperlink>
        </w:p>
        <w:p w:rsidR="003948FB" w:rsidRDefault="002C72D7">
          <w:pPr>
            <w:pStyle w:val="TOC3"/>
            <w:tabs>
              <w:tab w:val="right" w:leader="dot" w:pos="9350"/>
            </w:tabs>
            <w:rPr>
              <w:rFonts w:asciiTheme="minorHAnsi" w:eastAsiaTheme="minorEastAsia" w:hAnsiTheme="minorHAnsi" w:cstheme="minorBidi"/>
              <w:noProof/>
              <w:sz w:val="22"/>
              <w:szCs w:val="22"/>
              <w:lang w:eastAsia="en-US"/>
            </w:rPr>
          </w:pPr>
          <w:hyperlink w:anchor="_Toc239816017" w:history="1">
            <w:r w:rsidR="003948FB" w:rsidRPr="00E84FD5">
              <w:rPr>
                <w:rStyle w:val="Hyperlink"/>
                <w:noProof/>
              </w:rPr>
              <w:t>12.1.4 Phase 4: Growth — Months 7–12</w:t>
            </w:r>
            <w:r w:rsidR="003948FB">
              <w:rPr>
                <w:noProof/>
                <w:webHidden/>
              </w:rPr>
              <w:tab/>
            </w:r>
            <w:r>
              <w:rPr>
                <w:noProof/>
                <w:webHidden/>
              </w:rPr>
              <w:fldChar w:fldCharType="begin"/>
            </w:r>
            <w:r w:rsidR="003948FB">
              <w:rPr>
                <w:noProof/>
                <w:webHidden/>
              </w:rPr>
              <w:instrText xml:space="preserve"> PAGEREF _Toc239816017 \h </w:instrText>
            </w:r>
            <w:r>
              <w:rPr>
                <w:noProof/>
                <w:webHidden/>
              </w:rPr>
            </w:r>
            <w:r>
              <w:rPr>
                <w:noProof/>
                <w:webHidden/>
              </w:rPr>
              <w:fldChar w:fldCharType="separate"/>
            </w:r>
            <w:r w:rsidR="003948FB">
              <w:rPr>
                <w:noProof/>
                <w:webHidden/>
              </w:rPr>
              <w:t>80</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18" w:history="1">
            <w:r w:rsidR="003948FB" w:rsidRPr="00E84FD5">
              <w:rPr>
                <w:rStyle w:val="Hyperlink"/>
                <w:noProof/>
              </w:rPr>
              <w:t>12.2 Milestones and Timeline</w:t>
            </w:r>
            <w:r w:rsidR="003948FB">
              <w:rPr>
                <w:noProof/>
                <w:webHidden/>
              </w:rPr>
              <w:tab/>
            </w:r>
            <w:r>
              <w:rPr>
                <w:noProof/>
                <w:webHidden/>
              </w:rPr>
              <w:fldChar w:fldCharType="begin"/>
            </w:r>
            <w:r w:rsidR="003948FB">
              <w:rPr>
                <w:noProof/>
                <w:webHidden/>
              </w:rPr>
              <w:instrText xml:space="preserve"> PAGEREF _Toc239816018 \h </w:instrText>
            </w:r>
            <w:r>
              <w:rPr>
                <w:noProof/>
                <w:webHidden/>
              </w:rPr>
            </w:r>
            <w:r>
              <w:rPr>
                <w:noProof/>
                <w:webHidden/>
              </w:rPr>
              <w:fldChar w:fldCharType="separate"/>
            </w:r>
            <w:r w:rsidR="003948FB">
              <w:rPr>
                <w:noProof/>
                <w:webHidden/>
              </w:rPr>
              <w:t>80</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19" w:history="1">
            <w:r w:rsidR="003948FB" w:rsidRPr="00E84FD5">
              <w:rPr>
                <w:rStyle w:val="Hyperlink"/>
                <w:noProof/>
              </w:rPr>
              <w:t>12.3 Resource Allocation and Priorities</w:t>
            </w:r>
            <w:r w:rsidR="003948FB">
              <w:rPr>
                <w:noProof/>
                <w:webHidden/>
              </w:rPr>
              <w:tab/>
            </w:r>
            <w:r>
              <w:rPr>
                <w:noProof/>
                <w:webHidden/>
              </w:rPr>
              <w:fldChar w:fldCharType="begin"/>
            </w:r>
            <w:r w:rsidR="003948FB">
              <w:rPr>
                <w:noProof/>
                <w:webHidden/>
              </w:rPr>
              <w:instrText xml:space="preserve"> PAGEREF _Toc239816019 \h </w:instrText>
            </w:r>
            <w:r>
              <w:rPr>
                <w:noProof/>
                <w:webHidden/>
              </w:rPr>
            </w:r>
            <w:r>
              <w:rPr>
                <w:noProof/>
                <w:webHidden/>
              </w:rPr>
              <w:fldChar w:fldCharType="separate"/>
            </w:r>
            <w:r w:rsidR="003948FB">
              <w:rPr>
                <w:noProof/>
                <w:webHidden/>
              </w:rPr>
              <w:t>81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20" w:history="1">
            <w:r w:rsidR="003948FB" w:rsidRPr="00E84FD5">
              <w:rPr>
                <w:rStyle w:val="Hyperlink"/>
                <w:noProof/>
              </w:rPr>
              <w:t>12.4 KPIs and Control</w:t>
            </w:r>
            <w:r w:rsidR="003948FB">
              <w:rPr>
                <w:noProof/>
                <w:webHidden/>
              </w:rPr>
              <w:tab/>
            </w:r>
            <w:r>
              <w:rPr>
                <w:noProof/>
                <w:webHidden/>
              </w:rPr>
              <w:fldChar w:fldCharType="begin"/>
            </w:r>
            <w:r w:rsidR="003948FB">
              <w:rPr>
                <w:noProof/>
                <w:webHidden/>
              </w:rPr>
              <w:instrText xml:space="preserve"> PAGEREF _Toc239816020 \h </w:instrText>
            </w:r>
            <w:r>
              <w:rPr>
                <w:noProof/>
                <w:webHidden/>
              </w:rPr>
            </w:r>
            <w:r>
              <w:rPr>
                <w:noProof/>
                <w:webHidden/>
              </w:rPr>
              <w:fldChar w:fldCharType="separate"/>
            </w:r>
            <w:r w:rsidR="003948FB">
              <w:rPr>
                <w:noProof/>
                <w:webHidden/>
              </w:rPr>
              <w:t>81</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21" w:history="1">
            <w:r w:rsidR="003948FB" w:rsidRPr="00E84FD5">
              <w:rPr>
                <w:rStyle w:val="Hyperlink"/>
                <w:noProof/>
              </w:rPr>
              <w:t>12.5 Change Management and Implementation Risks</w:t>
            </w:r>
            <w:r w:rsidR="003948FB">
              <w:rPr>
                <w:noProof/>
                <w:webHidden/>
              </w:rPr>
              <w:tab/>
            </w:r>
            <w:r>
              <w:rPr>
                <w:noProof/>
                <w:webHidden/>
              </w:rPr>
              <w:fldChar w:fldCharType="begin"/>
            </w:r>
            <w:r w:rsidR="003948FB">
              <w:rPr>
                <w:noProof/>
                <w:webHidden/>
              </w:rPr>
              <w:instrText xml:space="preserve"> PAGEREF _Toc239816021 \h </w:instrText>
            </w:r>
            <w:r>
              <w:rPr>
                <w:noProof/>
                <w:webHidden/>
              </w:rPr>
            </w:r>
            <w:r>
              <w:rPr>
                <w:noProof/>
                <w:webHidden/>
              </w:rPr>
              <w:fldChar w:fldCharType="separate"/>
            </w:r>
            <w:r w:rsidR="003948FB">
              <w:rPr>
                <w:noProof/>
                <w:webHidden/>
              </w:rPr>
              <w:t>82</w:t>
            </w:r>
            <w:r>
              <w:rPr>
                <w:noProof/>
                <w:webHidden/>
              </w:rPr>
              <w:fldChar w:fldCharType="end"/>
            </w:r>
          </w:hyperlink>
        </w:p>
        <w:p w:rsidR="003948FB" w:rsidRDefault="002C72D7">
          <w:pPr>
            <w:pStyle w:val="TOC2"/>
            <w:tabs>
              <w:tab w:val="right" w:leader="dot" w:pos="9350"/>
            </w:tabs>
            <w:rPr>
              <w:rFonts w:asciiTheme="minorHAnsi" w:eastAsiaTheme="minorEastAsia" w:hAnsiTheme="minorHAnsi" w:cstheme="minorBidi"/>
              <w:noProof/>
              <w:sz w:val="22"/>
              <w:szCs w:val="22"/>
              <w:lang w:eastAsia="en-US"/>
            </w:rPr>
          </w:pPr>
          <w:hyperlink w:anchor="_Toc239816022" w:history="1">
            <w:r w:rsidR="003948FB" w:rsidRPr="00E84FD5">
              <w:rPr>
                <w:rStyle w:val="Hyperlink"/>
                <w:noProof/>
              </w:rPr>
              <w:t>12.6 Implementation Readiness Summary</w:t>
            </w:r>
            <w:r w:rsidR="003948FB">
              <w:rPr>
                <w:noProof/>
                <w:webHidden/>
              </w:rPr>
              <w:tab/>
            </w:r>
            <w:r>
              <w:rPr>
                <w:noProof/>
                <w:webHidden/>
              </w:rPr>
              <w:fldChar w:fldCharType="begin"/>
            </w:r>
            <w:r w:rsidR="003948FB">
              <w:rPr>
                <w:noProof/>
                <w:webHidden/>
              </w:rPr>
              <w:instrText xml:space="preserve"> PAGEREF _Toc239816022 \h </w:instrText>
            </w:r>
            <w:r>
              <w:rPr>
                <w:noProof/>
                <w:webHidden/>
              </w:rPr>
            </w:r>
            <w:r>
              <w:rPr>
                <w:noProof/>
                <w:webHidden/>
              </w:rPr>
              <w:fldChar w:fldCharType="separate"/>
            </w:r>
            <w:r w:rsidR="003948FB">
              <w:rPr>
                <w:noProof/>
                <w:webHidden/>
              </w:rPr>
              <w:t>83</w:t>
            </w:r>
            <w:r>
              <w:rPr>
                <w:noProof/>
                <w:webHidden/>
              </w:rPr>
              <w:fldChar w:fldCharType="end"/>
            </w:r>
          </w:hyperlink>
        </w:p>
        <w:p w:rsidR="003948FB" w:rsidRDefault="002C72D7">
          <w:pPr>
            <w:pStyle w:val="TOC1"/>
            <w:tabs>
              <w:tab w:val="right" w:leader="dot" w:pos="9350"/>
            </w:tabs>
            <w:rPr>
              <w:rFonts w:asciiTheme="minorHAnsi" w:eastAsiaTheme="minorEastAsia" w:hAnsiTheme="minorHAnsi" w:cstheme="minorBidi"/>
              <w:noProof/>
              <w:sz w:val="22"/>
              <w:szCs w:val="22"/>
              <w:lang w:eastAsia="en-US"/>
            </w:rPr>
          </w:pPr>
          <w:hyperlink w:anchor="_Toc239816023" w:history="1">
            <w:r w:rsidR="003948FB" w:rsidRPr="00E84FD5">
              <w:rPr>
                <w:rStyle w:val="Hyperlink"/>
                <w:noProof/>
              </w:rPr>
              <w:t>References</w:t>
            </w:r>
            <w:r w:rsidR="003948FB">
              <w:rPr>
                <w:noProof/>
                <w:webHidden/>
              </w:rPr>
              <w:tab/>
            </w:r>
            <w:r>
              <w:rPr>
                <w:noProof/>
                <w:webHidden/>
              </w:rPr>
              <w:fldChar w:fldCharType="begin"/>
            </w:r>
            <w:r w:rsidR="003948FB">
              <w:rPr>
                <w:noProof/>
                <w:webHidden/>
              </w:rPr>
              <w:instrText xml:space="preserve"> PAGEREF _Toc239816023 \h </w:instrText>
            </w:r>
            <w:r>
              <w:rPr>
                <w:noProof/>
                <w:webHidden/>
              </w:rPr>
            </w:r>
            <w:r>
              <w:rPr>
                <w:noProof/>
                <w:webHidden/>
              </w:rPr>
              <w:fldChar w:fldCharType="separate"/>
            </w:r>
            <w:r w:rsidR="003948FB">
              <w:rPr>
                <w:noProof/>
                <w:webHidden/>
              </w:rPr>
              <w:t>84</w:t>
            </w:r>
            <w:r>
              <w:rPr>
                <w:noProof/>
                <w:webHidden/>
              </w:rPr>
              <w:fldChar w:fldCharType="end"/>
            </w:r>
          </w:hyperlink>
        </w:p>
        <w:p w:rsidR="00E606E5" w:rsidRDefault="002C72D7">
          <w:r>
            <w:fldChar w:fldCharType="end"/>
          </w:r>
        </w:p>
      </w:sdtContent>
    </w:sdt>
    <w:p w:rsidR="00CB5E86" w:rsidRDefault="00CB5E86">
      <w:pPr>
        <w:pStyle w:val="Heading1"/>
        <w:keepNext w:val="0"/>
        <w:keepLines w:val="0"/>
      </w:pPr>
    </w:p>
    <w:p w:rsidR="00CB5E86" w:rsidRDefault="00E4141F">
      <w:pPr>
        <w:pStyle w:val="Heading1"/>
        <w:keepNext w:val="0"/>
        <w:keepLines w:val="0"/>
      </w:pPr>
      <w:bookmarkStart w:id="9" w:name="_heading=h.sgphu611uu83" w:colFirst="0" w:colLast="0"/>
      <w:bookmarkEnd w:id="9"/>
      <w:r>
        <w:br w:type="page"/>
      </w:r>
    </w:p>
    <w:p w:rsidR="00CB5E86" w:rsidRDefault="00E4141F">
      <w:pPr>
        <w:pStyle w:val="Heading1"/>
        <w:keepNext w:val="0"/>
        <w:keepLines w:val="0"/>
      </w:pPr>
      <w:bookmarkStart w:id="10" w:name="_Toc239815903"/>
      <w:r>
        <w:lastRenderedPageBreak/>
        <w:t>1. Introduction</w:t>
      </w:r>
      <w:bookmarkEnd w:id="10"/>
    </w:p>
    <w:p w:rsidR="00CB5E86" w:rsidRDefault="00E4141F">
      <w:r>
        <w:rPr>
          <w:b/>
          <w:bCs/>
          <w:sz w:val="28"/>
          <w:szCs w:val="28"/>
        </w:rPr>
        <w:t>1.1 Background and Context</w:t>
      </w:r>
    </w:p>
    <w:p w:rsidR="00CB5E86" w:rsidRPr="00E606E5" w:rsidRDefault="00E4141F">
      <w:pPr>
        <w:rPr>
          <w:color w:val="000000" w:themeColor="text1"/>
        </w:rPr>
      </w:pPr>
      <w:r w:rsidRPr="00E606E5">
        <w:rPr>
          <w:color w:val="000000" w:themeColor="text1"/>
        </w:rPr>
        <w:t>Hybrid working, pressure on costs and sustainability demands are changing the face of the UK's workplace. The original blended working at 28% January to March 2025, should be kept but the reference to this should be changed from ONS (2023) to the correct ONS source (2025). The latter quote - 2 in every 3 working adults hybrid worked - should have been stripped out, as it is inconsistent with the 28% figure.</w:t>
      </w:r>
    </w:p>
    <w:p w:rsidR="00CB5E86" w:rsidRDefault="00E4141F">
      <w:pPr>
        <w:jc w:val="center"/>
        <w:rPr>
          <w:b/>
          <w:bCs/>
          <w:i/>
          <w:iCs/>
        </w:rPr>
      </w:pPr>
      <w:r>
        <w:rPr>
          <w:b/>
          <w:bCs/>
          <w:i/>
          <w:iCs/>
          <w:noProof/>
          <w:lang w:eastAsia="en-US"/>
        </w:rPr>
        <w:drawing>
          <wp:inline distT="114300" distB="114300" distL="114300" distR="114300">
            <wp:extent cx="4829175" cy="2878931"/>
            <wp:effectExtent l="12700" t="12700" r="12700" b="12700"/>
            <wp:docPr id="7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29175" cy="2878931"/>
                    </a:xfrm>
                    <a:prstGeom prst="rect">
                      <a:avLst/>
                    </a:prstGeom>
                    <a:ln w="12700">
                      <a:solidFill>
                        <a:srgbClr val="000000"/>
                      </a:solidFill>
                      <a:prstDash val="solid"/>
                    </a:ln>
                  </pic:spPr>
                </pic:pic>
              </a:graphicData>
            </a:graphic>
          </wp:inline>
        </w:drawing>
      </w:r>
    </w:p>
    <w:p w:rsidR="00CB5E86" w:rsidRDefault="00E4141F">
      <w:pPr>
        <w:jc w:val="center"/>
        <w:rPr>
          <w:b/>
          <w:bCs/>
          <w:i/>
          <w:iCs/>
        </w:rPr>
      </w:pPr>
      <w:r>
        <w:rPr>
          <w:b/>
          <w:bCs/>
          <w:i/>
          <w:iCs/>
        </w:rPr>
        <w:t>Figure 1: Working from Home Statistics UK (2025)</w:t>
      </w:r>
    </w:p>
    <w:p w:rsidR="00CB5E86" w:rsidRDefault="00E4141F">
      <w:pPr>
        <w:jc w:val="center"/>
        <w:rPr>
          <w:b/>
          <w:bCs/>
          <w:i/>
          <w:iCs/>
        </w:rPr>
      </w:pPr>
      <w:r>
        <w:rPr>
          <w:b/>
          <w:bCs/>
          <w:i/>
          <w:iCs/>
        </w:rPr>
        <w:t>Source:(Dalton, 2025)</w:t>
      </w:r>
    </w:p>
    <w:p w:rsidR="00CB5E86" w:rsidRDefault="00E4141F">
      <w:r>
        <w:t xml:space="preserve">Technology has the potential to enhance the opportunity by aligning subscriptions, inventory, maintenance, replacement and ESG reporting. Policy is another motivator. There is clear evidence that sustainability is becoming part of the standards for furniture and textiles procurement, with UK government guidelines covering both materials. Furniture and textiles are both covered by UK government procurement standards, making sustainability an ever-increasing part of the purchasing criteria. However, </w:t>
      </w:r>
      <w:r>
        <w:lastRenderedPageBreak/>
        <w:t>regulation can make things more complicated for the operators without necessarily creating demand.</w:t>
      </w:r>
    </w:p>
    <w:p w:rsidR="00CB5E86" w:rsidRDefault="00E4141F">
      <w:pPr>
        <w:pStyle w:val="Heading2"/>
        <w:keepNext w:val="0"/>
        <w:keepLines w:val="0"/>
      </w:pPr>
      <w:bookmarkStart w:id="11" w:name="_Toc239815904"/>
      <w:r>
        <w:t>1.2 Problem / Opportunity Statement</w:t>
      </w:r>
      <w:bookmarkEnd w:id="11"/>
    </w:p>
    <w:p w:rsidR="00CB5E86" w:rsidRDefault="00E4141F">
      <w:r>
        <w:t xml:space="preserve">Businesses in the UK are increasingly facing fluctuating office needs, but the furniture business model doesn't match these needs, as furniture purchases are usually made as a fixed asset.EcoLoop Office is a response to a gap in the UK corporate furniture industry, as businesses often buy furniture as a fixed asset in the face of ever-changing work environments. Furniture that may still be useful, but has been left under-used or thrown out due to relocation, downsizing, refurbishment and redesign. This is important as London is cited as the world's second highest office fit-out cost market, with a focus on reducing head-investment (Consultancy UK, 2026). </w:t>
      </w:r>
    </w:p>
    <w:p w:rsidR="00CB5E86" w:rsidRDefault="00E4141F">
      <w:pPr>
        <w:jc w:val="center"/>
        <w:rPr>
          <w:b/>
          <w:bCs/>
          <w:i/>
          <w:iCs/>
        </w:rPr>
      </w:pPr>
      <w:r>
        <w:rPr>
          <w:b/>
          <w:bCs/>
          <w:i/>
          <w:iCs/>
          <w:noProof/>
          <w:lang w:eastAsia="en-US"/>
        </w:rPr>
        <w:drawing>
          <wp:inline distT="114300" distB="114300" distL="114300" distR="114300">
            <wp:extent cx="4041775" cy="3523599"/>
            <wp:effectExtent l="12700" t="12700" r="12700" b="12700"/>
            <wp:docPr id="7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11086" b="17705"/>
                    <a:stretch>
                      <a:fillRect/>
                    </a:stretch>
                  </pic:blipFill>
                  <pic:spPr>
                    <a:xfrm>
                      <a:off x="0" y="0"/>
                      <a:ext cx="4041775" cy="3523599"/>
                    </a:xfrm>
                    <a:prstGeom prst="rect">
                      <a:avLst/>
                    </a:prstGeom>
                    <a:ln w="12700">
                      <a:solidFill>
                        <a:srgbClr val="000000"/>
                      </a:solidFill>
                      <a:prstDash val="solid"/>
                    </a:ln>
                  </pic:spPr>
                </pic:pic>
              </a:graphicData>
            </a:graphic>
          </wp:inline>
        </w:drawing>
      </w:r>
    </w:p>
    <w:p w:rsidR="00CB5E86" w:rsidRDefault="00E4141F">
      <w:pPr>
        <w:jc w:val="center"/>
        <w:rPr>
          <w:b/>
          <w:bCs/>
          <w:i/>
          <w:iCs/>
        </w:rPr>
      </w:pPr>
      <w:r>
        <w:rPr>
          <w:b/>
          <w:bCs/>
          <w:i/>
          <w:iCs/>
        </w:rPr>
        <w:t>Figure 2: The number of VAT and/or PAYE businesses in the UK increased by 0.4% in the past year</w:t>
      </w:r>
    </w:p>
    <w:p w:rsidR="00CB5E86" w:rsidRDefault="00E4141F">
      <w:pPr>
        <w:jc w:val="center"/>
        <w:rPr>
          <w:b/>
          <w:bCs/>
          <w:i/>
          <w:iCs/>
        </w:rPr>
      </w:pPr>
      <w:r>
        <w:rPr>
          <w:b/>
          <w:bCs/>
          <w:i/>
          <w:iCs/>
        </w:rPr>
        <w:t>Source: (Business Registers Strategy and Outputs team, 2025)</w:t>
      </w:r>
    </w:p>
    <w:p w:rsidR="00CB5E86" w:rsidRPr="00E606E5" w:rsidRDefault="00E4141F">
      <w:pPr>
        <w:rPr>
          <w:color w:val="000000" w:themeColor="text1"/>
        </w:rPr>
      </w:pPr>
      <w:r w:rsidRPr="00E606E5">
        <w:rPr>
          <w:color w:val="000000" w:themeColor="text1"/>
        </w:rPr>
        <w:lastRenderedPageBreak/>
        <w:t>UK businesses are increasingly undergoing a requirement to adapt their offices, so furniture is often being bought as a fixed asset. A subscription-based solution for all EcoLoop Office services: maintenance, refurbishment, swap-out, take-back, resale and reporting on ESG. As London is one of the largest cost markets in the world, it is of great importance to minimise the upfront costs for the office fit-outs (Consultancy UK, 2026). UK comprises a wide range of businesses, in particular, within the VAT and/or PAYE sector, with 2.73 million businesses recorded in March 2025, as opposed to EcoLoop's addressable market (ONS, 2025). Thus, there is a need to differentiate between demand and market size.</w:t>
      </w:r>
    </w:p>
    <w:p w:rsidR="00CB5E86" w:rsidRDefault="00E4141F">
      <w:pPr>
        <w:pStyle w:val="Heading2"/>
        <w:keepNext w:val="0"/>
        <w:keepLines w:val="0"/>
      </w:pPr>
      <w:bookmarkStart w:id="12" w:name="_Toc239815905"/>
      <w:r>
        <w:t>1.3 Initial Observation of Demand</w:t>
      </w:r>
      <w:bookmarkEnd w:id="12"/>
    </w:p>
    <w:p w:rsidR="00CB5E86" w:rsidRPr="00E606E5" w:rsidRDefault="00E4141F">
      <w:pPr>
        <w:rPr>
          <w:color w:val="000000" w:themeColor="text1"/>
        </w:rPr>
      </w:pPr>
      <w:r w:rsidRPr="00E606E5">
        <w:rPr>
          <w:color w:val="000000" w:themeColor="text1"/>
        </w:rPr>
        <w:t>Homes England (2025) evidence shows there has been practical reuse with 21 tonnes of office furniture diverted from disposal in 2024/25, and 543 furniture and office-asset items redistributed. This does not mean that they will be willing to pay for a subscription, however. The revised goal is to evaluate the potential for the commercialisation and scale of EcoLoop's circular furniture model for furniture subscription and refurbishment. Objectives should evaluate aspects such as customer adoption, financial/ESG implications, competitive/operational/regulatory aspects and the attractiveness of the target markets, with research questions directly linked to these objectives.</w:t>
      </w:r>
    </w:p>
    <w:p w:rsidR="00CB5E86" w:rsidRDefault="00E4141F">
      <w:pPr>
        <w:pStyle w:val="Heading2"/>
        <w:keepNext w:val="0"/>
        <w:keepLines w:val="0"/>
      </w:pPr>
      <w:bookmarkStart w:id="13" w:name="_Toc239815906"/>
      <w:r>
        <w:t>1.4 Aim, Objectives and Research Questions</w:t>
      </w:r>
      <w:bookmarkEnd w:id="13"/>
    </w:p>
    <w:p w:rsidR="00CB5E86" w:rsidRDefault="00E4141F">
      <w:pPr>
        <w:pStyle w:val="Heading2"/>
        <w:keepNext w:val="0"/>
        <w:keepLines w:val="0"/>
      </w:pPr>
      <w:bookmarkStart w:id="14" w:name="_Toc239815907"/>
      <w:r>
        <w:t>Research Aim</w:t>
      </w:r>
      <w:bookmarkEnd w:id="14"/>
    </w:p>
    <w:p w:rsidR="00CB5E86" w:rsidRDefault="00E4141F">
      <w:r>
        <w:t>This research will be used to determine the market viability and commercial feasibility of EcoLoop Office as a viable circular furniture subscription and refurbishment platform for the UK.</w:t>
      </w:r>
    </w:p>
    <w:p w:rsidR="00CB5E86" w:rsidRDefault="00E4141F">
      <w:pPr>
        <w:pStyle w:val="Heading2"/>
        <w:keepNext w:val="0"/>
        <w:keepLines w:val="0"/>
      </w:pPr>
      <w:bookmarkStart w:id="15" w:name="_Toc239815908"/>
      <w:r>
        <w:t>Research Objectives</w:t>
      </w:r>
      <w:bookmarkEnd w:id="15"/>
    </w:p>
    <w:p w:rsidR="00CB5E86" w:rsidRDefault="00E4141F">
      <w:pPr>
        <w:numPr>
          <w:ilvl w:val="0"/>
          <w:numId w:val="1"/>
        </w:numPr>
        <w:spacing w:after="0"/>
        <w:jc w:val="left"/>
      </w:pPr>
      <w:r>
        <w:t>To assess the demand (subscriptions) for office furniture in the UK and the market conditions.</w:t>
      </w:r>
    </w:p>
    <w:p w:rsidR="00CB5E86" w:rsidRDefault="00E4141F">
      <w:pPr>
        <w:numPr>
          <w:ilvl w:val="0"/>
          <w:numId w:val="1"/>
        </w:numPr>
        <w:spacing w:before="0" w:after="0"/>
        <w:jc w:val="left"/>
      </w:pPr>
      <w:r>
        <w:lastRenderedPageBreak/>
        <w:t>To evaluate furniture renting and refurbishing benefits, compared to cost flexibility, and ESG dimension.</w:t>
      </w:r>
    </w:p>
    <w:p w:rsidR="00CB5E86" w:rsidRDefault="00E4141F">
      <w:pPr>
        <w:numPr>
          <w:ilvl w:val="0"/>
          <w:numId w:val="1"/>
        </w:numPr>
        <w:spacing w:before="0" w:after="0"/>
        <w:jc w:val="left"/>
      </w:pPr>
      <w:r>
        <w:t>To see how EcoLoop Office could be viable in the marketplace, and investigate its operating model, its cost and value-added proposition.</w:t>
      </w:r>
    </w:p>
    <w:p w:rsidR="00CB5E86" w:rsidRDefault="00E4141F">
      <w:pPr>
        <w:numPr>
          <w:ilvl w:val="0"/>
          <w:numId w:val="1"/>
        </w:numPr>
        <w:spacing w:before="0"/>
        <w:jc w:val="left"/>
      </w:pPr>
      <w:r>
        <w:t>To identify Key opportunities for UK circular office furniture platforms to be identified, as well as competitive pressures, regulatory factors and barriers.</w:t>
      </w:r>
    </w:p>
    <w:p w:rsidR="00CB5E86" w:rsidRDefault="00E4141F">
      <w:pPr>
        <w:pStyle w:val="Heading2"/>
        <w:keepNext w:val="0"/>
        <w:keepLines w:val="0"/>
      </w:pPr>
      <w:bookmarkStart w:id="16" w:name="_Toc239815909"/>
      <w:r>
        <w:t>Research Questions</w:t>
      </w:r>
      <w:bookmarkEnd w:id="16"/>
    </w:p>
    <w:p w:rsidR="00CB5E86" w:rsidRDefault="00E4141F">
      <w:pPr>
        <w:numPr>
          <w:ilvl w:val="0"/>
          <w:numId w:val="10"/>
        </w:numPr>
        <w:spacing w:after="0"/>
        <w:jc w:val="left"/>
      </w:pPr>
      <w:r>
        <w:t>How much of a market exists for subscription furniture in the UK Office Fit-out Industry?</w:t>
      </w:r>
    </w:p>
    <w:p w:rsidR="00CB5E86" w:rsidRDefault="00E4141F">
      <w:pPr>
        <w:numPr>
          <w:ilvl w:val="0"/>
          <w:numId w:val="10"/>
        </w:numPr>
        <w:spacing w:before="0" w:after="0"/>
        <w:jc w:val="left"/>
      </w:pPr>
      <w:r>
        <w:t>What is the business case for furniture subscription and refurbishment, offering cost and value flexibility for UK businesses in terms of ESG value?</w:t>
      </w:r>
    </w:p>
    <w:p w:rsidR="00CB5E86" w:rsidRDefault="00E4141F">
      <w:pPr>
        <w:pStyle w:val="Heading2"/>
        <w:keepNext w:val="0"/>
        <w:keepLines w:val="0"/>
      </w:pPr>
      <w:bookmarkStart w:id="17" w:name="_Toc239815910"/>
      <w:r>
        <w:t>1.5 Scope of Analysis</w:t>
      </w:r>
      <w:bookmarkEnd w:id="17"/>
    </w:p>
    <w:p w:rsidR="00CB5E86" w:rsidRDefault="00E4141F">
      <w:r>
        <w:t>The analysis concentrates on the UK corporate office fit-out and refurbishment market, specifically looking at demand, customer value, competition, cost flexibility, ESG value, regulation and commercial viability of EcoLoop Office. It does not include consumer markets that are not primary, related to the house and interviews/surveys that are not primary. The study is based mainly on secondary evidence, which is in accordance with the proposal.</w:t>
      </w:r>
    </w:p>
    <w:p w:rsidR="00CB5E86" w:rsidRDefault="00E4141F">
      <w:pPr>
        <w:pStyle w:val="Heading2"/>
        <w:keepNext w:val="0"/>
        <w:keepLines w:val="0"/>
      </w:pPr>
      <w:bookmarkStart w:id="18" w:name="_Toc239815911"/>
      <w:r>
        <w:t>1.6 Structure of the Report</w:t>
      </w:r>
      <w:bookmarkEnd w:id="18"/>
    </w:p>
    <w:p w:rsidR="00CB5E86" w:rsidRDefault="00E4141F">
      <w:r>
        <w:t>This introduction is followed by a critical review of relevant literature and theories, an explanation of the secondary research method, an assessment of market opportunity and assessment of the external environment, findings analysis, business model and commercial feasibility analysis, all leading to evidence-based recommendations.</w:t>
      </w:r>
    </w:p>
    <w:p w:rsidR="00CB5E86" w:rsidRDefault="00CB5E86">
      <w:pPr>
        <w:pStyle w:val="Heading1"/>
        <w:keepNext w:val="0"/>
        <w:keepLines w:val="0"/>
      </w:pPr>
    </w:p>
    <w:p w:rsidR="00CB5E86" w:rsidRDefault="00E4141F">
      <w:pPr>
        <w:pStyle w:val="Heading1"/>
        <w:keepNext w:val="0"/>
        <w:keepLines w:val="0"/>
      </w:pPr>
      <w:bookmarkStart w:id="19" w:name="_Toc239815912"/>
      <w:r>
        <w:t>2. Company Description</w:t>
      </w:r>
      <w:bookmarkEnd w:id="19"/>
    </w:p>
    <w:p w:rsidR="00CB5E86" w:rsidRDefault="00E4141F">
      <w:pPr>
        <w:pStyle w:val="Heading2"/>
        <w:keepNext w:val="0"/>
        <w:keepLines w:val="0"/>
      </w:pPr>
      <w:bookmarkStart w:id="20" w:name="_Toc239815913"/>
      <w:r>
        <w:lastRenderedPageBreak/>
        <w:t>2.1 Business Identity and Legal Structure</w:t>
      </w:r>
      <w:bookmarkEnd w:id="20"/>
    </w:p>
    <w:p w:rsidR="00CB5E86" w:rsidRPr="00E606E5" w:rsidRDefault="00E4141F">
      <w:pPr>
        <w:rPr>
          <w:color w:val="000000" w:themeColor="text1"/>
        </w:rPr>
      </w:pPr>
      <w:r w:rsidRPr="00E606E5">
        <w:rPr>
          <w:color w:val="000000" w:themeColor="text1"/>
        </w:rPr>
        <w:t>EcoLoop Office is proposed as a B2B Computers-for-access circular furniture as a service offering in the UK. The company structure is explanatory and unconfirmed, as is its London location, though it might be incorporated and have ahistory.No incorporated company or history is provided, suggesting that the company structure is illustrative and that the head office is in London. It has four central values: circularity, affordability, reliability, transparency and customer flexibility.</w:t>
      </w:r>
    </w:p>
    <w:p w:rsidR="00CB5E86" w:rsidRDefault="00E4141F">
      <w:pPr>
        <w:jc w:val="center"/>
        <w:rPr>
          <w:b/>
          <w:bCs/>
          <w:i/>
          <w:iCs/>
        </w:rPr>
      </w:pPr>
      <w:r>
        <w:rPr>
          <w:b/>
          <w:bCs/>
          <w:i/>
          <w:iCs/>
          <w:noProof/>
          <w:lang w:eastAsia="en-US"/>
        </w:rPr>
        <w:drawing>
          <wp:inline distT="114300" distB="114300" distL="114300" distR="114300">
            <wp:extent cx="4929188" cy="3286125"/>
            <wp:effectExtent l="12700" t="12700" r="12700" b="12700"/>
            <wp:docPr id="7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929188" cy="3286125"/>
                    </a:xfrm>
                    <a:prstGeom prst="rect">
                      <a:avLst/>
                    </a:prstGeom>
                    <a:ln w="12700">
                      <a:solidFill>
                        <a:srgbClr val="000000"/>
                      </a:solidFill>
                      <a:prstDash val="solid"/>
                    </a:ln>
                  </pic:spPr>
                </pic:pic>
              </a:graphicData>
            </a:graphic>
          </wp:inline>
        </w:drawing>
      </w:r>
    </w:p>
    <w:p w:rsidR="00CB5E86" w:rsidRDefault="00E4141F">
      <w:pPr>
        <w:jc w:val="center"/>
        <w:rPr>
          <w:b/>
          <w:bCs/>
          <w:i/>
          <w:iCs/>
        </w:rPr>
      </w:pPr>
      <w:r>
        <w:rPr>
          <w:b/>
          <w:bCs/>
          <w:i/>
          <w:iCs/>
        </w:rPr>
        <w:t>Figure 3: Ecoloop</w:t>
      </w:r>
    </w:p>
    <w:p w:rsidR="00CB5E86" w:rsidRDefault="00E4141F">
      <w:pPr>
        <w:jc w:val="center"/>
        <w:rPr>
          <w:b/>
          <w:bCs/>
          <w:i/>
          <w:iCs/>
        </w:rPr>
      </w:pPr>
      <w:r>
        <w:rPr>
          <w:b/>
          <w:bCs/>
          <w:i/>
          <w:iCs/>
        </w:rPr>
        <w:t>Source: Self-developed</w:t>
      </w:r>
    </w:p>
    <w:p w:rsidR="00CB5E86" w:rsidRDefault="00E4141F">
      <w:r>
        <w:t>This is an adequate structure to meet the needs of the model, which need investment in inventory, refurbishment costs, technology and working capital, and where founders also have limited personal liability. It aims to be more flexible, affordable and circular in the world of office furniture and aspires to be a scalable platform for furniture-as-a-service in the UK. Core values are circularity, affordability, reliability, transparency and customer flexibility.</w:t>
      </w:r>
    </w:p>
    <w:p w:rsidR="00CB5E86" w:rsidRDefault="00E4141F">
      <w:pPr>
        <w:pStyle w:val="Heading2"/>
        <w:keepNext w:val="0"/>
        <w:keepLines w:val="0"/>
      </w:pPr>
      <w:bookmarkStart w:id="21" w:name="_Toc239815914"/>
      <w:r>
        <w:lastRenderedPageBreak/>
        <w:t>2.2 Product/Service and Problem Solved</w:t>
      </w:r>
      <w:bookmarkEnd w:id="21"/>
    </w:p>
    <w:p w:rsidR="00CB5E86" w:rsidRPr="00E606E5" w:rsidRDefault="00E4141F">
      <w:pPr>
        <w:rPr>
          <w:color w:val="000000" w:themeColor="text1"/>
        </w:rPr>
      </w:pPr>
      <w:r w:rsidRPr="00E606E5">
        <w:rPr>
          <w:color w:val="000000" w:themeColor="text1"/>
        </w:rPr>
        <w:t>This service includes delivery &amp; installation, maintenance &amp; refurbishment, flexible swap-out, take-back, resale and ESG impact reporting. This counters high initial purchase expenditures, excess desk furnishings resulting from relocating and downsizing and disposal needs. There is some evidence that around 1.2 million desks and 1.8 million chairs are discarded each year and that 17% of desks can be recycled, so there is some evidence of the resource problem (WRAP, 2025), but it does not prove the customer demand problem. Hence, the quality, hygiene, availability and pricing should be evaluated.</w:t>
      </w:r>
    </w:p>
    <w:p w:rsidR="00CB5E86" w:rsidRDefault="00E4141F">
      <w:pPr>
        <w:pStyle w:val="Heading2"/>
        <w:keepNext w:val="0"/>
        <w:keepLines w:val="0"/>
      </w:pPr>
      <w:bookmarkStart w:id="22" w:name="_Toc239815915"/>
      <w:r>
        <w:t>2.3 Founding Idea and History</w:t>
      </w:r>
      <w:bookmarkEnd w:id="22"/>
    </w:p>
    <w:p w:rsidR="00CB5E86" w:rsidRDefault="00E4141F">
      <w:r>
        <w:t xml:space="preserve">EcoLoop Office is not a company; it is a proposed new venture and a founder biography and operating history is not provided. The founding concept is based on the identified gap of the conventional furniture purchase-use-dispose cycle and furniture circular management. The idea is a mix of subscription model and refurbishment, re-use, replacement and lifecycle reporting. </w:t>
      </w:r>
    </w:p>
    <w:p w:rsidR="00CB5E86" w:rsidRDefault="00E4141F">
      <w:pPr>
        <w:jc w:val="center"/>
        <w:rPr>
          <w:b/>
          <w:bCs/>
          <w:i/>
          <w:iCs/>
        </w:rPr>
      </w:pPr>
      <w:r>
        <w:rPr>
          <w:b/>
          <w:bCs/>
          <w:i/>
          <w:iCs/>
          <w:noProof/>
          <w:lang w:eastAsia="en-US"/>
        </w:rPr>
        <w:drawing>
          <wp:inline distT="114300" distB="114300" distL="114300" distR="114300">
            <wp:extent cx="5943600" cy="2765310"/>
            <wp:effectExtent l="12700" t="12700" r="12700" b="12700"/>
            <wp:docPr id="7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t="8639" b="8732"/>
                    <a:stretch>
                      <a:fillRect/>
                    </a:stretch>
                  </pic:blipFill>
                  <pic:spPr>
                    <a:xfrm>
                      <a:off x="0" y="0"/>
                      <a:ext cx="5943600" cy="2765310"/>
                    </a:xfrm>
                    <a:prstGeom prst="rect">
                      <a:avLst/>
                    </a:prstGeom>
                    <a:ln w="12700">
                      <a:solidFill>
                        <a:srgbClr val="000000"/>
                      </a:solidFill>
                      <a:prstDash val="solid"/>
                    </a:ln>
                  </pic:spPr>
                </pic:pic>
              </a:graphicData>
            </a:graphic>
          </wp:inline>
        </w:drawing>
      </w:r>
    </w:p>
    <w:p w:rsidR="00CB5E86" w:rsidRDefault="00E4141F">
      <w:pPr>
        <w:jc w:val="center"/>
        <w:rPr>
          <w:b/>
          <w:bCs/>
          <w:i/>
          <w:iCs/>
        </w:rPr>
      </w:pPr>
      <w:r>
        <w:rPr>
          <w:b/>
          <w:bCs/>
          <w:i/>
          <w:iCs/>
        </w:rPr>
        <w:t>Figure 4: UK Eco-friendly Furniture Market Size &amp; Outlook, 2033</w:t>
      </w:r>
    </w:p>
    <w:p w:rsidR="00CB5E86" w:rsidRDefault="00E4141F">
      <w:pPr>
        <w:jc w:val="center"/>
        <w:rPr>
          <w:b/>
          <w:bCs/>
          <w:i/>
          <w:iCs/>
        </w:rPr>
      </w:pPr>
      <w:r>
        <w:rPr>
          <w:b/>
          <w:bCs/>
          <w:i/>
          <w:iCs/>
        </w:rPr>
        <w:lastRenderedPageBreak/>
        <w:t>Source: (Grand View Research, 2024)</w:t>
      </w:r>
    </w:p>
    <w:p w:rsidR="00CB5E86" w:rsidRPr="00E606E5" w:rsidRDefault="00E4141F">
      <w:pPr>
        <w:rPr>
          <w:color w:val="000000" w:themeColor="text1"/>
        </w:rPr>
      </w:pPr>
      <w:r w:rsidRPr="00E606E5">
        <w:rPr>
          <w:color w:val="000000" w:themeColor="text1"/>
        </w:rPr>
        <w:t>For office furniture, refurbishment/repair and redistribution/re-use are estimated to be worth £250 million (excluding VAT) as part of the 2025 sustainable furniture framework (Find a Tender, 2025). This is procrastion and not the level of absolute subscription demand. As indicated in the evidence, circular procurement has taken place at the institutions, but not necessarily on a scale that will enable commercial success of a subscription model.</w:t>
      </w:r>
    </w:p>
    <w:p w:rsidR="00CB5E86" w:rsidRDefault="00E4141F">
      <w:pPr>
        <w:pStyle w:val="Heading2"/>
        <w:keepNext w:val="0"/>
        <w:keepLines w:val="0"/>
      </w:pPr>
      <w:bookmarkStart w:id="23" w:name="_Toc239815916"/>
      <w:r>
        <w:t>2.4 SMART Business Objectives and Goals</w:t>
      </w:r>
      <w:bookmarkEnd w:id="23"/>
    </w:p>
    <w:p w:rsidR="00CB5E86" w:rsidRPr="00E606E5" w:rsidRDefault="00E4141F">
      <w:pPr>
        <w:rPr>
          <w:b/>
          <w:bCs/>
          <w:color w:val="000000" w:themeColor="text1"/>
        </w:rPr>
      </w:pPr>
      <w:r w:rsidRPr="00E606E5">
        <w:rPr>
          <w:b/>
          <w:bCs/>
          <w:color w:val="000000" w:themeColor="text1"/>
        </w:rPr>
        <w:t>Table 2.1 SMART Objectives</w:t>
      </w:r>
    </w:p>
    <w:tbl>
      <w:tblPr>
        <w:tblStyle w:val="affffffe"/>
        <w:tblW w:w="9360" w:type="dxa"/>
        <w:tblBorders>
          <w:top w:val="nil"/>
          <w:left w:val="nil"/>
          <w:bottom w:val="nil"/>
          <w:right w:val="nil"/>
          <w:insideH w:val="nil"/>
          <w:insideV w:val="nil"/>
        </w:tblBorders>
        <w:tblLayout w:type="fixed"/>
        <w:tblLook w:val="0600"/>
      </w:tblPr>
      <w:tblGrid>
        <w:gridCol w:w="2385"/>
        <w:gridCol w:w="1454"/>
        <w:gridCol w:w="1384"/>
        <w:gridCol w:w="1891"/>
        <w:gridCol w:w="1313"/>
        <w:gridCol w:w="933"/>
      </w:tblGrid>
      <w:tr w:rsidR="00CB5E86" w:rsidRPr="00E606E5">
        <w:trPr>
          <w:trHeight w:val="800"/>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jc w:val="center"/>
              <w:rPr>
                <w:color w:val="000000" w:themeColor="text1"/>
              </w:rPr>
            </w:pPr>
            <w:r w:rsidRPr="00E606E5">
              <w:rPr>
                <w:b/>
                <w:bCs/>
                <w:color w:val="000000" w:themeColor="text1"/>
              </w:rPr>
              <w:t>Objective</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jc w:val="center"/>
              <w:rPr>
                <w:color w:val="000000" w:themeColor="text1"/>
              </w:rPr>
            </w:pPr>
            <w:r w:rsidRPr="00E606E5">
              <w:rPr>
                <w:b/>
                <w:bCs/>
                <w:color w:val="000000" w:themeColor="text1"/>
              </w:rPr>
              <w:t>Specific</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jc w:val="center"/>
              <w:rPr>
                <w:color w:val="000000" w:themeColor="text1"/>
              </w:rPr>
            </w:pPr>
            <w:r w:rsidRPr="00E606E5">
              <w:rPr>
                <w:b/>
                <w:bCs/>
                <w:color w:val="000000" w:themeColor="text1"/>
              </w:rPr>
              <w:t>Measurable</w:t>
            </w:r>
          </w:p>
        </w:tc>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jc w:val="center"/>
              <w:rPr>
                <w:color w:val="000000" w:themeColor="text1"/>
              </w:rPr>
            </w:pPr>
            <w:r w:rsidRPr="00E606E5">
              <w:rPr>
                <w:b/>
                <w:bCs/>
                <w:color w:val="000000" w:themeColor="text1"/>
              </w:rPr>
              <w:t>Achievable</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jc w:val="center"/>
              <w:rPr>
                <w:color w:val="000000" w:themeColor="text1"/>
              </w:rPr>
            </w:pPr>
            <w:r w:rsidRPr="00E606E5">
              <w:rPr>
                <w:b/>
                <w:bCs/>
                <w:color w:val="000000" w:themeColor="text1"/>
              </w:rPr>
              <w:t>Relevant</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jc w:val="center"/>
              <w:rPr>
                <w:color w:val="000000" w:themeColor="text1"/>
              </w:rPr>
            </w:pPr>
            <w:r w:rsidRPr="00E606E5">
              <w:rPr>
                <w:b/>
                <w:bCs/>
                <w:color w:val="000000" w:themeColor="text1"/>
              </w:rPr>
              <w:t>Time-bound</w:t>
            </w:r>
          </w:p>
        </w:tc>
      </w:tr>
      <w:tr w:rsidR="00CB5E86" w:rsidRPr="00E606E5">
        <w:trPr>
          <w:trHeight w:val="1370"/>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Lead over 50 UK customer through direct sales and partnerships.</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UK businesses</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50 customers</w:t>
            </w:r>
          </w:p>
        </w:tc>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Sales/partnerships</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Builds customer base</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12 months</w:t>
            </w:r>
          </w:p>
        </w:tc>
      </w:tr>
      <w:tr w:rsidR="00CB5E86" w:rsidRPr="00E606E5">
        <w:trPr>
          <w:trHeight w:val="1640"/>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To reach the 70% average inventory utilisation with minimum idle inventory and storage expenses.</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Subscription furniture</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70% utilisation</w:t>
            </w:r>
          </w:p>
        </w:tc>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Reduce idle assets</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Improves efficiency</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Month 18</w:t>
            </w:r>
          </w:p>
        </w:tc>
      </w:tr>
      <w:tr w:rsidR="00CB5E86" w:rsidRPr="00E606E5">
        <w:trPr>
          <w:trHeight w:val="1085"/>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To return at least 80% of furniture for re-use/refurbishment.</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Returned furniture</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80%</w:t>
            </w:r>
          </w:p>
        </w:tc>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Reduce disposal</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Supports circularity</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24 months</w:t>
            </w:r>
          </w:p>
        </w:tc>
      </w:tr>
      <w:tr w:rsidR="00CB5E86" w:rsidRPr="00E606E5">
        <w:trPr>
          <w:trHeight w:val="1085"/>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To achieve 75% customer retention.</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Existing customers</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75% retention</w:t>
            </w:r>
          </w:p>
        </w:tc>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Maintain relationships</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Supports recurring revenue</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E606E5" w:rsidRDefault="00E4141F">
            <w:pPr>
              <w:spacing w:before="0" w:after="0" w:line="240" w:lineRule="auto"/>
              <w:rPr>
                <w:color w:val="000000" w:themeColor="text1"/>
              </w:rPr>
            </w:pPr>
            <w:r w:rsidRPr="00E606E5">
              <w:rPr>
                <w:color w:val="000000" w:themeColor="text1"/>
              </w:rPr>
              <w:t>Year 2</w:t>
            </w:r>
          </w:p>
        </w:tc>
      </w:tr>
    </w:tbl>
    <w:p w:rsidR="00CB5E86" w:rsidRDefault="00E4141F">
      <w:pPr>
        <w:pStyle w:val="Heading2"/>
        <w:keepNext w:val="0"/>
        <w:keepLines w:val="0"/>
      </w:pPr>
      <w:bookmarkStart w:id="24" w:name="_Toc239815917"/>
      <w:r>
        <w:t>2.5 Core Values and Trend Alignment</w:t>
      </w:r>
      <w:bookmarkEnd w:id="24"/>
    </w:p>
    <w:p w:rsidR="00CB5E86" w:rsidRDefault="00E4141F">
      <w:r>
        <w:lastRenderedPageBreak/>
        <w:t>EcoLoop philosophy resonates well with the concept of the circular economy and flexibility of workplaces. Two in every three working adults hybrid worked throughout January to March 2025, further supporting the argument for the need of flexible workplace resources (ONS 2025). Government modelling also suggests the policies for furniture resource-efficiency could result in a reduction of territorial greenhouse-gas emissions in the UK of 4 MtCO2e from 2021 to 2050 (Department for Environment, Food and Rural Affairs, 2023). EcoLoop therefore combines value for the environment with operational flexibility. Its differentiation, however, has to be proven through measurable cost savings, utilisation, re-use, and reliability of service, and not just the sustainability claims. As such, operational measurement becomes a key element of credibility and a successful long-term commercial positioning.</w:t>
      </w:r>
    </w:p>
    <w:p w:rsidR="00CB5E86" w:rsidRDefault="00E4141F">
      <w:pPr>
        <w:pStyle w:val="Heading1"/>
        <w:keepNext w:val="0"/>
        <w:keepLines w:val="0"/>
      </w:pPr>
      <w:bookmarkStart w:id="25" w:name="_heading=h.o6vikpjznuvp" w:colFirst="0" w:colLast="0"/>
      <w:bookmarkEnd w:id="25"/>
      <w:r>
        <w:br w:type="page"/>
      </w:r>
    </w:p>
    <w:p w:rsidR="00CB5E86" w:rsidRPr="00523722" w:rsidRDefault="00E4141F">
      <w:pPr>
        <w:pStyle w:val="Heading1"/>
        <w:keepNext w:val="0"/>
        <w:keepLines w:val="0"/>
        <w:rPr>
          <w:rFonts w:eastAsia="Times New Roman"/>
        </w:rPr>
      </w:pPr>
      <w:bookmarkStart w:id="26" w:name="_Toc239815918"/>
      <w:r w:rsidRPr="00523722">
        <w:rPr>
          <w:rFonts w:eastAsia="Times New Roman"/>
        </w:rPr>
        <w:lastRenderedPageBreak/>
        <w:t>3. Literature Review</w:t>
      </w:r>
      <w:bookmarkEnd w:id="26"/>
    </w:p>
    <w:p w:rsidR="00CB5E86" w:rsidRPr="00523722" w:rsidRDefault="00E4141F">
      <w:pPr>
        <w:pStyle w:val="Heading2"/>
        <w:keepNext w:val="0"/>
        <w:keepLines w:val="0"/>
        <w:rPr>
          <w:rFonts w:eastAsia="Times New Roman"/>
        </w:rPr>
      </w:pPr>
      <w:bookmarkStart w:id="27" w:name="_Toc239815919"/>
      <w:r w:rsidRPr="00523722">
        <w:rPr>
          <w:rFonts w:eastAsia="Times New Roman"/>
        </w:rPr>
        <w:t>3.1 UK Office Fit-Out and Furniture Market</w:t>
      </w:r>
      <w:bookmarkEnd w:id="27"/>
    </w:p>
    <w:p w:rsidR="00CB5E86" w:rsidRPr="00523722" w:rsidRDefault="00E4141F">
      <w:pPr>
        <w:rPr>
          <w:rFonts w:eastAsia="Times New Roman"/>
        </w:rPr>
      </w:pPr>
      <w:r w:rsidRPr="00523722">
        <w:rPr>
          <w:rFonts w:eastAsia="Times New Roman"/>
          <w:color w:val="000000" w:themeColor="text1"/>
        </w:rPr>
        <w:t>In the UK, flexible working and the shifting shapes of offices, cost constraints and sustainability demands are transforming fit-outs and furniture. Two areas that have been pointed out by McAllister and Nase (2023) are sustainable refurbishment, while Surma</w:t>
      </w:r>
      <w:r w:rsidR="00754E7C" w:rsidRPr="00523722">
        <w:rPr>
          <w:rFonts w:eastAsia="Times New Roman"/>
          <w:i/>
          <w:iCs/>
          <w:color w:val="000000" w:themeColor="text1"/>
        </w:rPr>
        <w:t>et al</w:t>
      </w:r>
      <w:r w:rsidRPr="00523722">
        <w:rPr>
          <w:rFonts w:eastAsia="Times New Roman"/>
          <w:color w:val="000000" w:themeColor="text1"/>
        </w:rPr>
        <w:t>. (2021) connect flexibility with new working post-COVID. Extending the furniture lifecycle with circular design (Pei, Italia and Melazzini 2024) and procurement reliability during organisational change (NjølstadSlotsvik, Gould and Hayes 2025) are both critical to better connecting furniture with organisations. But these results don't necessarily indicate that subscribers were needed for these.</w:t>
      </w:r>
      <w:r w:rsidRPr="00523722">
        <w:rPr>
          <w:rFonts w:eastAsia="Times New Roman"/>
          <w:color w:val="FF0000"/>
        </w:rPr>
        <w:t xml:space="preserve"> </w:t>
      </w:r>
      <w:r w:rsidRPr="00523722">
        <w:rPr>
          <w:rFonts w:eastAsia="Times New Roman"/>
        </w:rPr>
        <w:t>Having</w:t>
      </w:r>
      <w:r w:rsidR="00754E7C" w:rsidRPr="00523722">
        <w:rPr>
          <w:rFonts w:eastAsia="Times New Roman"/>
          <w:i/>
          <w:iCs/>
        </w:rPr>
        <w:t>et al</w:t>
      </w:r>
      <w:r w:rsidRPr="00523722">
        <w:rPr>
          <w:rFonts w:eastAsia="Times New Roman"/>
          <w:i/>
          <w:iCs/>
        </w:rPr>
        <w:t>.</w:t>
      </w:r>
      <w:r w:rsidRPr="00523722">
        <w:rPr>
          <w:rFonts w:eastAsia="Times New Roman"/>
        </w:rPr>
        <w:t xml:space="preserve"> (2019) and Bennett and Mayouf (2021) agree that whole-life value management is a solution, and flexible design is a solution, according to Daglio</w:t>
      </w:r>
      <w:r w:rsidR="00754E7C" w:rsidRPr="00523722">
        <w:rPr>
          <w:rFonts w:eastAsia="Times New Roman"/>
          <w:i/>
          <w:iCs/>
        </w:rPr>
        <w:t>et al</w:t>
      </w:r>
      <w:r w:rsidRPr="00523722">
        <w:rPr>
          <w:rFonts w:eastAsia="Times New Roman"/>
          <w:i/>
          <w:iCs/>
        </w:rPr>
        <w:t>.</w:t>
      </w:r>
      <w:r w:rsidRPr="00523722">
        <w:rPr>
          <w:rFonts w:eastAsia="Times New Roman"/>
        </w:rPr>
        <w:t xml:space="preserve"> (2023). Measurable outcomes are also becoming a growing element of ESG pressures, as noted by Halat</w:t>
      </w:r>
      <w:r w:rsidR="00754E7C" w:rsidRPr="00523722">
        <w:rPr>
          <w:rFonts w:eastAsia="Times New Roman"/>
          <w:i/>
          <w:iCs/>
        </w:rPr>
        <w:t>et al</w:t>
      </w:r>
      <w:r w:rsidRPr="00523722">
        <w:rPr>
          <w:rFonts w:eastAsia="Times New Roman"/>
        </w:rPr>
        <w:t>. (2026) in their consideration of Scope 3 pressures. EcoLoop's opportunity is therefore based on measurable value to the community that is financial, operational and environmental.</w:t>
      </w:r>
    </w:p>
    <w:p w:rsidR="00CB5E86" w:rsidRPr="00523722" w:rsidRDefault="00E4141F">
      <w:pPr>
        <w:pStyle w:val="Heading2"/>
        <w:keepNext w:val="0"/>
        <w:keepLines w:val="0"/>
        <w:rPr>
          <w:rFonts w:eastAsia="Times New Roman"/>
        </w:rPr>
      </w:pPr>
      <w:bookmarkStart w:id="28" w:name="_Toc239815920"/>
      <w:r w:rsidRPr="00523722">
        <w:rPr>
          <w:rFonts w:eastAsia="Times New Roman"/>
        </w:rPr>
        <w:t>3.2 Circular Economy Theory</w:t>
      </w:r>
      <w:bookmarkEnd w:id="28"/>
    </w:p>
    <w:p w:rsidR="00CB5E86" w:rsidRPr="00523722" w:rsidRDefault="00E4141F">
      <w:pPr>
        <w:rPr>
          <w:rFonts w:eastAsia="Times New Roman"/>
          <w:color w:val="000000" w:themeColor="text1"/>
        </w:rPr>
      </w:pPr>
      <w:r w:rsidRPr="00523722">
        <w:rPr>
          <w:rFonts w:eastAsia="Times New Roman"/>
          <w:color w:val="000000" w:themeColor="text1"/>
        </w:rPr>
        <w:t>Circular Economy Theory encourages to extend the life of products and materials. Morseletto (2023) considers circularity to be a transition and Milios (2021) at the other end of the spectrum defines product-life extension as an “intervention into business”. EcoLoop embraces these principles in terms of re-using, refurbishing, maintenance, swapping and resale. Kans and HettiArachchige and Paulin (2024) highlight durability, collection systems, refurbishment quality and customer acceptance, while Kusumo</w:t>
      </w:r>
      <w:r w:rsidR="00754E7C" w:rsidRPr="00523722">
        <w:rPr>
          <w:rFonts w:eastAsia="Times New Roman"/>
          <w:i/>
          <w:iCs/>
          <w:color w:val="000000" w:themeColor="text1"/>
        </w:rPr>
        <w:t>et al</w:t>
      </w:r>
      <w:r w:rsidRPr="00523722">
        <w:rPr>
          <w:rFonts w:eastAsia="Times New Roman"/>
          <w:color w:val="000000" w:themeColor="text1"/>
        </w:rPr>
        <w:t>. (2022) focus on measurable indicators of the circularity.</w:t>
      </w:r>
    </w:p>
    <w:p w:rsidR="00CB5E86" w:rsidRPr="00523722" w:rsidRDefault="00E4141F">
      <w:pPr>
        <w:jc w:val="center"/>
        <w:rPr>
          <w:rFonts w:eastAsia="Times New Roman"/>
          <w:b/>
          <w:bCs/>
          <w:i/>
          <w:iCs/>
        </w:rPr>
      </w:pPr>
      <w:r w:rsidRPr="00523722">
        <w:rPr>
          <w:rFonts w:eastAsia="Times New Roman"/>
          <w:b/>
          <w:bCs/>
          <w:i/>
          <w:iCs/>
          <w:noProof/>
          <w:lang w:eastAsia="en-US"/>
        </w:rPr>
        <w:lastRenderedPageBreak/>
        <w:drawing>
          <wp:inline distT="114300" distB="114300" distL="114300" distR="114300">
            <wp:extent cx="4711700" cy="3981450"/>
            <wp:effectExtent l="12700" t="12700" r="12700" b="12700"/>
            <wp:docPr id="7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6197" t="14573" r="4513" b="9921"/>
                    <a:stretch>
                      <a:fillRect/>
                    </a:stretch>
                  </pic:blipFill>
                  <pic:spPr>
                    <a:xfrm>
                      <a:off x="0" y="0"/>
                      <a:ext cx="4711700" cy="3981450"/>
                    </a:xfrm>
                    <a:prstGeom prst="rect">
                      <a:avLst/>
                    </a:prstGeom>
                    <a:ln w="12700">
                      <a:solidFill>
                        <a:srgbClr val="000000"/>
                      </a:solidFill>
                      <a:prstDash val="solid"/>
                    </a:ln>
                  </pic:spPr>
                </pic:pic>
              </a:graphicData>
            </a:graphic>
          </wp:inline>
        </w:drawing>
      </w:r>
    </w:p>
    <w:p w:rsidR="00CB5E86" w:rsidRPr="00523722" w:rsidRDefault="00E4141F">
      <w:pPr>
        <w:jc w:val="center"/>
        <w:rPr>
          <w:rFonts w:eastAsia="Times New Roman"/>
          <w:b/>
          <w:bCs/>
          <w:i/>
          <w:iCs/>
        </w:rPr>
      </w:pPr>
      <w:r w:rsidRPr="00523722">
        <w:rPr>
          <w:rFonts w:eastAsia="Times New Roman"/>
          <w:b/>
          <w:bCs/>
          <w:i/>
          <w:iCs/>
        </w:rPr>
        <w:t>Figure 5: The Circular Economy</w:t>
      </w:r>
    </w:p>
    <w:p w:rsidR="00CB5E86" w:rsidRPr="00523722" w:rsidRDefault="00E4141F">
      <w:pPr>
        <w:jc w:val="center"/>
        <w:rPr>
          <w:rFonts w:eastAsia="Times New Roman"/>
          <w:b/>
          <w:bCs/>
          <w:i/>
          <w:iCs/>
        </w:rPr>
      </w:pPr>
      <w:r w:rsidRPr="00523722">
        <w:rPr>
          <w:rFonts w:eastAsia="Times New Roman"/>
          <w:b/>
          <w:bCs/>
          <w:i/>
          <w:iCs/>
        </w:rPr>
        <w:t>Source: (Bio-powder.com, 2023)</w:t>
      </w:r>
    </w:p>
    <w:p w:rsidR="00CB5E86" w:rsidRPr="00523722" w:rsidRDefault="00E4141F">
      <w:pPr>
        <w:rPr>
          <w:rFonts w:eastAsia="Times New Roman"/>
        </w:rPr>
      </w:pPr>
      <w:r w:rsidRPr="00523722">
        <w:rPr>
          <w:rFonts w:eastAsia="Times New Roman"/>
          <w:color w:val="000000" w:themeColor="text1"/>
        </w:rPr>
        <w:t xml:space="preserve">There are ample examples that others argue product-as-a-service models could help pave the way toward a shift from ownership to access, such as Hidalgo-Crespo </w:t>
      </w:r>
      <w:r w:rsidR="00754E7C" w:rsidRPr="00523722">
        <w:rPr>
          <w:rFonts w:eastAsia="Times New Roman"/>
          <w:i/>
          <w:iCs/>
          <w:color w:val="000000" w:themeColor="text1"/>
        </w:rPr>
        <w:t>et al</w:t>
      </w:r>
      <w:r w:rsidRPr="00523722">
        <w:rPr>
          <w:rFonts w:eastAsia="Times New Roman"/>
          <w:i/>
          <w:iCs/>
          <w:color w:val="000000" w:themeColor="text1"/>
        </w:rPr>
        <w:t>.</w:t>
      </w:r>
      <w:r w:rsidRPr="00523722">
        <w:rPr>
          <w:rFonts w:eastAsia="Times New Roman"/>
          <w:color w:val="000000" w:themeColor="text1"/>
        </w:rPr>
        <w:t xml:space="preserve"> (2024) and Baden and Frei (2021).</w:t>
      </w:r>
      <w:r w:rsidRPr="00523722">
        <w:rPr>
          <w:rFonts w:eastAsia="Times New Roman"/>
          <w:color w:val="FF0000"/>
        </w:rPr>
        <w:t xml:space="preserve"> </w:t>
      </w:r>
      <w:r w:rsidRPr="00523722">
        <w:rPr>
          <w:rFonts w:eastAsia="Times New Roman"/>
        </w:rPr>
        <w:t>However, Bressanelli, Saccani and Perona (2022) demonstrate that adoption may be limited by user acceptance and business potential. In addition, coordinated activities within a circular service model are highlighted by Alcayaga and Hansen (2025). CE thus carries environmental reasoning as a driver behind EcoLoop, but without evidence on pricing, utilisation and logistics, CE does not have the ability to create commercial viability.</w:t>
      </w:r>
    </w:p>
    <w:p w:rsidR="00CB5E86" w:rsidRPr="00523722" w:rsidRDefault="00CB5E86">
      <w:pPr>
        <w:pStyle w:val="Heading2"/>
        <w:rPr>
          <w:rFonts w:eastAsia="Times New Roman"/>
        </w:rPr>
      </w:pPr>
      <w:bookmarkStart w:id="29" w:name="_heading=h.l4laawf7z8m3" w:colFirst="0" w:colLast="0"/>
      <w:bookmarkEnd w:id="29"/>
    </w:p>
    <w:p w:rsidR="00CB5E86" w:rsidRPr="00523722" w:rsidRDefault="00E4141F">
      <w:pPr>
        <w:pStyle w:val="Heading2"/>
        <w:rPr>
          <w:rFonts w:eastAsia="Times New Roman"/>
        </w:rPr>
      </w:pPr>
      <w:bookmarkStart w:id="30" w:name="_Toc239815921"/>
      <w:r w:rsidRPr="00523722">
        <w:rPr>
          <w:rFonts w:eastAsia="Times New Roman"/>
        </w:rPr>
        <w:t>3.3 Sustainable Business Model Innovation</w:t>
      </w:r>
      <w:bookmarkEnd w:id="30"/>
    </w:p>
    <w:p w:rsidR="00CB5E86" w:rsidRPr="00523722" w:rsidRDefault="00E4141F">
      <w:pPr>
        <w:rPr>
          <w:rFonts w:eastAsia="Times New Roman"/>
        </w:rPr>
      </w:pPr>
      <w:r w:rsidRPr="00523722">
        <w:rPr>
          <w:rFonts w:eastAsia="Times New Roman"/>
        </w:rPr>
        <w:t xml:space="preserve">Sustainable Business Model Innovation (SBMI) takes sustainable development into value creation, delivery and capture </w:t>
      </w:r>
      <w:r w:rsidRPr="00523722">
        <w:rPr>
          <w:rFonts w:eastAsia="Times New Roman"/>
          <w:b/>
          <w:bCs/>
          <w:i/>
          <w:iCs/>
        </w:rPr>
        <w:t>(Refer to Figure 6)</w:t>
      </w:r>
      <w:r w:rsidRPr="00523722">
        <w:rPr>
          <w:rFonts w:eastAsia="Times New Roman"/>
        </w:rPr>
        <w:t>. The authors of the two papers cited above, as well as the authors of the articles, are convinced that companies need to rethink their business logic, and that other business models can include sustainability. Böttcher</w:t>
      </w:r>
      <w:r w:rsidR="00754E7C" w:rsidRPr="00523722">
        <w:rPr>
          <w:rFonts w:eastAsia="Times New Roman"/>
          <w:i/>
          <w:iCs/>
        </w:rPr>
        <w:t>et al</w:t>
      </w:r>
      <w:r w:rsidRPr="00523722">
        <w:rPr>
          <w:rFonts w:eastAsia="Times New Roman"/>
          <w:i/>
          <w:iCs/>
        </w:rPr>
        <w:t>.</w:t>
      </w:r>
      <w:r w:rsidRPr="00523722">
        <w:rPr>
          <w:rFonts w:eastAsia="Times New Roman"/>
        </w:rPr>
        <w:t xml:space="preserve"> (2024) point to digital technology as a facilitator of sustainable business models. </w:t>
      </w:r>
    </w:p>
    <w:p w:rsidR="00CB5E86" w:rsidRPr="00523722" w:rsidRDefault="00E4141F">
      <w:pPr>
        <w:jc w:val="center"/>
        <w:rPr>
          <w:rFonts w:eastAsia="Times New Roman"/>
          <w:b/>
          <w:bCs/>
          <w:i/>
          <w:iCs/>
        </w:rPr>
      </w:pPr>
      <w:r w:rsidRPr="00523722">
        <w:rPr>
          <w:rFonts w:eastAsia="Times New Roman"/>
          <w:b/>
          <w:bCs/>
          <w:i/>
          <w:iCs/>
          <w:noProof/>
          <w:lang w:eastAsia="en-US"/>
        </w:rPr>
        <w:drawing>
          <wp:inline distT="114300" distB="114300" distL="114300" distR="114300">
            <wp:extent cx="5943600" cy="3987800"/>
            <wp:effectExtent l="12700" t="12700" r="12700" b="12700"/>
            <wp:docPr id="7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3987800"/>
                    </a:xfrm>
                    <a:prstGeom prst="rect">
                      <a:avLst/>
                    </a:prstGeom>
                    <a:ln w="12700">
                      <a:solidFill>
                        <a:srgbClr val="000000"/>
                      </a:solidFill>
                      <a:prstDash val="solid"/>
                    </a:ln>
                  </pic:spPr>
                </pic:pic>
              </a:graphicData>
            </a:graphic>
          </wp:inline>
        </w:drawing>
      </w:r>
    </w:p>
    <w:p w:rsidR="00CB5E86" w:rsidRPr="00523722" w:rsidRDefault="00E4141F">
      <w:pPr>
        <w:jc w:val="center"/>
        <w:rPr>
          <w:rFonts w:eastAsia="Times New Roman"/>
          <w:b/>
          <w:bCs/>
          <w:i/>
          <w:iCs/>
        </w:rPr>
      </w:pPr>
      <w:r w:rsidRPr="00523722">
        <w:rPr>
          <w:rFonts w:eastAsia="Times New Roman"/>
          <w:b/>
          <w:bCs/>
          <w:i/>
          <w:iCs/>
        </w:rPr>
        <w:t>Figure 6 : A Sustainable Business Model</w:t>
      </w:r>
    </w:p>
    <w:p w:rsidR="00CB5E86" w:rsidRPr="00523722" w:rsidRDefault="00E4141F">
      <w:pPr>
        <w:jc w:val="center"/>
        <w:rPr>
          <w:rFonts w:eastAsia="Times New Roman"/>
          <w:b/>
          <w:bCs/>
          <w:i/>
          <w:iCs/>
        </w:rPr>
      </w:pPr>
      <w:r w:rsidRPr="00523722">
        <w:rPr>
          <w:rFonts w:eastAsia="Times New Roman"/>
          <w:b/>
          <w:bCs/>
          <w:i/>
          <w:iCs/>
        </w:rPr>
        <w:t>Source: (Briggs, 2023)</w:t>
      </w:r>
    </w:p>
    <w:p w:rsidR="00CB5E86" w:rsidRPr="00523722" w:rsidRDefault="00E4141F">
      <w:pPr>
        <w:rPr>
          <w:rFonts w:eastAsia="Times New Roman"/>
        </w:rPr>
      </w:pPr>
      <w:r w:rsidRPr="00523722">
        <w:rPr>
          <w:rFonts w:eastAsia="Times New Roman"/>
        </w:rPr>
        <w:lastRenderedPageBreak/>
        <w:t xml:space="preserve">For EcoLoop, SBMI translates to a furniture subscription replacing the one-off furniture sale, maintenance, refurbishment, swapping out, and resale. Poldner, Overdiek and Evangelista (2022), and Su </w:t>
      </w:r>
      <w:r w:rsidR="00754E7C" w:rsidRPr="00523722">
        <w:rPr>
          <w:rFonts w:eastAsia="Times New Roman"/>
          <w:i/>
          <w:iCs/>
        </w:rPr>
        <w:t>et al</w:t>
      </w:r>
      <w:r w:rsidRPr="00523722">
        <w:rPr>
          <w:rFonts w:eastAsia="Times New Roman"/>
          <w:i/>
          <w:iCs/>
        </w:rPr>
        <w:t xml:space="preserve">. </w:t>
      </w:r>
      <w:r w:rsidRPr="00523722">
        <w:rPr>
          <w:rFonts w:eastAsia="Times New Roman"/>
        </w:rPr>
        <w:t>(2025) provide examples of how product-service models can drive the change in consumption from ownership to access. However, there could be a rise in the expenses incurred in warehousing, refurbishment, reverse logistics, and maintenance, as in the case of sustainable innovation. Smiley and Bocken (2022) thus suggest that the ecosystem effects should be taken into account. EcoLoop will be testing the viability of recurring revenue and lifecycle control to overcome the operational complexity.</w:t>
      </w:r>
    </w:p>
    <w:p w:rsidR="00CB5E86" w:rsidRPr="00523722" w:rsidRDefault="00E4141F">
      <w:pPr>
        <w:pStyle w:val="Heading2"/>
        <w:keepNext w:val="0"/>
        <w:keepLines w:val="0"/>
        <w:rPr>
          <w:rFonts w:eastAsia="Times New Roman"/>
        </w:rPr>
      </w:pPr>
      <w:bookmarkStart w:id="31" w:name="_Toc239815922"/>
      <w:r w:rsidRPr="00523722">
        <w:rPr>
          <w:rFonts w:eastAsia="Times New Roman"/>
        </w:rPr>
        <w:t>3.4 Strategic Frameworks for Business Development</w:t>
      </w:r>
      <w:bookmarkEnd w:id="31"/>
    </w:p>
    <w:p w:rsidR="00CB5E86" w:rsidRPr="00523722" w:rsidRDefault="00E4141F">
      <w:pPr>
        <w:rPr>
          <w:rFonts w:eastAsia="Times New Roman"/>
        </w:rPr>
      </w:pPr>
      <w:r w:rsidRPr="00523722">
        <w:rPr>
          <w:rFonts w:eastAsia="Times New Roman"/>
        </w:rPr>
        <w:t>Jobs to be done (JTBD) uncovers customer needs for furnishing, moving in and out, growing and shrinking, and reveals issues with ownership, cleanliness and remanufactured quality. But it is not able to evaluate broader market conditions. PESTLE therefore looks at the external factors which are likely to affect the business and not at competitive strength.</w:t>
      </w:r>
    </w:p>
    <w:p w:rsidR="00CB5E86" w:rsidRPr="00523722" w:rsidRDefault="00E4141F">
      <w:pPr>
        <w:rPr>
          <w:rFonts w:eastAsia="Times New Roman"/>
        </w:rPr>
      </w:pPr>
      <w:r w:rsidRPr="00523722">
        <w:rPr>
          <w:rFonts w:eastAsia="Times New Roman"/>
        </w:rPr>
        <w:t>Porter's Five Forces are concerned with competitive feasibility, considering competition, buyer power, supplier power, new entrants and substitutes. The price and flexibility expectations are emphasized by Andersen and Kreye (2023) and the availability and warehousing costs are emphasized by Pratiwi</w:t>
      </w:r>
      <w:r w:rsidR="00754E7C" w:rsidRPr="00523722">
        <w:rPr>
          <w:rFonts w:eastAsia="Times New Roman"/>
          <w:i/>
          <w:iCs/>
        </w:rPr>
        <w:t>et al</w:t>
      </w:r>
      <w:r w:rsidRPr="00523722">
        <w:rPr>
          <w:rFonts w:eastAsia="Times New Roman"/>
          <w:i/>
          <w:iCs/>
        </w:rPr>
        <w:t>.</w:t>
      </w:r>
      <w:r w:rsidRPr="00523722">
        <w:rPr>
          <w:rFonts w:eastAsia="Times New Roman"/>
        </w:rPr>
        <w:t xml:space="preserve"> (2025). Therefore, Porter is used to seeing if EcoLoop's customer proposition is going to be competitive.</w:t>
      </w:r>
    </w:p>
    <w:p w:rsidR="00CB5E86" w:rsidRPr="00523722" w:rsidRDefault="00E4141F">
      <w:pPr>
        <w:rPr>
          <w:rFonts w:eastAsia="Times New Roman"/>
        </w:rPr>
      </w:pPr>
      <w:r w:rsidRPr="00523722">
        <w:rPr>
          <w:rFonts w:eastAsia="Times New Roman"/>
        </w:rPr>
        <w:t>The Business Model Canvas (BMC) looks at the operational and financial viability, including the mapping of the partners, activities, resources, costs and revenues. The Value Proposition Canvas (VPC) on the other hand verifies the fit of a value proposition: customer gains and pains, and flexibility, the cost of service and refurbishment, and the reporting of ESG benefits are assessed. Then STP looks at the market focus - priority segments and positioning EcoLoop against alternatives.</w:t>
      </w:r>
    </w:p>
    <w:p w:rsidR="00CB5E86" w:rsidRPr="00523722" w:rsidRDefault="00E4141F">
      <w:pPr>
        <w:rPr>
          <w:rFonts w:eastAsia="Times New Roman"/>
        </w:rPr>
      </w:pPr>
      <w:r w:rsidRPr="00523722">
        <w:rPr>
          <w:rFonts w:eastAsia="Times New Roman"/>
        </w:rPr>
        <w:t xml:space="preserve">So, these frameworks are not duplicated analysis, but complementary. JTBD is used to find out what the customer needs, PESTLE is used to study external factors, Porter is </w:t>
      </w:r>
      <w:r w:rsidRPr="00523722">
        <w:rPr>
          <w:rFonts w:eastAsia="Times New Roman"/>
        </w:rPr>
        <w:lastRenderedPageBreak/>
        <w:t>used to study competition, VPC is used to assess value fit, BMC is used to study the business-model logic, and STP is used to determine positioning in the target market. When used in combination, these applications allow for a more comprehensive evaluation of EcoLoop across the customer demand, environmental conditions, competitive pressures, value creation, role in the operational design and market positioning, which strengthens the basis for evaluating the overall commercial feasibility.</w:t>
      </w:r>
    </w:p>
    <w:p w:rsidR="00CB5E86" w:rsidRPr="00523722" w:rsidRDefault="00E4141F">
      <w:pPr>
        <w:pStyle w:val="Heading2"/>
        <w:keepNext w:val="0"/>
        <w:keepLines w:val="0"/>
        <w:rPr>
          <w:rFonts w:eastAsia="Times New Roman"/>
        </w:rPr>
      </w:pPr>
      <w:bookmarkStart w:id="32" w:name="_Toc239815923"/>
      <w:r w:rsidRPr="00523722">
        <w:rPr>
          <w:rFonts w:eastAsia="Times New Roman"/>
        </w:rPr>
        <w:t>3.5 Synthesis and Research Gap</w:t>
      </w:r>
      <w:bookmarkEnd w:id="32"/>
    </w:p>
    <w:p w:rsidR="00CB5E86" w:rsidRPr="00523722" w:rsidRDefault="00E4141F">
      <w:pPr>
        <w:rPr>
          <w:rFonts w:eastAsia="Times New Roman"/>
        </w:rPr>
      </w:pPr>
      <w:r w:rsidRPr="00523722">
        <w:rPr>
          <w:rFonts w:eastAsia="Times New Roman"/>
        </w:rPr>
        <w:t>Theories supporting circular furniture and sustainable service models are fragmented in the literature, ranging from CE to SBMI, acceptance and strategic analysis. The real question isn't if circularity is good or bad, it's whether subscription furniture can be commercially viable in the context of UK office fit-out. The existing evidence is not as well connected as it could be to include market demand, customer value, cost flexibility, refurbishment economics, ESG benefits, competition and regulation. EcoLoop fills this void by integrating CE Theory, SBMI with the principles of JTBD, PESTLE, Porter's Five Forces, BMC and VPC and STP. This holistic process is an analysis of customer issues, external factors, competition, value creation and revenue logic. Most importantly, the frameworks should stimulate, rather than dictate, the outcome: EcoLoop needs to prove that sustainability can be customer value and marketable processes.</w:t>
      </w:r>
    </w:p>
    <w:p w:rsidR="00CB5E86" w:rsidRDefault="00E4141F">
      <w:pPr>
        <w:pStyle w:val="Heading1"/>
        <w:keepNext w:val="0"/>
        <w:keepLines w:val="0"/>
        <w:rPr>
          <w:rFonts w:ascii="Times New Roman" w:eastAsia="Times New Roman" w:hAnsi="Times New Roman" w:cs="Times New Roman"/>
        </w:rPr>
      </w:pPr>
      <w:bookmarkStart w:id="33" w:name="_heading=h.wgucovmd79ik" w:colFirst="0" w:colLast="0"/>
      <w:bookmarkEnd w:id="33"/>
      <w:r>
        <w:br w:type="page"/>
      </w:r>
    </w:p>
    <w:p w:rsidR="00CB5E86" w:rsidRPr="00523722" w:rsidRDefault="00E4141F">
      <w:pPr>
        <w:pStyle w:val="Heading1"/>
        <w:keepNext w:val="0"/>
        <w:keepLines w:val="0"/>
        <w:rPr>
          <w:rFonts w:eastAsia="Times New Roman"/>
        </w:rPr>
      </w:pPr>
      <w:bookmarkStart w:id="34" w:name="_Toc239815924"/>
      <w:r w:rsidRPr="00523722">
        <w:rPr>
          <w:rFonts w:eastAsia="Times New Roman"/>
        </w:rPr>
        <w:lastRenderedPageBreak/>
        <w:t>4. Methodology</w:t>
      </w:r>
      <w:bookmarkEnd w:id="34"/>
    </w:p>
    <w:p w:rsidR="00CB5E86" w:rsidRPr="00523722" w:rsidRDefault="00E4141F">
      <w:pPr>
        <w:pStyle w:val="Heading2"/>
        <w:keepNext w:val="0"/>
        <w:keepLines w:val="0"/>
        <w:rPr>
          <w:rFonts w:eastAsia="Times New Roman"/>
        </w:rPr>
      </w:pPr>
      <w:bookmarkStart w:id="35" w:name="_Toc239815925"/>
      <w:r w:rsidRPr="00523722">
        <w:rPr>
          <w:rFonts w:eastAsia="Times New Roman"/>
        </w:rPr>
        <w:t>4.1 Methodological Approach to Opportunity Identification</w:t>
      </w:r>
      <w:bookmarkEnd w:id="35"/>
    </w:p>
    <w:p w:rsidR="00CB5E86" w:rsidRPr="00523722" w:rsidRDefault="00E4141F">
      <w:pPr>
        <w:rPr>
          <w:rFonts w:eastAsia="Times New Roman"/>
        </w:rPr>
      </w:pPr>
      <w:r w:rsidRPr="00523722">
        <w:rPr>
          <w:rFonts w:eastAsia="Times New Roman"/>
        </w:rPr>
        <w:t>For the methodology, it takes a secondary investigation approach, but in accordance with the approved scope of theEcoLoop Office proposal. They are not conducting surveys, interviews or customer conversations or other research involving human participants, but rather systematically gathering, screening and comparing academic, government and industry evidence. It centres on the UK corporate office furniture, fit-out and refurbishment market and events from 2021 to 2026, with older seminal events kept if required. This is suitable since it is not the aim to obtain primary behavioural data but to evaluate if the product is commercially viable. The opportunity is defined by four related issues: Workplace needs are evolving, Furniture purchasing cost is on the rise, Furniture waste, and Rising ESG expectations.</w:t>
      </w:r>
    </w:p>
    <w:p w:rsidR="00CB5E86" w:rsidRPr="00523722" w:rsidRDefault="00E4141F">
      <w:pPr>
        <w:pStyle w:val="Heading2"/>
        <w:keepNext w:val="0"/>
        <w:keepLines w:val="0"/>
        <w:rPr>
          <w:rFonts w:eastAsia="Times New Roman"/>
        </w:rPr>
      </w:pPr>
      <w:bookmarkStart w:id="36" w:name="_Toc239815926"/>
      <w:r w:rsidRPr="00523722">
        <w:rPr>
          <w:rFonts w:eastAsia="Times New Roman"/>
        </w:rPr>
        <w:t>4.2 Market Insight Collection</w:t>
      </w:r>
      <w:bookmarkEnd w:id="36"/>
    </w:p>
    <w:p w:rsidR="00CB5E86" w:rsidRPr="00523722" w:rsidRDefault="00E4141F">
      <w:pPr>
        <w:rPr>
          <w:rFonts w:eastAsia="Times New Roman"/>
        </w:rPr>
      </w:pPr>
      <w:r w:rsidRPr="00523722">
        <w:rPr>
          <w:rFonts w:eastAsia="Times New Roman"/>
        </w:rPr>
        <w:t xml:space="preserve">The information gathered from the market to create insights is not from the actual customers but from reputable secondary sources. Sources are peer-reviewed journal articles, UK Government publications, Office for National Statistics datasets and industry reports, procurement notices and business sources (Liu </w:t>
      </w:r>
      <w:r w:rsidR="00754E7C" w:rsidRPr="00523722">
        <w:rPr>
          <w:rFonts w:eastAsia="Times New Roman"/>
          <w:i/>
          <w:iCs/>
        </w:rPr>
        <w:t>et al</w:t>
      </w:r>
      <w:r w:rsidRPr="00523722">
        <w:rPr>
          <w:rFonts w:eastAsia="Times New Roman"/>
          <w:i/>
          <w:iCs/>
        </w:rPr>
        <w:t>.</w:t>
      </w:r>
      <w:r w:rsidRPr="00523722">
        <w:rPr>
          <w:rFonts w:eastAsia="Times New Roman"/>
        </w:rPr>
        <w:t>, 2026). The sources are chosen based on their relevance to the UK furniture market for offices, their approach to circular economy, refurbishment, flexible working, procurement, regulation, competition and sustainability. Evidence is documented by source, publication year, market relevance, and numerical evidence/implications for EcoLoop Office. This establishes a process that can be replicated to evaluate evidence that is in opposition to the proposal objectives.</w:t>
      </w:r>
    </w:p>
    <w:p w:rsidR="00CB5E86" w:rsidRPr="00523722" w:rsidRDefault="00E4141F">
      <w:pPr>
        <w:rPr>
          <w:rFonts w:eastAsia="Times New Roman"/>
        </w:rPr>
      </w:pPr>
      <w:r w:rsidRPr="00523722">
        <w:rPr>
          <w:rFonts w:eastAsia="Times New Roman"/>
        </w:rPr>
        <w:t xml:space="preserve">Importantly, the proposal excludes activities like customer conversations, store visits and mystery shopping, as the design clearly calls for the collection of secondary data and there are no human subjects involved. Competitor benchmarking is therefore carried out on publicly available data on existing providers, such as their service </w:t>
      </w:r>
      <w:r w:rsidRPr="00523722">
        <w:rPr>
          <w:rFonts w:eastAsia="Times New Roman"/>
        </w:rPr>
        <w:lastRenderedPageBreak/>
        <w:t>propositions, positioning with regard to circularity, subscription or rental models and customer-facing offerings (Stabler</w:t>
      </w:r>
      <w:r w:rsidR="00754E7C" w:rsidRPr="00523722">
        <w:rPr>
          <w:rFonts w:eastAsia="Times New Roman"/>
          <w:i/>
          <w:iCs/>
        </w:rPr>
        <w:t>et al</w:t>
      </w:r>
      <w:r w:rsidRPr="00523722">
        <w:rPr>
          <w:rFonts w:eastAsia="Times New Roman"/>
          <w:i/>
          <w:iCs/>
        </w:rPr>
        <w:t>.</w:t>
      </w:r>
      <w:r w:rsidRPr="00523722">
        <w:rPr>
          <w:rFonts w:eastAsia="Times New Roman"/>
        </w:rPr>
        <w:t>, 2024). This reduces the number of uninformed inferences about competitor performance.</w:t>
      </w:r>
    </w:p>
    <w:p w:rsidR="00CB5E86" w:rsidRPr="00523722" w:rsidRDefault="00E4141F">
      <w:pPr>
        <w:pStyle w:val="Heading2"/>
        <w:keepNext w:val="0"/>
        <w:keepLines w:val="0"/>
        <w:rPr>
          <w:rFonts w:eastAsia="Times New Roman"/>
        </w:rPr>
      </w:pPr>
      <w:bookmarkStart w:id="37" w:name="_Toc239815927"/>
      <w:r w:rsidRPr="00523722">
        <w:rPr>
          <w:rFonts w:eastAsia="Times New Roman"/>
        </w:rPr>
        <w:t>4.3 Market Data Gathering</w:t>
      </w:r>
      <w:bookmarkEnd w:id="37"/>
    </w:p>
    <w:p w:rsidR="00CB5E86" w:rsidRPr="00523722" w:rsidRDefault="00E4141F">
      <w:pPr>
        <w:rPr>
          <w:rFonts w:eastAsia="Times New Roman"/>
          <w:color w:val="FF0000"/>
        </w:rPr>
      </w:pPr>
      <w:r w:rsidRPr="00523722">
        <w:rPr>
          <w:rFonts w:eastAsia="Times New Roman"/>
          <w:color w:val="000000" w:themeColor="text1"/>
        </w:rPr>
        <w:t>The study is based on secondary research within the scope of the EcoLoop Office and will not involve surveys, interviews or research involving human participants. Evidence emphasises the corporate office furniture fit-out and refurbishment market in the UK, mainly in 2021-2026, alongside the inclusion of some older seminal sources that are deemed necessary. Authoritative data sources (e.g. ONS and any publications from the UK government) are prioritised and then supported by peer-reviewed literature and/or industry evidence</w:t>
      </w:r>
      <w:r w:rsidRPr="00523722">
        <w:rPr>
          <w:rFonts w:eastAsia="Times New Roman"/>
          <w:color w:val="FF0000"/>
        </w:rPr>
        <w:t>.</w:t>
      </w:r>
    </w:p>
    <w:p w:rsidR="00CB5E86" w:rsidRPr="00523722" w:rsidRDefault="00E4141F">
      <w:pPr>
        <w:rPr>
          <w:rFonts w:eastAsia="Times New Roman"/>
        </w:rPr>
      </w:pPr>
      <w:r w:rsidRPr="00523722">
        <w:rPr>
          <w:rFonts w:eastAsia="Times New Roman"/>
        </w:rPr>
        <w:t>Data are obtained from searching academic, public, and industry sources. The evidence is then organised into the seven areas of market demand, customer value, cost, ESG, regulation, competition and operational feasibility (Dauerer, 2025). This classification directly reflects the research objectives, and it does not allow irrelevant evidence to affect the business decision.</w:t>
      </w:r>
    </w:p>
    <w:p w:rsidR="00CB5E86" w:rsidRPr="00523722" w:rsidRDefault="00E4141F">
      <w:pPr>
        <w:pStyle w:val="Heading2"/>
        <w:rPr>
          <w:rFonts w:eastAsia="Times New Roman"/>
        </w:rPr>
      </w:pPr>
      <w:bookmarkStart w:id="38" w:name="_Toc239815928"/>
      <w:r w:rsidRPr="00523722">
        <w:rPr>
          <w:rFonts w:eastAsia="Times New Roman"/>
        </w:rPr>
        <w:t>4.4 Search Strategy and Search Terms</w:t>
      </w:r>
      <w:bookmarkEnd w:id="38"/>
    </w:p>
    <w:p w:rsidR="00CB5E86" w:rsidRPr="00523722" w:rsidRDefault="00E4141F">
      <w:pPr>
        <w:rPr>
          <w:rFonts w:eastAsia="Times New Roman"/>
          <w:color w:val="000000" w:themeColor="text1"/>
        </w:rPr>
      </w:pPr>
      <w:r w:rsidRPr="00523722">
        <w:rPr>
          <w:rFonts w:eastAsia="Times New Roman"/>
          <w:color w:val="000000" w:themeColor="text1"/>
        </w:rPr>
        <w:t xml:space="preserve">To ensure the method is reproducible, the search should include ONS, GOV.UK and UK Government procurement sites as well as Google Scholar and any relevant academic search engines and credible industry search providers. In addition they must contain elements such as “UK office furniture market”, “office furniture refurbishment”, “circular economy furniture”, “furniture-as-a-service”, “subscription furniture”, “hybrid working UK”, “sustainable procurement furniture”, “reverse logistics”, “office furniture waste” and “ESG reporting”. Peer-reviewed research, official statistics, notices of contracts being put out for tender and credible industry evidence specific to the UK should all be focused on inclusion. There is no need to include promotional, irrelevant and poorly documented sources. The evidence should be kept and documented by source, year, </w:t>
      </w:r>
      <w:r w:rsidRPr="00523722">
        <w:rPr>
          <w:rFonts w:eastAsia="Times New Roman"/>
          <w:color w:val="000000" w:themeColor="text1"/>
        </w:rPr>
        <w:lastRenderedPageBreak/>
        <w:t>geographical relevance, type of evidence, key finding, numerical evidence and implication for EcoLoop.</w:t>
      </w:r>
    </w:p>
    <w:p w:rsidR="00CB5E86" w:rsidRPr="00523722" w:rsidRDefault="00E4141F">
      <w:pPr>
        <w:pStyle w:val="Heading2"/>
        <w:keepNext w:val="0"/>
        <w:keepLines w:val="0"/>
        <w:rPr>
          <w:rFonts w:eastAsia="Times New Roman"/>
        </w:rPr>
      </w:pPr>
      <w:bookmarkStart w:id="39" w:name="_Toc239815929"/>
      <w:r w:rsidRPr="00523722">
        <w:rPr>
          <w:rFonts w:eastAsia="Times New Roman"/>
        </w:rPr>
        <w:t>4.5 Data Analysis</w:t>
      </w:r>
      <w:bookmarkEnd w:id="39"/>
    </w:p>
    <w:p w:rsidR="00CB5E86" w:rsidRPr="00523722" w:rsidRDefault="00E4141F">
      <w:pPr>
        <w:rPr>
          <w:rFonts w:eastAsia="Times New Roman"/>
        </w:rPr>
      </w:pPr>
      <w:r w:rsidRPr="00523722">
        <w:rPr>
          <w:rFonts w:eastAsia="Times New Roman"/>
        </w:rPr>
        <w:t>Analysis is mostly in the thematic and comparative style and not in the statistical hypothesis testing style. Thematic analysis detects comparable themes/patterns in the secondary evidence, such as cost flexibility, adaptability in the workplace, refurbishment, reuse, ESG reporting, quality aspects, and operational issues. The comparison of ownership versus subscription, new furniture versus refurbished furniture and EcoLoop versus competing and comparable products. No regression analysis is performed as there is no primary respondent dataset in the study; numerical indications are used in a descriptive manner to establish market scale, signals of demand, cost pressure and environmental significance.</w:t>
      </w:r>
    </w:p>
    <w:p w:rsidR="00CB5E86" w:rsidRPr="00523722" w:rsidRDefault="00E4141F">
      <w:pPr>
        <w:rPr>
          <w:rFonts w:eastAsia="Times New Roman"/>
        </w:rPr>
      </w:pPr>
      <w:r w:rsidRPr="00523722">
        <w:rPr>
          <w:rFonts w:eastAsia="Times New Roman"/>
        </w:rPr>
        <w:t>The evidence is assessed by weighing up the findings in favour of the evidence against it. This is important as sustainability benefits are not quantitative enough to ensure profitability. For instance, while furniture can last longer if it is reused, storage, refitting and maintenance can lead to higher operational costs. The assessment takes into account opportunity strength and risk.</w:t>
      </w:r>
    </w:p>
    <w:p w:rsidR="00CB5E86" w:rsidRPr="00523722" w:rsidRDefault="00E4141F">
      <w:pPr>
        <w:pStyle w:val="Heading2"/>
        <w:keepNext w:val="0"/>
        <w:keepLines w:val="0"/>
        <w:rPr>
          <w:rFonts w:eastAsia="Times New Roman"/>
        </w:rPr>
      </w:pPr>
      <w:bookmarkStart w:id="40" w:name="_Toc239815930"/>
      <w:r w:rsidRPr="00523722">
        <w:rPr>
          <w:rFonts w:eastAsia="Times New Roman"/>
        </w:rPr>
        <w:t>4.6 Models and Frameworks</w:t>
      </w:r>
      <w:bookmarkEnd w:id="40"/>
    </w:p>
    <w:p w:rsidR="00CB5E86" w:rsidRPr="00523722" w:rsidRDefault="00E4141F">
      <w:pPr>
        <w:rPr>
          <w:rFonts w:eastAsia="Times New Roman"/>
        </w:rPr>
      </w:pPr>
      <w:r w:rsidRPr="00523722">
        <w:rPr>
          <w:rFonts w:eastAsia="Times New Roman"/>
        </w:rPr>
        <w:t>The frameworks used in the literature review are used as complementary analysis tools. Jobs-to-be-Done focuses on real-world issues customers need to have addressed, like furniture and moving out, expansion and downsizing (Kalbach</w:t>
      </w:r>
      <w:r w:rsidR="00754E7C" w:rsidRPr="00523722">
        <w:rPr>
          <w:rFonts w:eastAsia="Times New Roman"/>
          <w:i/>
          <w:iCs/>
        </w:rPr>
        <w:t>et al</w:t>
      </w:r>
      <w:r w:rsidRPr="00523722">
        <w:rPr>
          <w:rFonts w:eastAsia="Times New Roman"/>
          <w:i/>
          <w:iCs/>
        </w:rPr>
        <w:t>.,</w:t>
      </w:r>
      <w:r w:rsidRPr="00523722">
        <w:rPr>
          <w:rFonts w:eastAsia="Times New Roman"/>
        </w:rPr>
        <w:t xml:space="preserve"> 2024). PESTLE considers political, economic, social, technological, legal and environmental factors impacting the opportunity. Porter's 5 Forces analysis looks at buyer power, supplier power, rivalry, substitutes and entry barriers. The Business Model Canvas visualises the following elements: partners, activities, resources, value proposition, customer segments, channels, relationships, costs and revenues. The Value Proposition Canvas is used to check if the advantages EcoLoop offers customers meet their jobs, pains and </w:t>
      </w:r>
      <w:r w:rsidRPr="00523722">
        <w:rPr>
          <w:rFonts w:eastAsia="Times New Roman"/>
        </w:rPr>
        <w:lastRenderedPageBreak/>
        <w:t>gains. Then, STP transforms the evidence into segments, customer personas and positioning. The theoretical background for the interpretation of the proposed model that will create sustainability and business value is provided by Circular Economy Theory and Sustainable Business Model Innovation. These tools can be combined to allow for triangulation of market, customer, competitive and business-model evidence.</w:t>
      </w:r>
    </w:p>
    <w:p w:rsidR="00CB5E86" w:rsidRPr="00523722" w:rsidRDefault="00E4141F">
      <w:pPr>
        <w:pStyle w:val="Heading2"/>
        <w:keepNext w:val="0"/>
        <w:keepLines w:val="0"/>
        <w:rPr>
          <w:rFonts w:eastAsia="Times New Roman"/>
        </w:rPr>
      </w:pPr>
      <w:bookmarkStart w:id="41" w:name="_Toc239815931"/>
      <w:r w:rsidRPr="00523722">
        <w:rPr>
          <w:rFonts w:eastAsia="Times New Roman"/>
        </w:rPr>
        <w:t>4.7 Limitations and Ethical Considerations</w:t>
      </w:r>
      <w:bookmarkEnd w:id="41"/>
    </w:p>
    <w:p w:rsidR="00CB5E86" w:rsidRPr="00523722" w:rsidRDefault="00E4141F">
      <w:pPr>
        <w:rPr>
          <w:rFonts w:eastAsia="Times New Roman"/>
        </w:rPr>
      </w:pPr>
      <w:r w:rsidRPr="00523722">
        <w:rPr>
          <w:rFonts w:eastAsia="Times New Roman"/>
        </w:rPr>
        <w:t>The primary constraint is reliance on secondary information, which can be incomplete, inconsistent and/or commercially sensitive. Commercial estimates may also be less accurate because public pricing and customers' demand data may be inadequate. Competitor claims may include promotion bias, and datasets may have varying definitions. It is therefore not based on a single data source, but rather findings are triangulated across multiple credible sources (Fu, Nicholson and Easton, 2024).</w:t>
      </w:r>
    </w:p>
    <w:p w:rsidR="00CB5E86" w:rsidRDefault="00E4141F">
      <w:r w:rsidRPr="00523722">
        <w:rPr>
          <w:rFonts w:eastAsia="Times New Roman"/>
        </w:rPr>
        <w:t>Ethically, the study does not involve human beings, personal information, or confidential organisational information. Sources are represented accurately, referenced and interpreted without manipulating evidence to support EcoLoop Office. The methodology is transparent and is repeatable and consistent with the secondary-research boundary of the proposal where commercially appropriate.</w:t>
      </w:r>
      <w:r>
        <w:br w:type="page"/>
      </w:r>
    </w:p>
    <w:p w:rsidR="00CB5E86" w:rsidRDefault="00E4141F">
      <w:pPr>
        <w:pStyle w:val="Heading1"/>
      </w:pPr>
      <w:bookmarkStart w:id="42" w:name="_Toc239815932"/>
      <w:r>
        <w:lastRenderedPageBreak/>
        <w:t>Chapter 5: Market Opportunity Analysis</w:t>
      </w:r>
      <w:bookmarkEnd w:id="42"/>
    </w:p>
    <w:p w:rsidR="00CB5E86" w:rsidRDefault="00E4141F">
      <w:pPr>
        <w:pStyle w:val="Heading2"/>
      </w:pPr>
      <w:bookmarkStart w:id="43" w:name="_Toc239815933"/>
      <w:r>
        <w:t>5.1 Scope and Market Definition</w:t>
      </w:r>
      <w:bookmarkEnd w:id="43"/>
    </w:p>
    <w:p w:rsidR="00CB5E86" w:rsidRDefault="00E4141F">
      <w:r>
        <w:t>EcoLoop Office is a component of the UK B2B office furniture circular economy market, providing furniture on a subscription basis instead of traditional ownership along with delivery services, furniture maintenance, swap-out, take back, refurbishment, re-sale and ESG reporting. The relevant customers are customers who have varying needs in their work area, particularly the customers of SMEs, scale-ups and flexible workspace operators (Zahari</w:t>
      </w:r>
      <w:r w:rsidR="00754E7C" w:rsidRPr="00754E7C">
        <w:rPr>
          <w:i/>
          <w:iCs/>
        </w:rPr>
        <w:t>et al</w:t>
      </w:r>
      <w:r>
        <w:t>., 2023). Current evidence has been used for the analysis of the UK market, along with contractual direct distribution channels focusing on B2B distribution arrangements. This is relevant because the office-furniture industry is much bigger than a market that a subscription scheme would possibly be able to penetrate. Thus, this chapter reviews not just the demand for a product, but if the demand is great enough, accessible and commercially viable for the EcoLoop.</w:t>
      </w:r>
    </w:p>
    <w:p w:rsidR="00CB5E86" w:rsidRDefault="00E4141F">
      <w:pPr>
        <w:pStyle w:val="Heading2"/>
      </w:pPr>
      <w:bookmarkStart w:id="44" w:name="_Toc239815934"/>
      <w:r>
        <w:t>5.2 Market Size and Growth</w:t>
      </w:r>
      <w:bookmarkEnd w:id="44"/>
    </w:p>
    <w:p w:rsidR="00CB5E86" w:rsidRDefault="00E4141F">
      <w:r>
        <w:t>Boasting a significant customer base of around 2.73 million VAT and/or PAYE businesses (Government of UK, 2025), the UK is home to a significant B2B market. This number should not be taken as a measure of EcoLoop's addressable market, though. Many businesses could actually have a lower likelihood of needing to move their offices, regular furniture layouts, or not be interested in procurement through subscriptions (Ma and Chang, 2024). This definition of the relevant market thus needs to be limited from the overall business sector to those enterprises that are interested in acquiring office furniture, are undergoing establishment or restructuring of the office space, and have a reasonable basis for considering flexibility.</w:t>
      </w:r>
    </w:p>
    <w:p w:rsidR="00CB5E86" w:rsidRDefault="00E4141F">
      <w:r>
        <w:t xml:space="preserve">There is compelling evidence that around 1.2 million desks and 1.8 million chairs are thrown away every year (Gorecka, 2025), which is supported by the circular opportunity. This points to large amounts of furniture that is available to be reused and refurbished, but does not show a demand for subscription. In fact, furniture waste and furniture </w:t>
      </w:r>
      <w:r>
        <w:lastRenderedPageBreak/>
        <w:t>demand are two entirely different indicators: the former represents an underused asset pool, the latter a company's demand for breaking the laws of access to furniture. (Pei, Italia and Melazzini, 2024).</w:t>
      </w:r>
    </w:p>
    <w:p w:rsidR="00CB5E86" w:rsidRDefault="00E4141F">
      <w:pPr>
        <w:rPr>
          <w:b/>
          <w:bCs/>
        </w:rPr>
      </w:pPr>
      <w:r>
        <w:rPr>
          <w:b/>
          <w:bCs/>
        </w:rPr>
        <w:t>Table 1: Market Discussion and Relevance to EcoLoop</w:t>
      </w:r>
    </w:p>
    <w:tbl>
      <w:tblPr>
        <w:tblStyle w:val="afffffff"/>
        <w:tblW w:w="9045" w:type="dxa"/>
        <w:tblBorders>
          <w:top w:val="nil"/>
          <w:left w:val="nil"/>
          <w:bottom w:val="nil"/>
          <w:right w:val="nil"/>
          <w:insideH w:val="nil"/>
          <w:insideV w:val="nil"/>
        </w:tblBorders>
        <w:tblLayout w:type="fixed"/>
        <w:tblLook w:val="0600"/>
      </w:tblPr>
      <w:tblGrid>
        <w:gridCol w:w="5115"/>
        <w:gridCol w:w="3930"/>
      </w:tblGrid>
      <w:tr w:rsidR="00CB5E86">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Market level</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Relevance to EcoLoop</w:t>
            </w:r>
          </w:p>
        </w:tc>
      </w:tr>
      <w:tr w:rsidR="00CB5E86">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Total UK businesses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Broad potential population</w:t>
            </w:r>
          </w:p>
        </w:tc>
      </w:tr>
      <w:tr w:rsidR="00CB5E86">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Businesses with offices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Relevant customer pool</w:t>
            </w:r>
          </w:p>
        </w:tc>
      </w:tr>
      <w:tr w:rsidR="00CB5E86">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Businesses with changing requirements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More realistic potential market</w:t>
            </w:r>
          </w:p>
        </w:tc>
      </w:tr>
      <w:tr w:rsidR="00CB5E86">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Businesses receptive to flexible access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Serviceable market</w:t>
            </w:r>
          </w:p>
        </w:tc>
      </w:tr>
      <w:tr w:rsidR="00CB5E86">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SMEs/scale-ups and flexible workspaces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Priority initial target</w:t>
            </w:r>
          </w:p>
        </w:tc>
      </w:tr>
    </w:tbl>
    <w:p w:rsidR="00CB5E86" w:rsidRDefault="00E4141F">
      <w:r>
        <w:t>The direction of the market is also not clear. Climate change, changing occupancy, and redesigning offices can drive up the need for flexibility and are an impetus for reusing space through hybrid working. Alternatively, the response can be for organisations to keep existing furniture or reduce space (e.g. through downsizing) or buy modular furniture products (Mokhtar, Xifeng and Wenming, 2025). So overall trends are good in the workplace, which translates to a need for adaptability, but not growth in the particular subscription space. The experience of a single consumer in the office-furniture sector makes it difficult to determine how consumers feel and what they are willing to pay for subscription relationships.</w:t>
      </w:r>
    </w:p>
    <w:p w:rsidR="00CB5E86" w:rsidRDefault="00E4141F">
      <w:pPr>
        <w:pStyle w:val="Heading2"/>
      </w:pPr>
      <w:bookmarkStart w:id="45" w:name="_Toc239815935"/>
      <w:r>
        <w:t>5.3 Segmentation and Target Customer</w:t>
      </w:r>
      <w:bookmarkEnd w:id="45"/>
    </w:p>
    <w:p w:rsidR="00CB5E86" w:rsidRDefault="00E4141F">
      <w:r>
        <w:t xml:space="preserve">EcoLoop's segmentation should be based on factors influencing need, affordability, frequency of exchange and willingness to apply flexible procurement; and not be limited to only those businesses that are potential customers. Firmographic features like size </w:t>
      </w:r>
      <w:r>
        <w:lastRenderedPageBreak/>
        <w:t>and growth rate are especially significant, and behavioural attributes like relocations, expansions, furniture turnover and environmental, social and economic (ESG) considerations for purchasing furniture bear particular relevance for the identification of genuine prospects (Kaluvilla, Mulla and Zahidi, 2025).</w:t>
      </w:r>
    </w:p>
    <w:p w:rsidR="00CB5E86" w:rsidRDefault="00E4141F">
      <w:r>
        <w:t>SMEs and scale-ups are appealing as growing and shrinking cottages/relocating can render ownership relatively inflexible. While some might find this appealing, cost constraints could make it more appealing for them to buy a copy than to subscribe (Amasino, Dolgin and Huettel, 2023). While there are greater purchasing power and ESG benefits from corporate tenants, there are increased challenges regarding procurement and arrangements from suppliers, due to established supplier relationships. Among the various types of flex workplaces, the flexible-workspace operators seem to have greater appeal, as tenants typically move in and out of the flexible workspace, reconfiguring, replacing or relocating the furniture on each occasion. However, their buying power could also lead to a good negotiating price. Environments where sustainability alignment exists may be less accessible in public-sector organisations as this might require formal procurement.</w:t>
      </w:r>
    </w:p>
    <w:p w:rsidR="00CB5E86" w:rsidRDefault="00E4141F">
      <w:pPr>
        <w:pStyle w:val="Heading3"/>
      </w:pPr>
      <w:bookmarkStart w:id="46" w:name="_Toc239815936"/>
      <w:r>
        <w:t>5.3.1 Segmentation</w:t>
      </w:r>
      <w:bookmarkEnd w:id="46"/>
    </w:p>
    <w:p w:rsidR="00CB5E86" w:rsidRDefault="00E4141F">
      <w:pPr>
        <w:rPr>
          <w:b/>
          <w:bCs/>
        </w:rPr>
      </w:pPr>
      <w:r>
        <w:rPr>
          <w:b/>
          <w:bCs/>
        </w:rPr>
        <w:t>Table 2. Segmentation</w:t>
      </w:r>
    </w:p>
    <w:tbl>
      <w:tblPr>
        <w:tblStyle w:val="afffffff0"/>
        <w:tblW w:w="9235" w:type="dxa"/>
        <w:tblBorders>
          <w:top w:val="nil"/>
          <w:left w:val="nil"/>
          <w:bottom w:val="nil"/>
          <w:right w:val="nil"/>
          <w:insideH w:val="nil"/>
          <w:insideV w:val="nil"/>
        </w:tblBorders>
        <w:tblLayout w:type="fixed"/>
        <w:tblLook w:val="0600"/>
      </w:tblPr>
      <w:tblGrid>
        <w:gridCol w:w="2645"/>
        <w:gridCol w:w="6590"/>
      </w:tblGrid>
      <w:tr w:rsidR="00CB5E86">
        <w:trPr>
          <w:trHeight w:val="800"/>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Segmentation Dimension</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Analysis</w:t>
            </w:r>
          </w:p>
        </w:tc>
      </w:tr>
      <w:tr w:rsidR="00CB5E86">
        <w:trPr>
          <w:trHeight w:val="800"/>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Demographic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SMEs, corporates, flexible-workspace operators and public organisations.</w:t>
            </w:r>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Geographic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UK commercial centres with strong office activity.</w:t>
            </w:r>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Psychographic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Cost-conscious, flexibility- and sustainability-oriented.</w:t>
            </w:r>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Behavioural</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Relocation, expansion, downsizing and refurbishment.</w:t>
            </w:r>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lastRenderedPageBreak/>
              <w:t>Economic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Varying purchasing capacity and price sensitivity.</w:t>
            </w:r>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Overall</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Strongest fit: SMEs/scale-ups and flexible workspaces.</w:t>
            </w:r>
          </w:p>
        </w:tc>
      </w:tr>
    </w:tbl>
    <w:p w:rsidR="00CB5E86" w:rsidRDefault="00E4141F">
      <w:pPr>
        <w:pStyle w:val="Heading3"/>
        <w:spacing w:before="280" w:after="80"/>
      </w:pPr>
      <w:bookmarkStart w:id="47" w:name="_Toc239815937"/>
      <w:r>
        <w:t>5.3.2 Targeting</w:t>
      </w:r>
      <w:bookmarkEnd w:id="47"/>
    </w:p>
    <w:p w:rsidR="00CB5E86" w:rsidRDefault="00E4141F">
      <w:pPr>
        <w:spacing w:before="280" w:after="80"/>
        <w:rPr>
          <w:b/>
          <w:bCs/>
        </w:rPr>
      </w:pPr>
      <w:r>
        <w:rPr>
          <w:b/>
          <w:bCs/>
        </w:rPr>
        <w:t>Table 3. Customer Persona 1</w:t>
      </w:r>
    </w:p>
    <w:sdt>
      <w:sdtPr>
        <w:tag w:val="goog_rdk_0"/>
        <w:id w:val="2011281629"/>
        <w:lock w:val="contentLocked"/>
      </w:sdtPr>
      <w:sdtContent>
        <w:tbl>
          <w:tblPr>
            <w:tblStyle w:val="afffffff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CB5E86">
            <w:tc>
              <w:tcPr>
                <w:tcW w:w="4680" w:type="dxa"/>
                <w:shd w:val="clear" w:color="auto" w:fill="F4CCCC"/>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pPr>
                <w:r>
                  <w:rPr>
                    <w:noProof/>
                    <w:lang w:eastAsia="en-US"/>
                  </w:rPr>
                  <w:drawing>
                    <wp:inline distT="114300" distB="114300" distL="114300" distR="114300">
                      <wp:extent cx="2838450" cy="1892300"/>
                      <wp:effectExtent l="12700" t="12700" r="12700" b="12700"/>
                      <wp:docPr id="8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cstate="print"/>
                              <a:srcRect/>
                              <a:stretch>
                                <a:fillRect/>
                              </a:stretch>
                            </pic:blipFill>
                            <pic:spPr>
                              <a:xfrm>
                                <a:off x="0" y="0"/>
                                <a:ext cx="2838450" cy="1892300"/>
                              </a:xfrm>
                              <a:prstGeom prst="rect">
                                <a:avLst/>
                              </a:prstGeom>
                              <a:ln w="12700">
                                <a:solidFill>
                                  <a:srgbClr val="000000"/>
                                </a:solidFill>
                                <a:prstDash val="solid"/>
                              </a:ln>
                            </pic:spPr>
                          </pic:pic>
                        </a:graphicData>
                      </a:graphic>
                    </wp:inline>
                  </w:drawing>
                </w:r>
              </w:p>
            </w:tc>
            <w:tc>
              <w:tcPr>
                <w:tcW w:w="4680" w:type="dxa"/>
                <w:shd w:val="clear" w:color="auto" w:fill="F4CCCC"/>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pPr>
                <w:r>
                  <w:t>Works for a large company with dynamic growth who have fluctuating office space needs - staff of 80+ He appreciates cost containment, flexibility and convenience, and does not want to buy items of furniture when he understands that he will be able to avoid an excess after expansion or relocation.</w:t>
                </w:r>
              </w:p>
            </w:tc>
          </w:tr>
          <w:tr w:rsidR="00CB5E86">
            <w:tc>
              <w:tcPr>
                <w:tcW w:w="4680" w:type="dxa"/>
                <w:shd w:val="clear" w:color="auto" w:fill="F4CCCC"/>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rPr>
                </w:pPr>
                <w:r>
                  <w:rPr>
                    <w:b/>
                    <w:bCs/>
                  </w:rPr>
                  <w:t>Name: James Wilson</w:t>
                </w:r>
              </w:p>
              <w:p w:rsidR="00CB5E86" w:rsidRDefault="00E4141F">
                <w:pPr>
                  <w:widowControl w:val="0"/>
                  <w:pBdr>
                    <w:top w:val="nil"/>
                    <w:left w:val="nil"/>
                    <w:bottom w:val="nil"/>
                    <w:right w:val="nil"/>
                    <w:between w:val="nil"/>
                  </w:pBdr>
                  <w:spacing w:before="0" w:after="0" w:line="240" w:lineRule="auto"/>
                </w:pPr>
                <w:r>
                  <w:t>Age: 34</w:t>
                </w:r>
              </w:p>
              <w:p w:rsidR="00CB5E86" w:rsidRDefault="00E4141F">
                <w:pPr>
                  <w:widowControl w:val="0"/>
                  <w:pBdr>
                    <w:top w:val="nil"/>
                    <w:left w:val="nil"/>
                    <w:bottom w:val="nil"/>
                    <w:right w:val="nil"/>
                    <w:between w:val="nil"/>
                  </w:pBdr>
                  <w:spacing w:before="0" w:after="0" w:line="240" w:lineRule="auto"/>
                </w:pPr>
                <w:r>
                  <w:t>Location: London</w:t>
                </w:r>
              </w:p>
              <w:p w:rsidR="00CB5E86" w:rsidRDefault="00E4141F">
                <w:pPr>
                  <w:widowControl w:val="0"/>
                  <w:pBdr>
                    <w:top w:val="nil"/>
                    <w:left w:val="nil"/>
                    <w:bottom w:val="nil"/>
                    <w:right w:val="nil"/>
                    <w:between w:val="nil"/>
                  </w:pBdr>
                  <w:spacing w:before="0" w:after="0" w:line="240" w:lineRule="auto"/>
                </w:pPr>
                <w:r>
                  <w:t>Role: Operations Manager – Growth-Stage SME</w:t>
                </w:r>
              </w:p>
            </w:tc>
            <w:tc>
              <w:tcPr>
                <w:tcW w:w="4680" w:type="dxa"/>
                <w:shd w:val="clear" w:color="auto" w:fill="F4CCCC"/>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pPr>
                <w:r>
                  <w:t>Work style</w:t>
                </w:r>
              </w:p>
              <w:p w:rsidR="00CB5E86" w:rsidRDefault="00E4141F">
                <w:pPr>
                  <w:widowControl w:val="0"/>
                  <w:numPr>
                    <w:ilvl w:val="0"/>
                    <w:numId w:val="9"/>
                  </w:numPr>
                  <w:pBdr>
                    <w:top w:val="nil"/>
                    <w:left w:val="nil"/>
                    <w:bottom w:val="nil"/>
                    <w:right w:val="nil"/>
                    <w:between w:val="nil"/>
                  </w:pBdr>
                  <w:spacing w:before="0" w:after="0" w:line="240" w:lineRule="auto"/>
                </w:pPr>
                <w:r>
                  <w:t>Hybrid</w:t>
                </w:r>
              </w:p>
              <w:p w:rsidR="00CB5E86" w:rsidRDefault="00E4141F">
                <w:pPr>
                  <w:widowControl w:val="0"/>
                  <w:numPr>
                    <w:ilvl w:val="0"/>
                    <w:numId w:val="9"/>
                  </w:numPr>
                  <w:pBdr>
                    <w:top w:val="nil"/>
                    <w:left w:val="nil"/>
                    <w:bottom w:val="nil"/>
                    <w:right w:val="nil"/>
                    <w:between w:val="nil"/>
                  </w:pBdr>
                  <w:spacing w:before="0" w:after="0" w:line="240" w:lineRule="auto"/>
                </w:pPr>
                <w:r>
                  <w:t>Rapidly expanding</w:t>
                </w:r>
              </w:p>
            </w:tc>
          </w:tr>
          <w:tr w:rsidR="00CB5E86">
            <w:tc>
              <w:tcPr>
                <w:tcW w:w="4680" w:type="dxa"/>
                <w:shd w:val="clear" w:color="auto" w:fill="F4CCCC"/>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rPr>
                </w:pPr>
                <w:r>
                  <w:rPr>
                    <w:b/>
                    <w:bCs/>
                  </w:rPr>
                  <w:t>Goal</w:t>
                </w:r>
              </w:p>
              <w:p w:rsidR="00CB5E86" w:rsidRDefault="00E4141F">
                <w:pPr>
                  <w:widowControl w:val="0"/>
                  <w:numPr>
                    <w:ilvl w:val="0"/>
                    <w:numId w:val="11"/>
                  </w:numPr>
                  <w:pBdr>
                    <w:top w:val="nil"/>
                    <w:left w:val="nil"/>
                    <w:bottom w:val="nil"/>
                    <w:right w:val="nil"/>
                    <w:between w:val="nil"/>
                  </w:pBdr>
                  <w:spacing w:before="0" w:after="0" w:line="240" w:lineRule="auto"/>
                </w:pPr>
                <w:r>
                  <w:t xml:space="preserve">Reduce upfront furniture expenditure </w:t>
                </w:r>
              </w:p>
            </w:tc>
            <w:tc>
              <w:tcPr>
                <w:tcW w:w="4680" w:type="dxa"/>
                <w:shd w:val="clear" w:color="auto" w:fill="F4CCCC"/>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rPr>
                </w:pPr>
                <w:r>
                  <w:rPr>
                    <w:b/>
                    <w:bCs/>
                  </w:rPr>
                  <w:t>Need</w:t>
                </w:r>
              </w:p>
              <w:p w:rsidR="00CB5E86" w:rsidRDefault="00E4141F">
                <w:pPr>
                  <w:widowControl w:val="0"/>
                  <w:numPr>
                    <w:ilvl w:val="0"/>
                    <w:numId w:val="10"/>
                  </w:numPr>
                  <w:pBdr>
                    <w:top w:val="nil"/>
                    <w:left w:val="nil"/>
                    <w:bottom w:val="nil"/>
                    <w:right w:val="nil"/>
                    <w:between w:val="nil"/>
                  </w:pBdr>
                  <w:spacing w:before="0" w:after="0" w:line="240" w:lineRule="auto"/>
                </w:pPr>
                <w:r>
                  <w:t>Flexible furniture for expansion</w:t>
                </w:r>
              </w:p>
              <w:p w:rsidR="00CB5E86" w:rsidRDefault="00E4141F">
                <w:pPr>
                  <w:widowControl w:val="0"/>
                  <w:numPr>
                    <w:ilvl w:val="0"/>
                    <w:numId w:val="10"/>
                  </w:numPr>
                  <w:pBdr>
                    <w:top w:val="nil"/>
                    <w:left w:val="nil"/>
                    <w:bottom w:val="nil"/>
                    <w:right w:val="nil"/>
                    <w:between w:val="nil"/>
                  </w:pBdr>
                  <w:spacing w:before="0" w:after="0" w:line="240" w:lineRule="auto"/>
                </w:pPr>
                <w:r>
                  <w:t xml:space="preserve">Relocation </w:t>
                </w:r>
              </w:p>
            </w:tc>
          </w:tr>
          <w:tr w:rsidR="00CB5E86">
            <w:trPr>
              <w:trHeight w:val="440"/>
            </w:trPr>
            <w:tc>
              <w:tcPr>
                <w:tcW w:w="9360" w:type="dxa"/>
                <w:gridSpan w:val="2"/>
                <w:shd w:val="clear" w:color="auto" w:fill="D0E0E3"/>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rPr>
                </w:pPr>
                <w:r>
                  <w:rPr>
                    <w:b/>
                    <w:bCs/>
                  </w:rPr>
                  <w:t>Pain points</w:t>
                </w:r>
              </w:p>
              <w:p w:rsidR="00CB5E86" w:rsidRDefault="00E4141F">
                <w:pPr>
                  <w:widowControl w:val="0"/>
                  <w:numPr>
                    <w:ilvl w:val="0"/>
                    <w:numId w:val="12"/>
                  </w:numPr>
                  <w:pBdr>
                    <w:top w:val="nil"/>
                    <w:left w:val="nil"/>
                    <w:bottom w:val="nil"/>
                    <w:right w:val="nil"/>
                    <w:between w:val="nil"/>
                  </w:pBdr>
                  <w:spacing w:before="0" w:after="0" w:line="240" w:lineRule="auto"/>
                </w:pPr>
                <w:r>
                  <w:t>Storage</w:t>
                </w:r>
              </w:p>
              <w:p w:rsidR="00CB5E86" w:rsidRDefault="00E4141F">
                <w:pPr>
                  <w:widowControl w:val="0"/>
                  <w:numPr>
                    <w:ilvl w:val="0"/>
                    <w:numId w:val="12"/>
                  </w:numPr>
                  <w:pBdr>
                    <w:top w:val="nil"/>
                    <w:left w:val="nil"/>
                    <w:bottom w:val="nil"/>
                    <w:right w:val="nil"/>
                    <w:between w:val="nil"/>
                  </w:pBdr>
                  <w:spacing w:before="0" w:after="0" w:line="240" w:lineRule="auto"/>
                </w:pPr>
                <w:r>
                  <w:t>Disposal</w:t>
                </w:r>
              </w:p>
              <w:p w:rsidR="00CB5E86" w:rsidRDefault="00E4141F">
                <w:pPr>
                  <w:widowControl w:val="0"/>
                  <w:numPr>
                    <w:ilvl w:val="0"/>
                    <w:numId w:val="12"/>
                  </w:numPr>
                  <w:pBdr>
                    <w:top w:val="nil"/>
                    <w:left w:val="nil"/>
                    <w:bottom w:val="nil"/>
                    <w:right w:val="nil"/>
                    <w:between w:val="nil"/>
                  </w:pBdr>
                  <w:spacing w:before="0" w:after="0" w:line="240" w:lineRule="auto"/>
                </w:pPr>
                <w:r>
                  <w:t xml:space="preserve">Stranded furniture </w:t>
                </w:r>
              </w:p>
            </w:tc>
          </w:tr>
        </w:tbl>
      </w:sdtContent>
    </w:sdt>
    <w:p w:rsidR="00523722" w:rsidRDefault="00523722">
      <w:pPr>
        <w:rPr>
          <w:b/>
          <w:bCs/>
        </w:rPr>
      </w:pPr>
    </w:p>
    <w:p w:rsidR="00523722" w:rsidRDefault="00523722">
      <w:pPr>
        <w:rPr>
          <w:b/>
          <w:bCs/>
        </w:rPr>
      </w:pPr>
    </w:p>
    <w:p w:rsidR="00523722" w:rsidRDefault="00523722">
      <w:pPr>
        <w:rPr>
          <w:b/>
          <w:bCs/>
        </w:rPr>
      </w:pPr>
    </w:p>
    <w:p w:rsidR="00523722" w:rsidRDefault="00523722">
      <w:pPr>
        <w:rPr>
          <w:b/>
          <w:bCs/>
        </w:rPr>
      </w:pPr>
    </w:p>
    <w:p w:rsidR="00CB5E86" w:rsidRDefault="00E4141F">
      <w:pPr>
        <w:rPr>
          <w:b/>
          <w:bCs/>
        </w:rPr>
      </w:pPr>
      <w:r>
        <w:rPr>
          <w:b/>
          <w:bCs/>
        </w:rPr>
        <w:lastRenderedPageBreak/>
        <w:t>Table 4. Customer Persona 2</w:t>
      </w:r>
    </w:p>
    <w:sdt>
      <w:sdtPr>
        <w:tag w:val="goog_rdk_1"/>
        <w:id w:val="576304264"/>
        <w:lock w:val="contentLocked"/>
      </w:sdtPr>
      <w:sdtContent>
        <w:tbl>
          <w:tblPr>
            <w:tblStyle w:val="afffffff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CB5E86">
            <w:tc>
              <w:tcPr>
                <w:tcW w:w="4680" w:type="dxa"/>
                <w:shd w:val="clear" w:color="auto" w:fill="B6D7A8"/>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pPr>
                <w:r>
                  <w:rPr>
                    <w:noProof/>
                    <w:lang w:eastAsia="en-US"/>
                  </w:rPr>
                  <w:drawing>
                    <wp:inline distT="114300" distB="114300" distL="114300" distR="114300">
                      <wp:extent cx="2838450" cy="1892300"/>
                      <wp:effectExtent l="12700" t="12700" r="12700" b="12700"/>
                      <wp:docPr id="8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cstate="print"/>
                              <a:srcRect/>
                              <a:stretch>
                                <a:fillRect/>
                              </a:stretch>
                            </pic:blipFill>
                            <pic:spPr>
                              <a:xfrm>
                                <a:off x="0" y="0"/>
                                <a:ext cx="2838450" cy="1892300"/>
                              </a:xfrm>
                              <a:prstGeom prst="rect">
                                <a:avLst/>
                              </a:prstGeom>
                              <a:ln w="12700">
                                <a:solidFill>
                                  <a:srgbClr val="000000"/>
                                </a:solidFill>
                                <a:prstDash val="solid"/>
                              </a:ln>
                            </pic:spPr>
                          </pic:pic>
                        </a:graphicData>
                      </a:graphic>
                    </wp:inline>
                  </w:drawing>
                </w:r>
              </w:p>
            </w:tc>
            <w:tc>
              <w:tcPr>
                <w:tcW w:w="4680" w:type="dxa"/>
                <w:shd w:val="clear" w:color="auto" w:fill="B6D7A8"/>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pPr>
                <w:r>
                  <w:t>Supervises a multi-tenant workspace that is subject to turnover and needs to have furniture often reconfigured and replaced quickly. Chemistry is her key focus, where she values: being available, service reliability, operational flexibility.</w:t>
                </w:r>
              </w:p>
            </w:tc>
          </w:tr>
          <w:tr w:rsidR="00CB5E86">
            <w:tc>
              <w:tcPr>
                <w:tcW w:w="4680" w:type="dxa"/>
                <w:shd w:val="clear" w:color="auto" w:fill="FFE599"/>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rPr>
                </w:pPr>
                <w:r>
                  <w:rPr>
                    <w:b/>
                    <w:bCs/>
                  </w:rPr>
                  <w:t>Name: Sarah Patel</w:t>
                </w:r>
              </w:p>
              <w:p w:rsidR="00CB5E86" w:rsidRDefault="00E4141F">
                <w:pPr>
                  <w:widowControl w:val="0"/>
                  <w:pBdr>
                    <w:top w:val="nil"/>
                    <w:left w:val="nil"/>
                    <w:bottom w:val="nil"/>
                    <w:right w:val="nil"/>
                    <w:between w:val="nil"/>
                  </w:pBdr>
                  <w:spacing w:before="0" w:after="0" w:line="240" w:lineRule="auto"/>
                </w:pPr>
                <w:r>
                  <w:t>Age: 41</w:t>
                </w:r>
              </w:p>
              <w:p w:rsidR="00CB5E86" w:rsidRDefault="00E4141F">
                <w:pPr>
                  <w:widowControl w:val="0"/>
                  <w:pBdr>
                    <w:top w:val="nil"/>
                    <w:left w:val="nil"/>
                    <w:bottom w:val="nil"/>
                    <w:right w:val="nil"/>
                    <w:between w:val="nil"/>
                  </w:pBdr>
                  <w:spacing w:before="0" w:after="0" w:line="240" w:lineRule="auto"/>
                </w:pPr>
                <w:r>
                  <w:t>Job: Workplace Manager</w:t>
                </w:r>
              </w:p>
              <w:p w:rsidR="00CB5E86" w:rsidRDefault="00E4141F">
                <w:pPr>
                  <w:widowControl w:val="0"/>
                  <w:pBdr>
                    <w:top w:val="nil"/>
                    <w:left w:val="nil"/>
                    <w:bottom w:val="nil"/>
                    <w:right w:val="nil"/>
                    <w:between w:val="nil"/>
                  </w:pBdr>
                  <w:spacing w:before="0" w:after="0" w:line="240" w:lineRule="auto"/>
                </w:pPr>
                <w:r>
                  <w:t>Location: UK</w:t>
                </w:r>
              </w:p>
            </w:tc>
            <w:tc>
              <w:tcPr>
                <w:tcW w:w="4680" w:type="dxa"/>
                <w:shd w:val="clear" w:color="auto" w:fill="B6D7A8"/>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rPr>
                </w:pPr>
                <w:r>
                  <w:rPr>
                    <w:b/>
                    <w:bCs/>
                  </w:rPr>
                  <w:t>Personality</w:t>
                </w:r>
              </w:p>
              <w:p w:rsidR="00CB5E86" w:rsidRDefault="00E4141F">
                <w:pPr>
                  <w:widowControl w:val="0"/>
                  <w:numPr>
                    <w:ilvl w:val="0"/>
                    <w:numId w:val="2"/>
                  </w:numPr>
                  <w:pBdr>
                    <w:top w:val="nil"/>
                    <w:left w:val="nil"/>
                    <w:bottom w:val="nil"/>
                    <w:right w:val="nil"/>
                    <w:between w:val="nil"/>
                  </w:pBdr>
                  <w:spacing w:before="0" w:after="0" w:line="240" w:lineRule="auto"/>
                </w:pPr>
                <w:r>
                  <w:t>Adaptability</w:t>
                </w:r>
              </w:p>
              <w:p w:rsidR="00CB5E86" w:rsidRDefault="00E4141F">
                <w:pPr>
                  <w:widowControl w:val="0"/>
                  <w:numPr>
                    <w:ilvl w:val="0"/>
                    <w:numId w:val="2"/>
                  </w:numPr>
                  <w:pBdr>
                    <w:top w:val="nil"/>
                    <w:left w:val="nil"/>
                    <w:bottom w:val="nil"/>
                    <w:right w:val="nil"/>
                    <w:between w:val="nil"/>
                  </w:pBdr>
                  <w:spacing w:before="0" w:after="0" w:line="240" w:lineRule="auto"/>
                </w:pPr>
                <w:r>
                  <w:t>Efficiency-focused</w:t>
                </w:r>
              </w:p>
            </w:tc>
          </w:tr>
          <w:tr w:rsidR="00CB5E86">
            <w:tc>
              <w:tcPr>
                <w:tcW w:w="4680" w:type="dxa"/>
                <w:shd w:val="clear" w:color="auto" w:fill="B6D7A8"/>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rPr>
                </w:pPr>
                <w:r>
                  <w:rPr>
                    <w:b/>
                    <w:bCs/>
                  </w:rPr>
                  <w:t>Goal</w:t>
                </w:r>
              </w:p>
              <w:p w:rsidR="00CB5E86" w:rsidRDefault="00E4141F">
                <w:pPr>
                  <w:widowControl w:val="0"/>
                  <w:numPr>
                    <w:ilvl w:val="0"/>
                    <w:numId w:val="13"/>
                  </w:numPr>
                  <w:pBdr>
                    <w:top w:val="nil"/>
                    <w:left w:val="nil"/>
                    <w:bottom w:val="nil"/>
                    <w:right w:val="nil"/>
                    <w:between w:val="nil"/>
                  </w:pBdr>
                  <w:spacing w:before="0" w:after="0" w:line="240" w:lineRule="auto"/>
                </w:pPr>
                <w:r>
                  <w:t>Reconfigure workspaces quickly</w:t>
                </w:r>
              </w:p>
            </w:tc>
            <w:tc>
              <w:tcPr>
                <w:tcW w:w="4680" w:type="dxa"/>
                <w:shd w:val="clear" w:color="auto" w:fill="FFE599"/>
                <w:tcMar>
                  <w:top w:w="100" w:type="dxa"/>
                  <w:left w:w="100" w:type="dxa"/>
                  <w:bottom w:w="100" w:type="dxa"/>
                  <w:right w:w="100" w:type="dxa"/>
                </w:tcMar>
              </w:tcPr>
              <w:p w:rsidR="00CB5E86" w:rsidRDefault="00E4141F">
                <w:pPr>
                  <w:widowControl w:val="0"/>
                  <w:spacing w:before="0" w:after="0" w:line="240" w:lineRule="auto"/>
                  <w:rPr>
                    <w:b/>
                    <w:bCs/>
                  </w:rPr>
                </w:pPr>
                <w:r>
                  <w:rPr>
                    <w:b/>
                    <w:bCs/>
                  </w:rPr>
                  <w:t>Need</w:t>
                </w:r>
              </w:p>
              <w:p w:rsidR="00CB5E86" w:rsidRDefault="00E4141F">
                <w:pPr>
                  <w:widowControl w:val="0"/>
                  <w:numPr>
                    <w:ilvl w:val="0"/>
                    <w:numId w:val="4"/>
                  </w:numPr>
                  <w:spacing w:before="0" w:after="0" w:line="240" w:lineRule="auto"/>
                </w:pPr>
                <w:r>
                  <w:t>Reliable furniture availability</w:t>
                </w:r>
              </w:p>
              <w:p w:rsidR="00CB5E86" w:rsidRDefault="00E4141F">
                <w:pPr>
                  <w:widowControl w:val="0"/>
                  <w:numPr>
                    <w:ilvl w:val="0"/>
                    <w:numId w:val="4"/>
                  </w:numPr>
                  <w:spacing w:before="0" w:after="0" w:line="240" w:lineRule="auto"/>
                </w:pPr>
                <w:r>
                  <w:t>Replacement</w:t>
                </w:r>
              </w:p>
            </w:tc>
          </w:tr>
          <w:tr w:rsidR="00CB5E86">
            <w:trPr>
              <w:trHeight w:val="440"/>
            </w:trPr>
            <w:tc>
              <w:tcPr>
                <w:tcW w:w="9360" w:type="dxa"/>
                <w:gridSpan w:val="2"/>
                <w:shd w:val="clear" w:color="auto" w:fill="B6D7A8"/>
                <w:tcMar>
                  <w:top w:w="100" w:type="dxa"/>
                  <w:left w:w="100" w:type="dxa"/>
                  <w:bottom w:w="100" w:type="dxa"/>
                  <w:right w:w="100" w:type="dxa"/>
                </w:tcMar>
              </w:tcPr>
              <w:p w:rsidR="00CB5E86" w:rsidRDefault="00E4141F">
                <w:pPr>
                  <w:widowControl w:val="0"/>
                  <w:spacing w:before="0" w:after="0" w:line="240" w:lineRule="auto"/>
                  <w:rPr>
                    <w:b/>
                    <w:bCs/>
                  </w:rPr>
                </w:pPr>
                <w:r>
                  <w:rPr>
                    <w:b/>
                    <w:bCs/>
                  </w:rPr>
                  <w:t>Pain points</w:t>
                </w:r>
              </w:p>
              <w:p w:rsidR="00CB5E86" w:rsidRDefault="00E4141F">
                <w:pPr>
                  <w:widowControl w:val="0"/>
                  <w:numPr>
                    <w:ilvl w:val="0"/>
                    <w:numId w:val="3"/>
                  </w:numPr>
                  <w:spacing w:before="0" w:after="0" w:line="240" w:lineRule="auto"/>
                </w:pPr>
                <w:r>
                  <w:t>Turnover</w:t>
                </w:r>
              </w:p>
              <w:p w:rsidR="00CB5E86" w:rsidRDefault="00E4141F">
                <w:pPr>
                  <w:widowControl w:val="0"/>
                  <w:numPr>
                    <w:ilvl w:val="0"/>
                    <w:numId w:val="3"/>
                  </w:numPr>
                  <w:spacing w:before="0" w:after="0" w:line="240" w:lineRule="auto"/>
                </w:pPr>
                <w:r>
                  <w:t>Storage</w:t>
                </w:r>
              </w:p>
              <w:p w:rsidR="00CB5E86" w:rsidRDefault="00E4141F">
                <w:pPr>
                  <w:widowControl w:val="0"/>
                  <w:numPr>
                    <w:ilvl w:val="0"/>
                    <w:numId w:val="3"/>
                  </w:numPr>
                  <w:spacing w:before="0" w:after="0" w:line="240" w:lineRule="auto"/>
                </w:pPr>
                <w:r>
                  <w:t>Downtime</w:t>
                </w:r>
              </w:p>
            </w:tc>
          </w:tr>
        </w:tbl>
      </w:sdtContent>
    </w:sdt>
    <w:p w:rsidR="00CB5E86" w:rsidRDefault="00E4141F">
      <w:pPr>
        <w:pStyle w:val="Heading2"/>
        <w:keepNext w:val="0"/>
        <w:keepLines w:val="0"/>
      </w:pPr>
      <w:bookmarkStart w:id="48" w:name="_Toc239815938"/>
      <w:r>
        <w:t>5.4 Pain Points, Unmet Needs and Demand</w:t>
      </w:r>
      <w:bookmarkEnd w:id="48"/>
    </w:p>
    <w:p w:rsidR="00CB5E86" w:rsidRDefault="00E4141F">
      <w:r>
        <w:t>The primary problem is that office furniture is costly, but office furniture that fits that office's needs is a problem that's inefficiently solved by ownership. In the event of relocation, expansion, downsizing and refurbishment, organisations may have surplus separation and disposal responsibilities, storage costs (Öngel, Gonçalves and da Silva, 2025) and assets to manage and maintain. One method of overcoming this rigidity with EcoLoop is by implementing a subscription service, second-life use and swapping out batteries, and take-back. All of these problems, though, do not create demand for EcoLoop's solution.</w:t>
      </w:r>
    </w:p>
    <w:p w:rsidR="00CB5E86" w:rsidRDefault="00E4141F">
      <w:r>
        <w:lastRenderedPageBreak/>
        <w:t>Customers are also provided with an option to buy assets (new or second-hand), rent assets, own existing assets or repair existing assets. This can be beneficial if these options appear more familiar, more controlled or have perceived less risk. Likewise, hybrid work might require more flexibility in the workplace, and correspondingly, companies may need to cut down on office space and not subscribe to furniture (Alfieri, Mariotti and Rossi 2025). The preferences for sustainability don't necessarily take precedence over issues of quality, ownership, and long-term cost.</w:t>
      </w:r>
    </w:p>
    <w:p w:rsidR="00CB5E86" w:rsidRDefault="00E4141F">
      <w:r>
        <w:t>Thus, there is likely to be a difference in demand depending on how often furniture is being changed, how price sensitive, the switching costs, and the perceived risk. The advantage of subscription is greater when organisations are required to frequently reconfigure their furniture arrangements, as well as have limited capital. On the other hand, owning furniture may be advantageous for organisations in which furniture is expected to last for a long time (Pourrahimian</w:t>
      </w:r>
      <w:r w:rsidR="00754E7C" w:rsidRPr="00754E7C">
        <w:rPr>
          <w:i/>
          <w:iCs/>
        </w:rPr>
        <w:t>et al</w:t>
      </w:r>
      <w:r>
        <w:t>., 2026). The limiting factor is willingness to pay. Without primary evidence from the customers, they can only be potential customers; actual purchasing behaviour cannot be determined. Thus, EcoLoop has found a valid unmet opportunity, which has yet to be validated in terms of commercial need.</w:t>
      </w:r>
    </w:p>
    <w:p w:rsidR="00CB5E86" w:rsidRDefault="00E4141F">
      <w:pPr>
        <w:pStyle w:val="Heading2"/>
      </w:pPr>
      <w:bookmarkStart w:id="49" w:name="_Toc239815939"/>
      <w:r>
        <w:t>5.5 Economic and Geographic Conditions</w:t>
      </w:r>
      <w:bookmarkEnd w:id="49"/>
    </w:p>
    <w:p w:rsidR="00CB5E86" w:rsidRDefault="00E4141F">
      <w:r>
        <w:t>Economic conditions are counterintuitive for EcoLoop. It can be favourable to avoid heavy initial investment as the cost of fit-out and procurement of office furniture can be high. Subscription can also help in terms of predictability of expenditures and lower financial risk of adaptive response to the changing needs in the work environment (Markiewicz and Ziobrowska-Sztuczka, 2026). However, regular repayments are an agreement which may cost more than owning in the long term.</w:t>
      </w:r>
    </w:p>
    <w:p w:rsidR="00CB5E86" w:rsidRDefault="00E4141F">
      <w:r>
        <w:t xml:space="preserve">This tension exists due to inflation too. This may lead to a higher awareness of furniture costs and procurement costs, which can enhance refurbishment and cost-flexible methods, but can also eat into businesses' budgets. SMEs might appreciate flexibility and may therefore delay the expenditure, or even make no expenses. Likewise, higher </w:t>
      </w:r>
      <w:r>
        <w:lastRenderedPageBreak/>
        <w:t>financing rates can make it less attractive to have a large investment, but it doesn't necessarily mean that people will opt for subscriptions (Elarabi and Khalifa, 2025).</w:t>
      </w:r>
    </w:p>
    <w:p w:rsidR="00CB5E86" w:rsidRDefault="00E4141F">
      <w:pPr>
        <w:rPr>
          <w:b/>
          <w:bCs/>
        </w:rPr>
      </w:pPr>
      <w:r>
        <w:rPr>
          <w:b/>
          <w:bCs/>
        </w:rPr>
        <w:t>Table 5: Economic Condition and Related Opportunities</w:t>
      </w:r>
    </w:p>
    <w:tbl>
      <w:tblPr>
        <w:tblStyle w:val="afffffff3"/>
        <w:tblW w:w="9210" w:type="dxa"/>
        <w:tblBorders>
          <w:top w:val="nil"/>
          <w:left w:val="nil"/>
          <w:bottom w:val="nil"/>
          <w:right w:val="nil"/>
          <w:insideH w:val="nil"/>
          <w:insideV w:val="nil"/>
        </w:tblBorders>
        <w:tblLayout w:type="fixed"/>
        <w:tblLook w:val="0600"/>
      </w:tblPr>
      <w:tblGrid>
        <w:gridCol w:w="2565"/>
        <w:gridCol w:w="3360"/>
        <w:gridCol w:w="3285"/>
      </w:tblGrid>
      <w:tr w:rsidR="00CB5E86">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Economic condition</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Potential opportunity</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Counter-effect</w:t>
            </w:r>
          </w:p>
        </w:tc>
      </w:tr>
      <w:tr w:rsidR="00CB5E86">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Inflation</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Greater interest in reuse</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Lower business budgets</w:t>
            </w:r>
          </w:p>
        </w:tc>
      </w:tr>
      <w:tr w:rsidR="00CB5E86">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High fit-out costs</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Lower upfront commitment</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Investment postponement</w:t>
            </w:r>
          </w:p>
        </w:tc>
      </w:tr>
      <w:tr w:rsidR="00CB5E86">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Financing pressure</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Access instead of ownership</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Recurring payments remain</w:t>
            </w:r>
          </w:p>
        </w:tc>
      </w:tr>
      <w:tr w:rsidR="00CB5E86">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Business uncertainty</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Greater value of flexibility</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Lower overall spending</w:t>
            </w:r>
          </w:p>
        </w:tc>
      </w:tr>
    </w:tbl>
    <w:p w:rsidR="00CB5E86" w:rsidRDefault="00E4141F">
      <w:r>
        <w:t>As a geographical viewpoint, EcoLoop should target geographical areas where there is a high density of businesses, which have a significant amount of office activities as well as practical facility access. Working out of the main commercial hubs and London might have more demand as the value of flexibility also rises due to workplace costs, and more organisations are complex. But the attribute of geographical attractiveness is to be balanced with delivery/collection costs, storage and refurbishment costs (Mohri</w:t>
      </w:r>
      <w:r w:rsidR="00754E7C" w:rsidRPr="00754E7C">
        <w:rPr>
          <w:i/>
          <w:iCs/>
        </w:rPr>
        <w:t>et al</w:t>
      </w:r>
      <w:r>
        <w:t>., 2024) Although geographically dense markets may yield greater demand, poor margins can also result when there are high reverse logistics costs. As a result, in addition to influencing customer acquisition, geography plays a role in the economics of the circular model as well.</w:t>
      </w:r>
    </w:p>
    <w:p w:rsidR="00CB5E86" w:rsidRDefault="00E4141F">
      <w:pPr>
        <w:pStyle w:val="Heading2"/>
      </w:pPr>
      <w:bookmarkStart w:id="50" w:name="_Toc239815940"/>
      <w:r>
        <w:t>5.6 Research Findings and Opportunity Synthesis</w:t>
      </w:r>
      <w:bookmarkEnd w:id="50"/>
    </w:p>
    <w:p w:rsidR="00CB5E86" w:rsidRDefault="00E4141F">
      <w:r>
        <w:t>There is evidence that there may be a commercially attractive market opportunity for Weben, although it is not an established high-growth market.</w:t>
      </w:r>
    </w:p>
    <w:p w:rsidR="00523722" w:rsidRDefault="00523722">
      <w:pPr>
        <w:rPr>
          <w:b/>
          <w:bCs/>
        </w:rPr>
      </w:pPr>
    </w:p>
    <w:p w:rsidR="00523722" w:rsidRDefault="00523722">
      <w:pPr>
        <w:rPr>
          <w:b/>
          <w:bCs/>
        </w:rPr>
      </w:pPr>
    </w:p>
    <w:p w:rsidR="00CB5E86" w:rsidRDefault="00E4141F">
      <w:pPr>
        <w:rPr>
          <w:b/>
          <w:bCs/>
        </w:rPr>
      </w:pPr>
      <w:r>
        <w:rPr>
          <w:b/>
          <w:bCs/>
        </w:rPr>
        <w:lastRenderedPageBreak/>
        <w:t>Table 6: Overall Assessment</w:t>
      </w:r>
    </w:p>
    <w:tbl>
      <w:tblPr>
        <w:tblStyle w:val="afffffff4"/>
        <w:tblW w:w="9360" w:type="dxa"/>
        <w:tblBorders>
          <w:top w:val="nil"/>
          <w:left w:val="nil"/>
          <w:bottom w:val="nil"/>
          <w:right w:val="nil"/>
          <w:insideH w:val="nil"/>
          <w:insideV w:val="nil"/>
        </w:tblBorders>
        <w:tblLayout w:type="fixed"/>
        <w:tblLook w:val="0600"/>
      </w:tblPr>
      <w:tblGrid>
        <w:gridCol w:w="2103"/>
        <w:gridCol w:w="1775"/>
        <w:gridCol w:w="5482"/>
      </w:tblGrid>
      <w:tr w:rsidR="00CB5E86">
        <w:trPr>
          <w:trHeight w:val="515"/>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Criterion</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Assessment</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Critical judgement</w:t>
            </w:r>
          </w:p>
        </w:tc>
      </w:tr>
      <w:tr w:rsidR="00CB5E86">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Need strength</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Strong</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Change in the workplace and surplus furniture are real issues</w:t>
            </w:r>
          </w:p>
        </w:tc>
      </w:tr>
      <w:tr w:rsidR="00CB5E86">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Market scale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Strong</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A lot of lines for B2B – but half of them are not realistic numbers that can be targeted.</w:t>
            </w:r>
          </w:p>
        </w:tc>
      </w:tr>
      <w:tr w:rsidR="00CB5E86">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Target accessibility</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Moderate–Strong</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It is beneficial to SMEs and flexible spaces, but needs to be validated.</w:t>
            </w:r>
          </w:p>
        </w:tc>
      </w:tr>
      <w:tr w:rsidR="00CB5E86">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Demand quality</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Moderate</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There is a need, but it is not clear if it will be adopted in a subscription.</w:t>
            </w:r>
          </w:p>
        </w:tc>
      </w:tr>
      <w:tr w:rsidR="00CB5E86">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Economic resilience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Moderate</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Fewer will be able to afford as much flexibility as before, and budgets will shrink.</w:t>
            </w:r>
          </w:p>
        </w:tc>
      </w:tr>
      <w:tr w:rsidR="00CB5E86">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Evidence confidence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Moderate</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Customer willingness is untried and customer usefulness is helpful.</w:t>
            </w:r>
          </w:p>
        </w:tc>
      </w:tr>
    </w:tbl>
    <w:p w:rsidR="00CB5E86" w:rsidRDefault="00E4141F">
      <w:r>
        <w:t>Put simply, the synergy of hybrid working, evolving space needs, waste from office furniture, sustainability considerations and a need for multi-functionality and working capital freedom enhance EcoLoop's value. Those are elements which create retail conditions, but do not ensure sales. The biggest ambiguities are those of willingness to pay, customer switching, customer retention, acceptance of refurbished furniture, and reverse logistics costs.</w:t>
      </w:r>
    </w:p>
    <w:p w:rsidR="00CB5E86" w:rsidRDefault="00E4141F">
      <w:r>
        <w:t xml:space="preserve">This is because the opportunity is best realised when there are customers who undergo changes in their workplace/practice, or high furniture turnover, and SMEs/scale-ups as well as operators of flexible workspaces seem to be ideal first players (Hokmabadi, Rezvani and de Matos, 2024). A subscription pricing-controlled pilot needs to be performed before scaling out, assessing asset utilisation, customer retention and </w:t>
      </w:r>
      <w:r>
        <w:lastRenderedPageBreak/>
        <w:t>refurbishment costs, and evaluating collection economics (Kowalkowski and Ulaga, 2024). This would make the existing hypothesis on the opportunity hypothesis "evidence-based" into "commercial evidence. The final result on the other hand, is a conditional one, as EcoLoop also provides solutions to potentially valid market issues, and will need to be shown to deliver the value of flexibility to customers at a profitable price. But with no primary research sources, the willingness to pay is yet unknown and pricey forecasts for subscription and switching rates are accepted. This reduces the certainty in the ability of market attractiveness to be translated into commercial forecasts. It is also essential that the proposed circular model can be shown to increase the marginal costs of collection, storage, refurbishment, and re-distribution without causing the subscription revenues to decline.</w:t>
      </w:r>
    </w:p>
    <w:p w:rsidR="00CB5E86" w:rsidRDefault="00E4141F">
      <w:pPr>
        <w:pStyle w:val="Heading1"/>
      </w:pPr>
      <w:bookmarkStart w:id="51" w:name="_heading=h.gj7w1hw8hmg" w:colFirst="0" w:colLast="0"/>
      <w:bookmarkEnd w:id="51"/>
      <w:r>
        <w:br w:type="page"/>
      </w:r>
    </w:p>
    <w:p w:rsidR="00CB5E86" w:rsidRDefault="00E4141F">
      <w:pPr>
        <w:pStyle w:val="Heading1"/>
      </w:pPr>
      <w:bookmarkStart w:id="52" w:name="_Toc239815941"/>
      <w:r>
        <w:lastRenderedPageBreak/>
        <w:t>Chapter 6: Competitive Environment Analysis</w:t>
      </w:r>
      <w:bookmarkEnd w:id="52"/>
    </w:p>
    <w:p w:rsidR="00CB5E86" w:rsidRDefault="00E4141F">
      <w:pPr>
        <w:pStyle w:val="Heading2"/>
        <w:keepNext w:val="0"/>
        <w:keepLines w:val="0"/>
      </w:pPr>
      <w:bookmarkStart w:id="53" w:name="_Toc239815942"/>
      <w:r>
        <w:t>6.1 Scope, Frameworks and Competitive Set</w:t>
      </w:r>
      <w:bookmarkEnd w:id="53"/>
    </w:p>
    <w:p w:rsidR="00CB5E86" w:rsidRDefault="00E4141F">
      <w:r>
        <w:t>While the UK-based EcoLoop is active in the corporate office furniture/workplace solutions market, the challenge it faces is not just from traditional office furniture suppliers. The requirements can be met in the same way by another party through ownership, refurbishment, letting, repairs, and retaining the assets (Dao, Cooper and Watkins, 2026). But it is not only on the product availability that a competition will be conducted; it also relies on price/value, flexibility, quality, reliability, ease of use and sustainability. Traditional furniture vendors are best known for furniture ownership-based requirements, whereas refurbished, hire and circular providers make better business model comparisons. The substitutes are existing furniture or those who fix/alter the old furniture, while established suppliers that are coming into the furniture-as-service model are potential entrants. As per the research methodology, analysis of the competitors is then done through positioning and key success factors and then through Porter's five forces and PESTLE.</w:t>
      </w:r>
    </w:p>
    <w:p w:rsidR="00CB5E86" w:rsidRDefault="00E4141F">
      <w:pPr>
        <w:pStyle w:val="Heading2"/>
      </w:pPr>
      <w:bookmarkStart w:id="54" w:name="_Toc239815943"/>
      <w:r>
        <w:t>6.2 Key Success Factors</w:t>
      </w:r>
      <w:bookmarkEnd w:id="54"/>
    </w:p>
    <w:p w:rsidR="00CB5E86" w:rsidRDefault="00E4141F">
      <w:r>
        <w:t>Service reliability and availability are more important to EcoLoop than it is to traditional ownership models, as the customer relies on the service provider for delivery, installation, maintenance, and replacement. Traditional suppliers can provide more robust service structures while EcoLoop's service structure needs to be demonstrated as equally strong in a more complicated lifecycle model.</w:t>
      </w:r>
    </w:p>
    <w:p w:rsidR="00CB5E86" w:rsidRDefault="00E4141F">
      <w:r>
        <w:t xml:space="preserve">Another key consideration is price – value performance. Both conventional and EcoLoop buying have their advantages and disadvantages, with conventional putting in more money up front but yielding ownership, and EcoLoop saving money in the long run but committing to less ownership. Hence, subscription revenues need to exhibit an outstanding life cycle value, not just high upfront revenues (Liu </w:t>
      </w:r>
      <w:r w:rsidR="00754E7C" w:rsidRPr="00754E7C">
        <w:rPr>
          <w:i/>
          <w:iCs/>
        </w:rPr>
        <w:t>et al</w:t>
      </w:r>
      <w:r>
        <w:t>., 2025).</w:t>
      </w:r>
    </w:p>
    <w:p w:rsidR="00CB5E86" w:rsidRDefault="00E4141F">
      <w:r>
        <w:lastRenderedPageBreak/>
        <w:t>Circular and refurbishment capability could be one of the indications of the difference between circular and linear providers. Take-back, reuse, refurbishment and resale increase the value of the asset; however, quality and hygiene as well as durability are expectations for refurbished furniture. Despite the fact that there are communication companies that achieve remarkable sustainability results, their weak product performance may not be enough to offset it (p. 410, Pérez-Sánchez, Velasco-Fernández and Giampietro, 2022).</w:t>
      </w:r>
    </w:p>
    <w:p w:rsidR="00CB5E86" w:rsidRDefault="00E4141F">
      <w:r>
        <w:t>Access to improved operating efficiency can make a profit. Storage, reverse logistics, maintenance and inventory can be potential threats to EcoLoop's recurring revenue. While conventional suppliers have an advantage in their one-way business, companies have an advantage in terms of reaching high asset utilisation values necessary to make circularity commercially viable (Kudrenko</w:t>
      </w:r>
      <w:r w:rsidR="00754E7C" w:rsidRPr="00754E7C">
        <w:rPr>
          <w:i/>
          <w:iCs/>
        </w:rPr>
        <w:t>et al</w:t>
      </w:r>
      <w:r>
        <w:t>., 2025). The research specifies some key conditions such as logistics, utilisation quality and refurbishment quality.</w:t>
      </w:r>
    </w:p>
    <w:p w:rsidR="00CB5E86" w:rsidRDefault="00E4141F">
      <w:r>
        <w:t>Last but not least, trust and the credibility of ESG. EcoLoop has the potential to provide more than just potential systems; it can provide measurable reuse and ESG reporting, unlike suppliers that may not have as integrated sustainability information. However, the claims do only make the cut when backed up by clear-cut proof.</w:t>
      </w:r>
    </w:p>
    <w:p w:rsidR="00CB5E86" w:rsidRDefault="00E4141F">
      <w:pPr>
        <w:pStyle w:val="Heading2"/>
        <w:keepNext w:val="0"/>
        <w:keepLines w:val="0"/>
        <w:spacing w:before="360"/>
      </w:pPr>
      <w:bookmarkStart w:id="55" w:name="_Toc239815944"/>
      <w:r>
        <w:t>6.3 Main Competitors and Positioning</w:t>
      </w:r>
      <w:bookmarkEnd w:id="55"/>
    </w:p>
    <w:p w:rsidR="00CB5E86" w:rsidRDefault="00E4141F">
      <w:pPr>
        <w:pStyle w:val="Heading3"/>
      </w:pPr>
      <w:bookmarkStart w:id="56" w:name="_Toc239815945"/>
      <w:r>
        <w:t>6.3.1 Competitor Analysis</w:t>
      </w:r>
      <w:bookmarkEnd w:id="56"/>
    </w:p>
    <w:p w:rsidR="00CB5E86" w:rsidRDefault="00E4141F">
      <w:pPr>
        <w:rPr>
          <w:b/>
          <w:bCs/>
        </w:rPr>
      </w:pPr>
      <w:r>
        <w:rPr>
          <w:b/>
          <w:bCs/>
        </w:rPr>
        <w:t xml:space="preserve">Table 7. Key Competitors. </w:t>
      </w:r>
    </w:p>
    <w:tbl>
      <w:tblPr>
        <w:tblStyle w:val="afffffff5"/>
        <w:tblW w:w="9360" w:type="dxa"/>
        <w:tblBorders>
          <w:top w:val="nil"/>
          <w:left w:val="nil"/>
          <w:bottom w:val="nil"/>
          <w:right w:val="nil"/>
          <w:insideH w:val="nil"/>
          <w:insideV w:val="nil"/>
        </w:tblBorders>
        <w:tblLayout w:type="fixed"/>
        <w:tblLook w:val="0600"/>
      </w:tblPr>
      <w:tblGrid>
        <w:gridCol w:w="1924"/>
        <w:gridCol w:w="4142"/>
        <w:gridCol w:w="3294"/>
      </w:tblGrid>
      <w:tr w:rsidR="00CB5E86">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Competitor</w:t>
            </w:r>
          </w:p>
        </w:tc>
        <w:tc>
          <w:tcPr>
            <w:tcW w:w="4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Strength</w:t>
            </w:r>
          </w:p>
        </w:tc>
        <w:tc>
          <w:tcPr>
            <w:tcW w:w="3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EcoLoop Competitive Gap/Threat</w:t>
            </w:r>
          </w:p>
        </w:tc>
      </w:tr>
      <w:tr w:rsidR="00CB5E86">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Traditional suppliers</w:t>
            </w:r>
          </w:p>
        </w:tc>
        <w:tc>
          <w:tcPr>
            <w:tcW w:w="4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Product range, reliability, procurement relationships</w:t>
            </w:r>
          </w:p>
        </w:tc>
        <w:tc>
          <w:tcPr>
            <w:tcW w:w="3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Limited flexibility; strong incumbent advantage</w:t>
            </w:r>
          </w:p>
        </w:tc>
      </w:tr>
      <w:tr w:rsidR="00CB5E86">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lastRenderedPageBreak/>
              <w:t>Refurbished providers</w:t>
            </w:r>
          </w:p>
        </w:tc>
        <w:tc>
          <w:tcPr>
            <w:tcW w:w="4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Lower prices, reuse, circularity</w:t>
            </w:r>
          </w:p>
        </w:tc>
        <w:tc>
          <w:tcPr>
            <w:tcW w:w="3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Mainly ownership-based</w:t>
            </w:r>
          </w:p>
        </w:tc>
      </w:tr>
      <w:tr w:rsidR="00CB5E86">
        <w:trPr>
          <w:trHeight w:val="515"/>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Rental providers</w:t>
            </w:r>
          </w:p>
        </w:tc>
        <w:tc>
          <w:tcPr>
            <w:tcW w:w="4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Access, flexibility, lower upfront cost</w:t>
            </w:r>
          </w:p>
        </w:tc>
        <w:tc>
          <w:tcPr>
            <w:tcW w:w="3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Circular integration varies</w:t>
            </w:r>
          </w:p>
        </w:tc>
      </w:tr>
      <w:tr w:rsidR="00CB5E86">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Circular providers</w:t>
            </w:r>
          </w:p>
        </w:tc>
        <w:tc>
          <w:tcPr>
            <w:tcW w:w="4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Refurbishment, reuse, lifecycle services</w:t>
            </w:r>
          </w:p>
        </w:tc>
        <w:tc>
          <w:tcPr>
            <w:tcW w:w="3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Increasingly similar proposition</w:t>
            </w:r>
          </w:p>
        </w:tc>
      </w:tr>
      <w:tr w:rsidR="00CB5E86">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EcoLoop</w:t>
            </w:r>
          </w:p>
        </w:tc>
        <w:tc>
          <w:tcPr>
            <w:tcW w:w="4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Subscription, take-back, refurbishment, maintenance and ESG</w:t>
            </w:r>
          </w:p>
        </w:tc>
        <w:tc>
          <w:tcPr>
            <w:tcW w:w="3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New entrant; high logistics and validation risks</w:t>
            </w:r>
          </w:p>
        </w:tc>
      </w:tr>
    </w:tbl>
    <w:p w:rsidR="00CB5E86" w:rsidRDefault="00E4141F">
      <w:r>
        <w:t>This analysis reveals that in addition to not having a single competitor, EcoLoop actually competes with several different types of business models. Scale and reliability are the advantage of traditional suppliers, and affordability and circularity can be competitive options of refurbished suppliers. Flexibility is facilitated by rental providers and circular companies are increasingly executing reuse in combination with lifecycle services (Stabler</w:t>
      </w:r>
      <w:r w:rsidR="00754E7C" w:rsidRPr="00754E7C">
        <w:rPr>
          <w:i/>
          <w:iCs/>
        </w:rPr>
        <w:t>et al</w:t>
      </w:r>
      <w:r>
        <w:t>., 2024). Namely, because of its newness, the complexity of logistics and the lack of validated acceptance by customers, the integrated subscription model has the potential to differentiate but cannot be defended. It's not merely positioning for sustainability that will win you competitive advantage, but also the execution of your operations.</w:t>
      </w:r>
    </w:p>
    <w:p w:rsidR="00CB5E86" w:rsidRDefault="00E4141F">
      <w:pPr>
        <w:pStyle w:val="Heading3"/>
      </w:pPr>
      <w:bookmarkStart w:id="57" w:name="_Toc239815946"/>
      <w:r>
        <w:t>6.3.2 Positioning Map</w:t>
      </w:r>
      <w:bookmarkEnd w:id="57"/>
    </w:p>
    <w:p w:rsidR="00CB5E86" w:rsidRDefault="00E4141F">
      <w:pPr>
        <w:rPr>
          <w:b/>
          <w:bCs/>
        </w:rPr>
      </w:pPr>
      <w:r>
        <w:rPr>
          <w:b/>
          <w:bCs/>
        </w:rPr>
        <w:t>Figure 7. Positioning Map</w:t>
      </w:r>
    </w:p>
    <w:p w:rsidR="00CB5E86" w:rsidRDefault="00E4141F">
      <w:r>
        <w:rPr>
          <w:noProof/>
          <w:lang w:eastAsia="en-US"/>
        </w:rPr>
        <w:lastRenderedPageBreak/>
        <w:drawing>
          <wp:inline distT="114300" distB="114300" distL="114300" distR="114300">
            <wp:extent cx="5943600" cy="3865178"/>
            <wp:effectExtent l="12700" t="12700" r="12700" b="12700"/>
            <wp:docPr id="8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t="13292"/>
                    <a:stretch>
                      <a:fillRect/>
                    </a:stretch>
                  </pic:blipFill>
                  <pic:spPr>
                    <a:xfrm>
                      <a:off x="0" y="0"/>
                      <a:ext cx="5943600" cy="3865178"/>
                    </a:xfrm>
                    <a:prstGeom prst="rect">
                      <a:avLst/>
                    </a:prstGeom>
                    <a:ln w="12700">
                      <a:solidFill>
                        <a:srgbClr val="000000"/>
                      </a:solidFill>
                      <a:prstDash val="solid"/>
                    </a:ln>
                  </pic:spPr>
                </pic:pic>
              </a:graphicData>
            </a:graphic>
          </wp:inline>
        </w:drawing>
      </w:r>
    </w:p>
    <w:p w:rsidR="00CB5E86" w:rsidRDefault="00E4141F">
      <w:r>
        <w:t>As identified through the positioning map, the position of EcoLoop is potentially attractive regarding 'high use of eligibility – high use of circularity' that is associated with 'subscription – lifecycle management'. Fluid is flexible religious and secular clothing is acceptable but doesn't look as round, and Coggin looks more round, although less flexible. While differentiated, not unique, Circular Office Group is the closest strategic competitor to EcoLoop. So, while positioning is important, it is only a matter of 'how' rather than 'where'. It is what counts are asset utilisation, quality of refurbishment and measured ESG performance, as well as reliability of the service itself.</w:t>
      </w:r>
    </w:p>
    <w:p w:rsidR="00CB5E86" w:rsidRDefault="00E4141F">
      <w:pPr>
        <w:pStyle w:val="Heading2"/>
      </w:pPr>
      <w:bookmarkStart w:id="58" w:name="_Toc239815947"/>
      <w:r>
        <w:t>6.4 Porter’s Five Forces</w:t>
      </w:r>
      <w:bookmarkEnd w:id="58"/>
    </w:p>
    <w:p w:rsidR="00CB5E86" w:rsidRDefault="00E4141F">
      <w:pPr>
        <w:rPr>
          <w:b/>
          <w:bCs/>
        </w:rPr>
      </w:pPr>
      <w:r>
        <w:rPr>
          <w:b/>
          <w:bCs/>
        </w:rPr>
        <w:t>Table 8. Porter’s Five Forces Analysis</w:t>
      </w:r>
    </w:p>
    <w:tbl>
      <w:tblPr>
        <w:tblStyle w:val="afffffff6"/>
        <w:tblW w:w="9360" w:type="dxa"/>
        <w:tblBorders>
          <w:top w:val="nil"/>
          <w:left w:val="nil"/>
          <w:bottom w:val="nil"/>
          <w:right w:val="nil"/>
          <w:insideH w:val="nil"/>
          <w:insideV w:val="nil"/>
        </w:tblBorders>
        <w:tblLayout w:type="fixed"/>
        <w:tblLook w:val="0600"/>
      </w:tblPr>
      <w:tblGrid>
        <w:gridCol w:w="1701"/>
        <w:gridCol w:w="4857"/>
        <w:gridCol w:w="2802"/>
      </w:tblGrid>
      <w:tr w:rsidR="00CB5E86">
        <w:trPr>
          <w:trHeight w:val="51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Force / Factor</w:t>
            </w:r>
          </w:p>
        </w:tc>
        <w:tc>
          <w:tcPr>
            <w:tcW w:w="48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Analysis</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Impact on EcoLoop</w:t>
            </w:r>
          </w:p>
        </w:tc>
      </w:tr>
      <w:tr w:rsidR="00CB5E86">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lastRenderedPageBreak/>
              <w:t>Competitive rivalry</w:t>
            </w:r>
          </w:p>
        </w:tc>
        <w:tc>
          <w:tcPr>
            <w:tcW w:w="48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There are overlaps between established, refurbished, rental and circular business models that are possible to 'imitate' (Davis and Charter, 2025).</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Low: pricing and differentiation pressure.</w:t>
            </w:r>
          </w:p>
        </w:tc>
      </w:tr>
      <w:tr w:rsidR="00CB5E86">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Buyer power</w:t>
            </w:r>
          </w:p>
        </w:tc>
        <w:tc>
          <w:tcPr>
            <w:tcW w:w="48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Corporate buyers can choose between several different suppliers, can discuss and negotiate contracts, and can switch between purchasing, renting and refurbishing equipment (Budler, Quiroga and Trkman, 2023).</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High: limits pricing power.</w:t>
            </w:r>
          </w:p>
        </w:tc>
      </w:tr>
      <w:tr w:rsidR="00CB5E86">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Supplier power</w:t>
            </w:r>
          </w:p>
        </w:tc>
        <w:tc>
          <w:tcPr>
            <w:tcW w:w="48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An essential element for EcoLoop is manufacturers and refurbishment partners, quality used stock, as well as logistics services.</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Medium: availability and logistics may affect margins.</w:t>
            </w:r>
          </w:p>
        </w:tc>
      </w:tr>
      <w:tr w:rsidR="00CB5E86">
        <w:trPr>
          <w:trHeight w:val="800"/>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Substitutes</w:t>
            </w:r>
          </w:p>
        </w:tc>
        <w:tc>
          <w:tcPr>
            <w:tcW w:w="48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Furniture that is new or refurbished, rented, leased, repaired or retained could meet this need.</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High: restricts demand and pricing freedom.</w:t>
            </w:r>
          </w:p>
        </w:tc>
      </w:tr>
      <w:tr w:rsidR="00CB5E86">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New entrants</w:t>
            </w:r>
          </w:p>
        </w:tc>
        <w:tc>
          <w:tcPr>
            <w:tcW w:w="48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Trust, capability to refurbish, logistics and inventory are still barriers and digital platforms have decreased entry barriers (Connor-Crabb, Hemingray and Toms, 2026).</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rPr>
                <w:b/>
                <w:bCs/>
              </w:rPr>
              <w:t>Medium: incumbents can also imitate subscriptions.</w:t>
            </w:r>
          </w:p>
        </w:tc>
      </w:tr>
    </w:tbl>
    <w:p w:rsidR="00CB5E86" w:rsidRDefault="00E4141F">
      <w:r>
        <w:t>The Five Forces shows a moderately attractive, but highly competitive industry. Buyer power and substitutes place the most pressure since the consumer has a number of substitutes, will negotiate for price and service. Then, rivalry becomes important as rivals merge flexibility and circularity in the hearts and minds of corporate buyers and contractors, according to Davis and Charter (2025). While supplier power and barriers to entry must be seen as being at a moderate level, issues related to logistics and inventory and refurbishment make scalability difficult. This means that margins of EcoLoop may come under pressure if it is unable to gain asset utilization and operational efficiencies. Therefore, its strategic freedom is restricted: If it is constrained to compete on price alone, it's more difficult, so the focus on the reliability of the service, its life value, and measurable circularity by that determinant could be more protected strategic elements.</w:t>
      </w:r>
    </w:p>
    <w:p w:rsidR="00CB5E86" w:rsidRDefault="00E4141F">
      <w:pPr>
        <w:pStyle w:val="Heading2"/>
        <w:keepNext w:val="0"/>
        <w:keepLines w:val="0"/>
      </w:pPr>
      <w:bookmarkStart w:id="59" w:name="_Toc239815948"/>
      <w:r>
        <w:lastRenderedPageBreak/>
        <w:t>6.5 PESTLE and External Change</w:t>
      </w:r>
      <w:bookmarkEnd w:id="59"/>
    </w:p>
    <w:p w:rsidR="00CB5E86" w:rsidRDefault="00E4141F">
      <w:pPr>
        <w:rPr>
          <w:b/>
          <w:bCs/>
        </w:rPr>
      </w:pPr>
      <w:r>
        <w:rPr>
          <w:b/>
          <w:bCs/>
        </w:rPr>
        <w:t>Table 9: PESTLE Analysis</w:t>
      </w:r>
    </w:p>
    <w:tbl>
      <w:tblPr>
        <w:tblStyle w:val="afffffff7"/>
        <w:tblW w:w="9525" w:type="dxa"/>
        <w:tblInd w:w="-165" w:type="dxa"/>
        <w:tblBorders>
          <w:top w:val="nil"/>
          <w:left w:val="nil"/>
          <w:bottom w:val="nil"/>
          <w:right w:val="nil"/>
          <w:insideH w:val="nil"/>
          <w:insideV w:val="nil"/>
        </w:tblBorders>
        <w:tblLayout w:type="fixed"/>
        <w:tblLook w:val="0600"/>
      </w:tblPr>
      <w:tblGrid>
        <w:gridCol w:w="1995"/>
        <w:gridCol w:w="4935"/>
        <w:gridCol w:w="2595"/>
      </w:tblGrid>
      <w:tr w:rsidR="00CB5E86">
        <w:trPr>
          <w:trHeight w:val="515"/>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Factor</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UK Market Analysis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Impact</w:t>
            </w:r>
          </w:p>
        </w:tc>
      </w:tr>
      <w:tr w:rsidR="00CB5E86">
        <w:trPr>
          <w:trHeight w:val="80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Political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Reuse and circularity are more common elements of sustainable public procurement (Torkki</w:t>
            </w:r>
            <w:r w:rsidR="00754E7C" w:rsidRPr="00754E7C">
              <w:rPr>
                <w:i/>
                <w:iCs/>
              </w:rPr>
              <w:t>et al</w:t>
            </w:r>
            <w:r>
              <w:t>., 2024).</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High: Strong procurement support</w:t>
            </w:r>
          </w:p>
        </w:tc>
      </w:tr>
      <w:tr w:rsidR="00CB5E86">
        <w:trPr>
          <w:trHeight w:val="515"/>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Economic</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Business spending is affected by costs of inflation, financing and fit-out.</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High: Significant cost pressures</w:t>
            </w:r>
          </w:p>
        </w:tc>
      </w:tr>
      <w:tr w:rsidR="00CB5E86">
        <w:trPr>
          <w:trHeight w:val="80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Social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 xml:space="preserve">Many factors can influence adoption, including hybrid working and attitudes to the refurbished furniture (Holman </w:t>
            </w:r>
            <w:r w:rsidR="00754E7C" w:rsidRPr="00754E7C">
              <w:rPr>
                <w:i/>
                <w:iCs/>
              </w:rPr>
              <w:t>et al</w:t>
            </w:r>
            <w:r>
              <w:t>., 2026).</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High: Changing workplace behaviour</w:t>
            </w:r>
          </w:p>
        </w:tc>
      </w:tr>
      <w:tr w:rsidR="00CB5E86">
        <w:trPr>
          <w:trHeight w:val="80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Technological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Digital inventory, tracking and ESG solutions aid lifecycle management (Chen and Perry, 2026).</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High: Improved operational efficiency</w:t>
            </w:r>
          </w:p>
        </w:tc>
      </w:tr>
      <w:tr w:rsidR="00CB5E86">
        <w:trPr>
          <w:trHeight w:val="80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Legal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Market participation driven by procurement and contractual and environmental requirements.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Low: Limited direct influence</w:t>
            </w:r>
          </w:p>
        </w:tc>
      </w:tr>
      <w:tr w:rsidR="00CB5E86">
        <w:trPr>
          <w:trHeight w:val="80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Environmental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 xml:space="preserve">There is a potential for reuse and refurbishment based on furniture waste and pressure of circular economy (Das </w:t>
            </w:r>
            <w:r w:rsidR="00754E7C" w:rsidRPr="00754E7C">
              <w:rPr>
                <w:i/>
                <w:iCs/>
              </w:rPr>
              <w:t>et al</w:t>
            </w:r>
            <w:r>
              <w:t>., 2025).</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High: Growing circular demand</w:t>
            </w:r>
          </w:p>
        </w:tc>
      </w:tr>
    </w:tbl>
    <w:p w:rsidR="00CB5E86" w:rsidRDefault="00E4141F">
      <w:r>
        <w:t xml:space="preserve">As shown by the PESTLE analysis, the factors of politics, economics, social, technology and environment are variously present with high impacts on EcoLoop. Circular procurement and re-use becomes strengthened by political and environmental pressures in favour of what EcoLoop proposes. Flexible models can be good in an </w:t>
      </w:r>
      <w:r>
        <w:lastRenderedPageBreak/>
        <w:t>economic uncertainty as cost pressure could lead to the use of flexible models, while high refurbishment and logistics costs could have a negative impact on margins. Social acceptance of areas where employees work of a blended (or used) nature is supportive of use but is somewhat uncertain. The technology brings advantages in stock management, subscription management and ESG reporting, but has the potential to open new possibilities for copycat clones of the EcoLoop business model. Legal is impactful, but with a low direct impact, and is a requirement for market participation.</w:t>
      </w:r>
    </w:p>
    <w:p w:rsidR="00CB5E86" w:rsidRDefault="00E4141F">
      <w:pPr>
        <w:pStyle w:val="Heading2"/>
        <w:keepNext w:val="0"/>
        <w:keepLines w:val="0"/>
      </w:pPr>
      <w:bookmarkStart w:id="60" w:name="_Toc239815949"/>
      <w:r>
        <w:t>6.6 Industry Attractiveness, Market Gaps and Synthesis</w:t>
      </w:r>
      <w:bookmarkEnd w:id="60"/>
    </w:p>
    <w:p w:rsidR="00CB5E86" w:rsidRDefault="00E4141F">
      <w:r>
        <w:t>EcoLoop is going to be a moderately interesting and competitive market. Competition is high, and buyer power is high, while there are substitutes which make price elasticity and switching costs low. Subscription and circular features can be emulated by established competitors, which involves a high operational challenge due to inventory, logistics, refurbishment and entry restrictions. Thus, it is necessary to make assets used more efficiently and provide reliable services for profitability.</w:t>
      </w:r>
    </w:p>
    <w:p w:rsidR="00CB5E86" w:rsidRDefault="00E4141F">
      <w:r>
        <w:t>The potential market opportunity is "access at will" along with circular life-cycle management and measurable ESG reporting (Telukdarie and Nyathi, 2026). It is a way of adding value to the customer, flexibility, and sustainability –but it is not actually an area of difference, as there are other forms of existing rental, refurbishment and circular models from which to choose that aid in our vision and aims for a more sustainable future. Payability of the customer continues to be important.</w:t>
      </w:r>
    </w:p>
    <w:p w:rsidR="00CB5E86" w:rsidRDefault="00E4141F">
      <w:r>
        <w:t>Structural conditions generally are improving according to competitor evidence, Five Forces and PESTLE evidence, but there is a high level of competition. This means that EcoLoop's line of thinking is promising, not defensive. Not only the concept of the subscription, but the execution is superior, the measurable environmental impact, and the superior service and life cycle cost savings, that will form the basis of sustainable differentiation.</w:t>
      </w:r>
    </w:p>
    <w:p w:rsidR="004C5CB5" w:rsidRDefault="004C5CB5">
      <w:pPr>
        <w:pStyle w:val="Heading2"/>
        <w:keepNext w:val="0"/>
        <w:keepLines w:val="0"/>
      </w:pPr>
    </w:p>
    <w:p w:rsidR="00CB5E86" w:rsidRDefault="00E4141F">
      <w:pPr>
        <w:pStyle w:val="Heading2"/>
        <w:keepNext w:val="0"/>
        <w:keepLines w:val="0"/>
      </w:pPr>
      <w:bookmarkStart w:id="61" w:name="_Toc239815950"/>
      <w:r>
        <w:lastRenderedPageBreak/>
        <w:t>6.7 Chapter Summary</w:t>
      </w:r>
      <w:bookmarkEnd w:id="61"/>
    </w:p>
    <w:p w:rsidR="00CB5E86" w:rsidRDefault="00E4141F">
      <w:r>
        <w:t>The environment of EcoLoop is moderately good, however, is still highly competitive, where low bargaining power and substitute products and rivalry pose the biggest pressures on the market. Maintaining a high level of reliability and efficiency of asset usage, competitive lifecycle value, refurbishment capability and credible evidence of environmental, social and governance (ESG) is essential for success. One might suggest a market opportunity that combines "flexible access" and 'circular lifecycle management' and also measures sustainability impact, though the competitors could be able to build the same sorts of features. For this EcoLoop thus has a conditionally competitive advantage which it has to demonstrate and validate with customers. These conclusions are then translated into a business strategy and market entry approach in the next chapter.</w:t>
      </w:r>
    </w:p>
    <w:p w:rsidR="00CB5E86" w:rsidRDefault="00E4141F">
      <w:pPr>
        <w:pStyle w:val="Heading1"/>
      </w:pPr>
      <w:bookmarkStart w:id="62" w:name="_heading=h.fc4whaainei6" w:colFirst="0" w:colLast="0"/>
      <w:bookmarkEnd w:id="62"/>
      <w:r>
        <w:br w:type="page"/>
      </w:r>
    </w:p>
    <w:p w:rsidR="00CB5E86" w:rsidRDefault="00E4141F">
      <w:pPr>
        <w:pStyle w:val="Heading1"/>
      </w:pPr>
      <w:bookmarkStart w:id="63" w:name="_Toc239815951"/>
      <w:r>
        <w:lastRenderedPageBreak/>
        <w:t>Chapter 7. Business Strategy</w:t>
      </w:r>
      <w:bookmarkEnd w:id="63"/>
    </w:p>
    <w:p w:rsidR="00CB5E86" w:rsidRDefault="00E4141F">
      <w:pPr>
        <w:pStyle w:val="Heading2"/>
      </w:pPr>
      <w:bookmarkStart w:id="64" w:name="_Toc239815952"/>
      <w:r>
        <w:t>7.1 Strategic Introduction</w:t>
      </w:r>
      <w:bookmarkEnd w:id="64"/>
    </w:p>
    <w:p w:rsidR="00CB5E86" w:rsidRDefault="00E4141F">
      <w:r>
        <w:t>EcoLoop Office's approach needs to be a viable, defensible commercial proposition that takes an achievable circular economy opportunity. In Chapter 6 and Chapter 7, I have set out the evidence that hybrid working, cost pressure, waste of resources and sustainability requirements are driving the transformation of UK office demand, but that at the same time – buyer power, multiple substitutes, operational complexity – are limiting profitability. The strategy then has a very clear 'golden thread', the external conditions are the opportunity, VRIO tests whether or not EcoLoop can come up with the strategy to exploit this, SWOT turns the evidence into strategic priorities, focused differentiation specifies the market position and the USP and capability system defines how the value will be defended. The goal is not sustainability for sustainability's sake, it is about customer value, reliability and economically viable circularity.</w:t>
      </w:r>
    </w:p>
    <w:p w:rsidR="00CB5E86" w:rsidRDefault="00E4141F">
      <w:pPr>
        <w:pStyle w:val="Heading2"/>
      </w:pPr>
      <w:bookmarkStart w:id="65" w:name="_Toc239815953"/>
      <w:r>
        <w:t>7.2 External Strategic Analysis</w:t>
      </w:r>
      <w:bookmarkEnd w:id="65"/>
    </w:p>
    <w:p w:rsidR="00CB5E86" w:rsidRDefault="00E4141F">
      <w:r>
        <w:t>The evidence suggests that EcoLoop is making its way into a market in which sustainable expectations and flexible working are met, while economic expectations and compliance are limiting flexibility and strategic choices.</w:t>
      </w:r>
    </w:p>
    <w:p w:rsidR="00CB5E86" w:rsidRDefault="00E4141F">
      <w:pPr>
        <w:rPr>
          <w:b/>
          <w:bCs/>
        </w:rPr>
      </w:pPr>
      <w:r>
        <w:rPr>
          <w:b/>
          <w:bCs/>
        </w:rPr>
        <w:t>Table 10: External Strategic Analysis</w:t>
      </w:r>
    </w:p>
    <w:tbl>
      <w:tblPr>
        <w:tblStyle w:val="afffffff8"/>
        <w:tblW w:w="11025" w:type="dxa"/>
        <w:tblInd w:w="-800" w:type="dxa"/>
        <w:tblBorders>
          <w:top w:val="nil"/>
          <w:left w:val="nil"/>
          <w:bottom w:val="nil"/>
          <w:right w:val="nil"/>
          <w:insideH w:val="nil"/>
          <w:insideV w:val="nil"/>
        </w:tblBorders>
        <w:tblLayout w:type="fixed"/>
        <w:tblLook w:val="0600"/>
      </w:tblPr>
      <w:tblGrid>
        <w:gridCol w:w="2610"/>
        <w:gridCol w:w="4575"/>
        <w:gridCol w:w="3840"/>
      </w:tblGrid>
      <w:tr w:rsidR="00CB5E86">
        <w:trPr>
          <w:trHeight w:val="500"/>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Factor</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Numerical/strategic evidence</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Implication for EcoLoop</w:t>
            </w:r>
          </w:p>
        </w:tc>
      </w:tr>
      <w:tr w:rsidR="00CB5E86">
        <w:trPr>
          <w:trHeight w:val="1310"/>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Political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 xml:space="preserve">The 2025 Sustainable Furniture Solutions framework includes an office-furniture lot estimated at </w:t>
            </w:r>
            <w:r>
              <w:rPr>
                <w:b/>
                <w:bCs/>
              </w:rPr>
              <w:t>£250 million excluding VAT (Delta-esourcing.com, 2026)</w:t>
            </w:r>
            <w:r>
              <w:t>.</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Opportunity: circular procurement has institutional legitimacy.</w:t>
            </w:r>
          </w:p>
        </w:tc>
      </w:tr>
      <w:tr w:rsidR="00CB5E86">
        <w:trPr>
          <w:trHeight w:val="1040"/>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lastRenderedPageBreak/>
              <w:t>Economic</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 xml:space="preserve">UK CPI was </w:t>
            </w:r>
            <w:r>
              <w:rPr>
                <w:b/>
                <w:bCs/>
              </w:rPr>
              <w:t>2.6% in June 2026 (Bankofengland.co.uk, 2026)</w:t>
            </w:r>
            <w:r>
              <w:t>.</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Mixed: cost pressures may encourage flexibility but constrain SME budgets.</w:t>
            </w:r>
          </w:p>
        </w:tc>
      </w:tr>
      <w:tr w:rsidR="00CB5E86">
        <w:trPr>
          <w:trHeight w:val="1040"/>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Social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28%</w:t>
            </w:r>
            <w:r>
              <w:t xml:space="preserve"> of working adults in Great Britain hybrid-worked between January and March 2025 (Public Policy and Economic Insights team, 2025).</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Opportunity: changing workplace configurations strengthen demand for adaptability.</w:t>
            </w:r>
          </w:p>
        </w:tc>
      </w:tr>
      <w:tr w:rsidR="00CB5E86">
        <w:trPr>
          <w:trHeight w:val="1040"/>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Technological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Digital inventory, QR/barcode tracking, dashboards and analytics can support traceability (Udvaros</w:t>
            </w:r>
            <w:r w:rsidR="00754E7C" w:rsidRPr="00754E7C">
              <w:rPr>
                <w:i/>
                <w:iCs/>
              </w:rPr>
              <w:t>et al</w:t>
            </w:r>
            <w:r>
              <w:t>., 2024).</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Opportunity: technology can improve transparency and reporting.</w:t>
            </w:r>
          </w:p>
        </w:tc>
      </w:tr>
      <w:tr w:rsidR="00CB5E86">
        <w:trPr>
          <w:trHeight w:val="1310"/>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Environmental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 xml:space="preserve">England generated </w:t>
            </w:r>
            <w:r>
              <w:rPr>
                <w:b/>
                <w:bCs/>
              </w:rPr>
              <w:t>32.6 million tonnes</w:t>
            </w:r>
            <w:r>
              <w:t xml:space="preserve"> of commercial and industrial waste in 2023 (Department for Environment, Food &amp; Rural Affairs, 2022).</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Opportunity: substantial resource-management problem, although waste volume does not prove subscription demand.</w:t>
            </w:r>
          </w:p>
        </w:tc>
      </w:tr>
      <w:tr w:rsidR="00CB5E86">
        <w:trPr>
          <w:trHeight w:val="1040"/>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Legal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 xml:space="preserve">Non-hazardous waste-transfer documentation must generally be retained for </w:t>
            </w:r>
            <w:r>
              <w:rPr>
                <w:b/>
                <w:bCs/>
              </w:rPr>
              <w:t>2 years</w:t>
            </w:r>
            <w:r>
              <w:t>.</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Threat: compliance increases process requirements and liability.</w:t>
            </w:r>
          </w:p>
        </w:tc>
      </w:tr>
    </w:tbl>
    <w:p w:rsidR="00CB5E86" w:rsidRDefault="004C5CB5">
      <w:pPr>
        <w:rPr>
          <w:i/>
          <w:iCs/>
        </w:rPr>
      </w:pPr>
      <w:r>
        <w:rPr>
          <w:i/>
          <w:iCs/>
        </w:rPr>
        <w:t xml:space="preserve">                                               </w:t>
      </w:r>
      <w:r w:rsidR="00E4141F">
        <w:rPr>
          <w:i/>
          <w:iCs/>
        </w:rPr>
        <w:t>Source: Self -developed</w:t>
      </w:r>
    </w:p>
    <w:p w:rsidR="00CB5E86" w:rsidRDefault="00E4141F">
      <w:pPr>
        <w:rPr>
          <w:b/>
          <w:bCs/>
        </w:rPr>
      </w:pPr>
      <w:r>
        <w:rPr>
          <w:b/>
          <w:bCs/>
        </w:rPr>
        <w:t xml:space="preserve">Critical analysis </w:t>
      </w:r>
    </w:p>
    <w:p w:rsidR="00CB5E86" w:rsidRDefault="00E4141F">
      <w:r>
        <w:t xml:space="preserve">EcoLoop's external environment is supportive, yet strategically ambivalent as indicated in the table. The NEUPC (2026) procurement notice also shows that circular and sustainable furniture purchasing is more and more becoming a formal procurement opportunity, in turn bolstering the political argument for EcoLoop! This should not be taken as a given demand, however. As for the economy, the Bank of England (2026) identifies ongoing inflationary and cost pressures, which means that EcoLoop will have to continue to have controlled pricing and route efficiency. In terms of social, the Public </w:t>
      </w:r>
      <w:r>
        <w:lastRenderedPageBreak/>
        <w:t>Policy and Economic Insights team (2025) states that 28% of working adults hybrid-worked in January – March 2025, which backs the demand for flexible working options. However, the Office for National Statistics (2025) count of 2.73 million VAT/PAYE businesses is much greater than EcoLoop's realistic "potential market". Political and environmental pressures create opportunity, but it is commercial viability that is determined by willingness to pay, compliance costs and operational efficiency.</w:t>
      </w:r>
    </w:p>
    <w:p w:rsidR="00CB5E86" w:rsidRDefault="00E4141F">
      <w:pPr>
        <w:pStyle w:val="Heading2"/>
      </w:pPr>
      <w:bookmarkStart w:id="66" w:name="_Toc239815954"/>
      <w:r>
        <w:t>7.3 Internal Analysis: VRIO</w:t>
      </w:r>
      <w:bookmarkEnd w:id="66"/>
    </w:p>
    <w:p w:rsidR="00CB5E86" w:rsidRDefault="00E4141F">
      <w:r>
        <w:t>EcoLoop's resources and capabilities should be evaluated based on their value, rarity, inimitability and effectiveness in organization. The analysis is significant as the company will be a new business with limited resources and no reputation.</w:t>
      </w:r>
    </w:p>
    <w:p w:rsidR="00CB5E86" w:rsidRDefault="00E4141F">
      <w:pPr>
        <w:rPr>
          <w:b/>
          <w:bCs/>
        </w:rPr>
      </w:pPr>
      <w:r>
        <w:rPr>
          <w:b/>
          <w:bCs/>
        </w:rPr>
        <w:t>Table 11. VRIO Analysis</w:t>
      </w:r>
    </w:p>
    <w:tbl>
      <w:tblPr>
        <w:tblStyle w:val="afffffff9"/>
        <w:tblW w:w="10635" w:type="dxa"/>
        <w:tblInd w:w="-639" w:type="dxa"/>
        <w:tblBorders>
          <w:top w:val="nil"/>
          <w:left w:val="nil"/>
          <w:bottom w:val="nil"/>
          <w:right w:val="nil"/>
          <w:insideH w:val="nil"/>
          <w:insideV w:val="nil"/>
        </w:tblBorders>
        <w:tblLayout w:type="fixed"/>
        <w:tblLook w:val="0600"/>
      </w:tblPr>
      <w:tblGrid>
        <w:gridCol w:w="2986"/>
        <w:gridCol w:w="975"/>
        <w:gridCol w:w="919"/>
        <w:gridCol w:w="895"/>
        <w:gridCol w:w="960"/>
        <w:gridCol w:w="3900"/>
      </w:tblGrid>
      <w:tr w:rsidR="00CB5E86">
        <w:trPr>
          <w:trHeight w:val="500"/>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Resource/Capability</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V</w:t>
            </w:r>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R</w:t>
            </w: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I</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O</w:t>
            </w: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Outcome</w:t>
            </w:r>
          </w:p>
        </w:tc>
      </w:tr>
      <w:tr w:rsidR="00CB5E86">
        <w:trPr>
          <w:trHeight w:val="545"/>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Circular office solution</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2"/>
                <w:id w:val="549313038"/>
              </w:sdtPr>
              <w:sdtContent>
                <w:r w:rsidR="00E4141F">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3"/>
                <w:id w:val="1644177651"/>
              </w:sdtPr>
              <w:sdtContent>
                <w:r w:rsidR="00E4141F">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Competitive parity/potential temporary advantage</w:t>
            </w:r>
          </w:p>
        </w:tc>
      </w:tr>
      <w:tr w:rsidR="00CB5E86">
        <w:trPr>
          <w:trHeight w:val="545"/>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Digital tracking</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4"/>
                <w:id w:val="1191873025"/>
              </w:sdtPr>
              <w:sdtContent>
                <w:r w:rsidR="00E4141F">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5"/>
                <w:id w:val="113689589"/>
              </w:sdtPr>
              <w:sdtContent>
                <w:r w:rsidR="00E4141F">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Competitive parity</w:t>
            </w:r>
          </w:p>
        </w:tc>
      </w:tr>
      <w:tr w:rsidR="00CB5E86">
        <w:trPr>
          <w:trHeight w:val="545"/>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Sustainability reporting</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6"/>
                <w:id w:val="-2038582847"/>
              </w:sdtPr>
              <w:sdtContent>
                <w:r w:rsidR="00E4141F">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7"/>
                <w:id w:val="1803176384"/>
              </w:sdtPr>
              <w:sdtContent>
                <w:r w:rsidR="00E4141F">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Competitive parity</w:t>
            </w:r>
          </w:p>
        </w:tc>
      </w:tr>
      <w:tr w:rsidR="00CB5E86">
        <w:trPr>
          <w:trHeight w:val="545"/>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Local collection network</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8"/>
                <w:id w:val="1130782638"/>
              </w:sdtPr>
              <w:sdtContent>
                <w:r w:rsidR="00E4141F">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9"/>
                <w:id w:val="119938578"/>
              </w:sdtPr>
              <w:sdtContent>
                <w:r w:rsidR="00E4141F">
                  <w:rPr>
                    <w:rFonts w:ascii="Arial Unicode MS" w:eastAsia="Arial Unicode MS" w:hAnsi="Arial Unicode MS" w:cs="Arial Unicode MS"/>
                  </w:rPr>
                  <w:t>✓</w:t>
                </w:r>
              </w:sdtContent>
            </w:sdt>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Potential temporary advantage</w:t>
            </w:r>
          </w:p>
        </w:tc>
      </w:tr>
      <w:tr w:rsidR="00CB5E86">
        <w:trPr>
          <w:trHeight w:val="545"/>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Supplier relationships</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10"/>
                <w:id w:val="11118750"/>
              </w:sdtPr>
              <w:sdtContent>
                <w:r w:rsidR="00E4141F">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11"/>
                <w:id w:val="974950229"/>
              </w:sdtPr>
              <w:sdtContent>
                <w:r w:rsidR="00E4141F">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Competitive parity</w:t>
            </w:r>
          </w:p>
        </w:tc>
      </w:tr>
      <w:tr w:rsidR="00CB5E86">
        <w:trPr>
          <w:trHeight w:val="545"/>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Sustainability expertise</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12"/>
                <w:id w:val="2125697106"/>
              </w:sdtPr>
              <w:sdtContent>
                <w:r w:rsidR="00E4141F">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13"/>
                <w:id w:val="122277333"/>
              </w:sdtPr>
              <w:sdtContent>
                <w:r w:rsidR="00E4141F">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Competitive parity</w:t>
            </w:r>
          </w:p>
        </w:tc>
      </w:tr>
      <w:tr w:rsidR="00CB5E86">
        <w:trPr>
          <w:trHeight w:val="545"/>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Customer relationships</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14"/>
                <w:id w:val="1737426776"/>
              </w:sdtPr>
              <w:sdtContent>
                <w:r w:rsidR="00E4141F">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Competitive parity</w:t>
            </w:r>
          </w:p>
        </w:tc>
      </w:tr>
      <w:tr w:rsidR="00CB5E86">
        <w:trPr>
          <w:trHeight w:val="545"/>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lastRenderedPageBreak/>
              <w:t>Brand reputation</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15"/>
                <w:id w:val="-1316177161"/>
              </w:sdtPr>
              <w:sdtContent>
                <w:r w:rsidR="00E4141F">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CB5E86">
            <w:pPr>
              <w:spacing w:before="0" w:after="0"/>
            </w:pP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New-entry weakness</w:t>
            </w:r>
          </w:p>
        </w:tc>
      </w:tr>
    </w:tbl>
    <w:p w:rsidR="00CB5E86" w:rsidRDefault="00E4141F">
      <w:r>
        <w:t xml:space="preserve">The proposed </w:t>
      </w:r>
      <w:r>
        <w:rPr>
          <w:b/>
          <w:bCs/>
        </w:rPr>
        <w:t>£75,000 start-up budget</w:t>
      </w:r>
      <w:r>
        <w:t xml:space="preserve"> further indicates that financial resources are constrained and must be allocated selectively.</w:t>
      </w:r>
    </w:p>
    <w:p w:rsidR="00CB5E86" w:rsidRDefault="00E4141F">
      <w:pPr>
        <w:rPr>
          <w:b/>
          <w:bCs/>
        </w:rPr>
      </w:pPr>
      <w:r>
        <w:rPr>
          <w:b/>
          <w:bCs/>
        </w:rPr>
        <w:t xml:space="preserve">Critical analysis </w:t>
      </w:r>
    </w:p>
    <w:p w:rsidR="00CB5E86" w:rsidRDefault="00E4141F">
      <w:r>
        <w:t xml:space="preserve">EcoLoop's internal resource base is currently greater than what is demonstrated. The £75,000 lean start-up budget is the limiting constraint on financial resources, which restricts the company's ability to build up the same level of assets, geographic reach or purchasing power as mature competitors. Human capital need to meld together logistics, customer service, sustainability and digital skills – not be split amongst specialist departments. The use of technology is a useful tool for traceability but is not uncommon and easy to copy as other companies are able to acquire similar technology (Khan </w:t>
      </w:r>
      <w:r w:rsidR="00754E7C" w:rsidRPr="00754E7C">
        <w:rPr>
          <w:i/>
          <w:iCs/>
        </w:rPr>
        <w:t>et al</w:t>
      </w:r>
      <w:r>
        <w:t>., 2022). Partnerships are an important strategic approach and will lower capital cost, and also expand refurbishment and recycling capacity. Customer relationships can be beneficial due to the knowledge gained and reporting experiences gained, but this only comes after contracts are won. Thus, the best way to get temporary advantage is to have local collection capability and to have integrated operational knowledge. Proprietary customer data and trusted networks, plus consistently better execution (Franzè, Paolucci and Pessot, 2024) would be needed for sustained advantage. An important strategic objective is, therefore, the structuring of resources into a stable operating system and not just resources that can be used for advantage.</w:t>
      </w:r>
    </w:p>
    <w:p w:rsidR="00CB5E86" w:rsidRDefault="00E4141F">
      <w:pPr>
        <w:pStyle w:val="Heading2"/>
      </w:pPr>
      <w:bookmarkStart w:id="67" w:name="_Toc239815955"/>
      <w:r>
        <w:t>7.4 SWOT and Strategic Implications</w:t>
      </w:r>
      <w:bookmarkEnd w:id="67"/>
    </w:p>
    <w:p w:rsidR="00CB5E86" w:rsidRDefault="00E4141F">
      <w:r>
        <w:t>SWOT consolidates the preceding external and internal evidence. Its value lies not simply in listing factors but in identifying strategic combinations that can guide resource allocation and risk control.</w:t>
      </w:r>
    </w:p>
    <w:p w:rsidR="004C5CB5" w:rsidRDefault="004C5CB5">
      <w:pPr>
        <w:rPr>
          <w:b/>
          <w:bCs/>
        </w:rPr>
      </w:pPr>
    </w:p>
    <w:p w:rsidR="00CB5E86" w:rsidRDefault="00E4141F">
      <w:pPr>
        <w:rPr>
          <w:b/>
          <w:bCs/>
        </w:rPr>
      </w:pPr>
      <w:r>
        <w:rPr>
          <w:b/>
          <w:bCs/>
        </w:rPr>
        <w:lastRenderedPageBreak/>
        <w:t>Table 12. SWOT Analysis</w:t>
      </w:r>
    </w:p>
    <w:tbl>
      <w:tblPr>
        <w:tblStyle w:val="afffffffa"/>
        <w:tblW w:w="10740" w:type="dxa"/>
        <w:tblInd w:w="-599" w:type="dxa"/>
        <w:tblBorders>
          <w:top w:val="nil"/>
          <w:left w:val="nil"/>
          <w:bottom w:val="nil"/>
          <w:right w:val="nil"/>
          <w:insideH w:val="nil"/>
          <w:insideV w:val="nil"/>
        </w:tblBorders>
        <w:tblLayout w:type="fixed"/>
        <w:tblLook w:val="0600"/>
      </w:tblPr>
      <w:tblGrid>
        <w:gridCol w:w="2430"/>
        <w:gridCol w:w="8310"/>
      </w:tblGrid>
      <w:tr w:rsidR="00CB5E86">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Category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Key factors</w:t>
            </w:r>
          </w:p>
        </w:tc>
      </w:tr>
      <w:tr w:rsidR="00CB5E86">
        <w:trPr>
          <w:trHeight w:val="77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Strengths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Proposition for sustainability; positioning as circular economy; potential for recurring revenues; digital tracking/reporting; flexible service model (Ogiemwonyi, 2025).</w:t>
            </w:r>
          </w:p>
        </w:tc>
      </w:tr>
      <w:tr w:rsidR="00CB5E86">
        <w:trPr>
          <w:trHeight w:val="104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Weaknesses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 xml:space="preserve">New entrant; limited initial resources; limited brand recognition; dependence on external reuse/recycling partners; initial technology and logistics costs (Kanda </w:t>
            </w:r>
            <w:r w:rsidR="00754E7C" w:rsidRPr="00754E7C">
              <w:rPr>
                <w:i/>
                <w:iCs/>
              </w:rPr>
              <w:t>et al</w:t>
            </w:r>
            <w:r>
              <w:t>., 2024).</w:t>
            </w:r>
          </w:p>
        </w:tc>
      </w:tr>
      <w:tr w:rsidR="00CB5E86">
        <w:trPr>
          <w:trHeight w:val="104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Opportunities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Raising sustainability demands; SMEs' need to outsource sustainability solutions; circular procurement; corporate sustainability reporting; partnerships with offices and property managers (Cooper, 2024).</w:t>
            </w:r>
          </w:p>
        </w:tc>
      </w:tr>
      <w:tr w:rsidR="00CB5E86">
        <w:trPr>
          <w:trHeight w:val="104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Threats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 xml:space="preserve">Established waste-management firms; price competition; customer switching; regulatory changes; operational disruption; greenwashing concerns (Xu </w:t>
            </w:r>
            <w:r w:rsidR="00754E7C" w:rsidRPr="00754E7C">
              <w:rPr>
                <w:i/>
                <w:iCs/>
              </w:rPr>
              <w:t>et al</w:t>
            </w:r>
            <w:r>
              <w:t>., 2025).</w:t>
            </w:r>
          </w:p>
        </w:tc>
      </w:tr>
      <w:tr w:rsidR="00CB5E86">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SO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Combine sustainability expertise and technology to capture demand.</w:t>
            </w:r>
          </w:p>
        </w:tc>
      </w:tr>
      <w:tr w:rsidR="00CB5E86">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WO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Use partnerships to overcome limited financial and operational resources.</w:t>
            </w:r>
          </w:p>
        </w:tc>
      </w:tr>
      <w:tr w:rsidR="00CB5E86">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ST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Differentiate through service reliability and reporting rather than price.</w:t>
            </w:r>
          </w:p>
        </w:tc>
      </w:tr>
      <w:tr w:rsidR="00CB5E86">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WT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Use a phased pilot to minimise financial and operational exposure.</w:t>
            </w:r>
          </w:p>
        </w:tc>
      </w:tr>
    </w:tbl>
    <w:p w:rsidR="00CB5E86" w:rsidRDefault="00E4141F">
      <w:pPr>
        <w:rPr>
          <w:b/>
          <w:bCs/>
        </w:rPr>
      </w:pPr>
      <w:r>
        <w:rPr>
          <w:b/>
          <w:bCs/>
        </w:rPr>
        <w:t xml:space="preserve">Critical analysis </w:t>
      </w:r>
    </w:p>
    <w:p w:rsidR="00CB5E86" w:rsidRDefault="00E4141F">
      <w:r>
        <w:t xml:space="preserve">The SWOT evidence shows that the best strategic fit for EcoLoop is a circular approach combined with digital transparency, but that potential benefit is limited by the small scale of use and a lack of recognition and trust of the brand with customers. While positioning as a circular economy can be a differentiator, sustainability is not enough to add value </w:t>
      </w:r>
      <w:r>
        <w:lastRenderedPageBreak/>
        <w:t xml:space="preserve">to customers (Ogiemwonyi 2025). Cooper (2024) also shows that integrating sustainability into procurement can enhance strategic alignment, but that does not mean that procurement commitment turns into adoption. Based on 70 circular new ventures identified, Kanda </w:t>
      </w:r>
      <w:r w:rsidR="00754E7C" w:rsidRPr="00754E7C">
        <w:rPr>
          <w:i/>
          <w:iCs/>
        </w:rPr>
        <w:t>et al</w:t>
      </w:r>
      <w:r>
        <w:t xml:space="preserve">. (2024) point out the operational and commercial challenges encountered in the development of viable circular business models. EcoLoop should thus refrain from making significant fixed investments until the demand is confirmed. Relations with partners can overcome resource constraints by offering logistics, refurbishment and recycling services; a good service and reporting system can enhance the differentiation. What's more, Xu </w:t>
      </w:r>
      <w:r w:rsidR="00754E7C" w:rsidRPr="00754E7C">
        <w:rPr>
          <w:i/>
          <w:iCs/>
        </w:rPr>
        <w:t>et al</w:t>
      </w:r>
      <w:r>
        <w:t>. (2025) point out that greenwashing has market implications, which further underscores the importance of credible environmental evidence. The willingness to pay, retention, collection economics and operational reliability should therefore be tested through a phased pilot before scaling.</w:t>
      </w:r>
    </w:p>
    <w:p w:rsidR="00CB5E86" w:rsidRDefault="00E4141F">
      <w:pPr>
        <w:pStyle w:val="Heading2"/>
      </w:pPr>
      <w:bookmarkStart w:id="68" w:name="_Toc239815956"/>
      <w:r>
        <w:t>7.5 Strategic Choice</w:t>
      </w:r>
      <w:bookmarkEnd w:id="68"/>
    </w:p>
    <w:p w:rsidR="00CB5E86" w:rsidRDefault="00E4141F">
      <w:r>
        <w:t>The most logical strategic option is focused differentiation, as there is no need for a cost-leading strategy when a circular strategy is not scalable for EcoLoop, but it can be measured and attainable through specialist service design. It is recommended that the initial segment be SMEs and medium sized organisations rather than the total population of businesses, who have varying office needs. This focus is strategically warranted because of the widespread adoption of hybrid working, and the fact that ONS has identified 2.73M VAT/PAYE businesses, which are broad but do not necessarily represent demand that can be addressed (Business Registers Strategy and Outputs team, 2025). EcoLoop should therefore focus on companies undergoing a change in ownership, such as relocations, expansions, downsizing, and refurbishment, as there may be stranded assets and disposal requirements.</w:t>
      </w:r>
    </w:p>
    <w:p w:rsidR="00CB5E86" w:rsidRDefault="00E4141F">
      <w:r>
        <w:t xml:space="preserve">The differentiation should be based on a comprehensive proposition that covers collection, reuse and refurbishment/recycling coordination, digital traceability, maintenance and sustainability reporting. The goal is to go on lifecycle value, not lowest price. The concept of cost leadership seems to be structurally impossible as the established operators have large-scale, strong procurement influence, logistics, and a </w:t>
      </w:r>
      <w:r>
        <w:lastRenderedPageBreak/>
        <w:t>loyal customer base (Pesce and Neirotti, 2023). Rather than adding switching value, EcoLoop should focus on providing convenient services, reliable service, transparency and commitment to providing reporting to the customer based on their specific needs.</w:t>
      </w:r>
    </w:p>
    <w:p w:rsidR="00CB5E86" w:rsidRDefault="00E4141F">
      <w:r>
        <w:t>The strategy should also be regionally focused. This is suitable for a London-led pilot as it is identified that there is good office activity and fit out pressures, however, there is no automatic right to expand due to geographic density. However, reverse logistics can negatively impact the margins if the distances traveled for collecting, cost of storage and processing increase (Jenkins, 2024). Pilot, validate, standardise and scale, then, is therefore the recommended sequence. The pilot should evaluate customer acquisition, retention, contribution margin and collection reliability and resource utilisation, before a significant fixed investment is committed.</w:t>
      </w:r>
    </w:p>
    <w:p w:rsidR="00CB5E86" w:rsidRDefault="00E4141F">
      <w:pPr>
        <w:pStyle w:val="Heading2"/>
      </w:pPr>
      <w:bookmarkStart w:id="69" w:name="_Toc239815957"/>
      <w:r>
        <w:t>7.6 USP and Value Proposition</w:t>
      </w:r>
      <w:bookmarkEnd w:id="69"/>
    </w:p>
    <w:p w:rsidR="00CB5E86" w:rsidRDefault="00E4141F">
      <w:r>
        <w:t>EcoLoop's proposed USP is: “The convenient collection of office resources, multi-purpose re-use, recycling and measurable sustainability reporting.” The proposition is a mixture of four types of value. The functional value is created by Collection, Sorting, Reuse, Recycling and Digital Monitoring. Economic value can be derived from better use of resources, potential savings on waste and sustainability management costs (outsourcing) (Sala-Garrido</w:t>
      </w:r>
      <w:r w:rsidR="00754E7C" w:rsidRPr="00754E7C">
        <w:rPr>
          <w:i/>
          <w:iCs/>
        </w:rPr>
        <w:t>et al</w:t>
      </w:r>
      <w:r>
        <w:t>, 2024). Environmental value is related to the diversion of material from the disposal stream and to the increase of the lifespan of resources, reputational value is related to evidence-based sustainability reporting.</w:t>
      </w:r>
    </w:p>
    <w:p w:rsidR="00CB5E86" w:rsidRDefault="00E4141F">
      <w:r>
        <w:t>The proposition is a solution to a significant problem of resource management. The scale of the challenge is demonstrated by the amount of commercial and industrial waste that England produced in 2023, which was 32.6 million tonnes, but is not indicative of demand for EcoLoop (Government of UK, 2024). As of March 2025, there were 2.73 million VAT and/or PAYE businesses in the UK, which is not the UK's addressable market for EcoLoop (ONS, 2025). Thus the USP needs to be targeted at actual customer results instead of the general sustainability statements.</w:t>
      </w:r>
    </w:p>
    <w:p w:rsidR="00CB5E86" w:rsidRDefault="00E4141F">
      <w:r>
        <w:lastRenderedPageBreak/>
        <w:t xml:space="preserve">However, sustainability alone is not defensible since other people can copy circular services and customers can choose to buy goods instead of repair, rent or refurbish or to switch to incumbent waste-management contracts (Huis </w:t>
      </w:r>
      <w:r w:rsidR="00754E7C" w:rsidRPr="00754E7C">
        <w:rPr>
          <w:i/>
          <w:iCs/>
        </w:rPr>
        <w:t>et al</w:t>
      </w:r>
      <w:r>
        <w:t>., 2026). Convenience, technology, and measurable data should be a part of EcoLoop. Customers should have the option to make collections, monitor the outcome of the usage of resources and receive credible impact reports. Collection reliability, reuse, satisfaction, retention, cost per collection should be used for validating the USP.</w:t>
      </w:r>
    </w:p>
    <w:p w:rsidR="00CB5E86" w:rsidRDefault="00E4141F">
      <w:pPr>
        <w:pStyle w:val="Heading2"/>
      </w:pPr>
      <w:bookmarkStart w:id="70" w:name="_Toc239815958"/>
      <w:r>
        <w:t>7.7 Competitive Advantage</w:t>
      </w:r>
      <w:bookmarkEnd w:id="70"/>
    </w:p>
    <w:p w:rsidR="00CB5E86" w:rsidRDefault="00E4141F">
      <w:r>
        <w:t>EcoLoop's competitive edge should come from six capabilities that are interrelated: integrated circular service delivery, digital tracking, sustainability-impact reporting, flexible SME packages, local partnerships and customer specific recommendations. None is not necessarily rare on its own; competitors can do similar features. What is good is the way they are "packaged" together into a service system. Digital records enhance the reporting process, partnerships increase the potential for reuse, while customer data helps to provide customised recommendations (Wang, Wang and Liu, 2025). This makes it harder to imitate, but doesn't necessarily secure the advantage. So, competitive advantage will only be achieved if the operations are reliable, knowledge of customers is built up and they are executed at a low cost.</w:t>
      </w:r>
    </w:p>
    <w:p w:rsidR="00CB5E86" w:rsidRDefault="00E4141F">
      <w:pPr>
        <w:pStyle w:val="Heading2"/>
      </w:pPr>
      <w:bookmarkStart w:id="71" w:name="_Toc239815959"/>
      <w:r>
        <w:t>7.8 Key Success Factors</w:t>
      </w:r>
      <w:bookmarkEnd w:id="71"/>
    </w:p>
    <w:p w:rsidR="00CB5E86" w:rsidRDefault="00E4141F">
      <w:r>
        <w:t>The key to success is having reliable collections, competitive pricing, customer acquisition and retention, strong reuse/recycling partnerships, reliable technology, capable employees, measurable environmental outcomes, customer satisfaction, and positive cash flow. These should be made operational KPIs and linked directly to the Business Model Canvas, financial plan and operations plan and implementation programme. The test of the strategy is straightforward: EcoLoop has to prove that circularity enhances customer value while leaving the economics of logistics, processing and servicing intact.</w:t>
      </w:r>
    </w:p>
    <w:p w:rsidR="00CB5E86" w:rsidRDefault="00CB5E86"/>
    <w:p w:rsidR="00CB5E86" w:rsidRDefault="00E4141F">
      <w:pPr>
        <w:pStyle w:val="Heading1"/>
      </w:pPr>
      <w:bookmarkStart w:id="72" w:name="_heading=h.ns8jfqojtidm" w:colFirst="0" w:colLast="0"/>
      <w:bookmarkStart w:id="73" w:name="_Toc239815960"/>
      <w:bookmarkEnd w:id="72"/>
      <w:r>
        <w:t>Chapter 8. Business Model Canvas</w:t>
      </w:r>
      <w:bookmarkEnd w:id="73"/>
    </w:p>
    <w:p w:rsidR="00CB5E86" w:rsidRDefault="00E4141F">
      <w:pPr>
        <w:pStyle w:val="Heading2"/>
        <w:keepNext w:val="0"/>
        <w:keepLines w:val="0"/>
      </w:pPr>
      <w:bookmarkStart w:id="74" w:name="_Toc239815961"/>
      <w:r>
        <w:t>8.1 BMC Introduction</w:t>
      </w:r>
      <w:bookmarkEnd w:id="74"/>
    </w:p>
    <w:p w:rsidR="00CB5E86" w:rsidRDefault="00E4141F">
      <w:r>
        <w:t>The EcoLoop Office approach to focus-differentiation has been presented in the Business Model Canvas (BMC) which portrays the integrated creation, delivery and capture of value. It brings together the customer's problem (inefficient office resource and waste management) and collection, reuse, recycling and digital reporting. In 2023, England produced approximately 32.6 million tonnes of commercial and industrial waste, which presents a significant challenge for the management of resources. (Government of UK, 2024c) The BMC thus establishes commercial viability for all the 9 components against environmental value.</w:t>
      </w:r>
    </w:p>
    <w:p w:rsidR="00CB5E86" w:rsidRDefault="00E4141F">
      <w:pPr>
        <w:pStyle w:val="Heading2"/>
        <w:keepNext w:val="0"/>
        <w:keepLines w:val="0"/>
      </w:pPr>
      <w:bookmarkStart w:id="75" w:name="_Toc239815962"/>
      <w:r>
        <w:t>8.2 Customer Segments</w:t>
      </w:r>
      <w:bookmarkEnd w:id="75"/>
    </w:p>
    <w:p w:rsidR="00CB5E86" w:rsidRDefault="00E4141F">
      <w:r>
        <w:t>EcoLoop should focus on SMEs and medium sized offices as this is a large market segment with the possibility of unmet demand for standardised waste services. As at the beginning of 2024, there were some 5.49 million SMEs in the UK, which comprised nearly 99.8% of private-sector businesses, though SMEs in the UK accounted for about 60% of private-sector employment and 52% of turnover (Government of UK, 2024a). But 74% of businesses were owned by business people only, and those that reported having employees other than business people were far less frequently smaller businesses. Higher numbers of smaller businesses were found in hotels and motels, driving services, and manufacturing, while gaming and retail trade had the fewest, (OECD, 2026). EcoLoop should thus adopt the strategy of engaging organisations. Other secondary segments comprise co-working spaces, educational organisations, professional-services firms and office/property managers.</w:t>
      </w:r>
    </w:p>
    <w:p w:rsidR="004C5CB5" w:rsidRDefault="004C5CB5">
      <w:pPr>
        <w:pStyle w:val="Heading2"/>
        <w:keepNext w:val="0"/>
        <w:keepLines w:val="0"/>
      </w:pPr>
    </w:p>
    <w:p w:rsidR="004C5CB5" w:rsidRDefault="004C5CB5">
      <w:pPr>
        <w:pStyle w:val="Heading2"/>
        <w:keepNext w:val="0"/>
        <w:keepLines w:val="0"/>
      </w:pPr>
    </w:p>
    <w:p w:rsidR="00CB5E86" w:rsidRDefault="00E4141F">
      <w:pPr>
        <w:pStyle w:val="Heading2"/>
        <w:keepNext w:val="0"/>
        <w:keepLines w:val="0"/>
      </w:pPr>
      <w:bookmarkStart w:id="76" w:name="_Toc239815963"/>
      <w:r>
        <w:lastRenderedPageBreak/>
        <w:t>8.3 Value Proposition</w:t>
      </w:r>
      <w:bookmarkEnd w:id="76"/>
    </w:p>
    <w:p w:rsidR="00CB5E86" w:rsidRDefault="00E4141F">
      <w:r>
        <w:t>The offer from EcoLoop need not be limited to “recycling,” but also integrated circular-office service. Customers enjoy convenient collection and reuse/recycling, digital tracking and sustainability reporting (Eslamipoor 2026). It will create functional value as it will decrease administrative burden and information value from collection activities by collecting them in measurable sustainability data. The UK recycling rate for household waste remains at 44.6% for 2023, and the commercial and institutional waste is still a significant amount (Green Space Innovations, 2025). By identifying what happens to resources after collection, EcoLoop can differentiate by demonstrating what is happening to the resources themselves after they leave the collection system. An environmental claim can however not be targeted, but substantiated with evidence, or else it risks becoming "green washed.</w:t>
      </w:r>
    </w:p>
    <w:p w:rsidR="00CB5E86" w:rsidRDefault="00E4141F">
      <w:pPr>
        <w:pStyle w:val="Heading2"/>
        <w:keepNext w:val="0"/>
        <w:keepLines w:val="0"/>
      </w:pPr>
      <w:bookmarkStart w:id="77" w:name="_Toc239815964"/>
      <w:r>
        <w:t>8.4 Channels</w:t>
      </w:r>
      <w:bookmarkEnd w:id="77"/>
    </w:p>
    <w:p w:rsidR="00CB5E86" w:rsidRDefault="00E4141F">
      <w:r>
        <w:t>Selling major items through a digitized and a B2B route (Shonubi, 2025) should be favored for the adoption of EcoLoop. Direct sales will be able to recognize the position, which has an appropriate amount of waste, and the website will help answer questions, sustainability evaluation and offer quotations (Shonubi, 2025). Target Office Managers, Operations Managers, Sustainability Decision makers – with Linkedin and Email marketing. Credibility can be won by holding sustainability events and operating networks of businesses.Credibility can be garnered from the hosting of sustainability events and networks of businesses. This is the better way to do things instead of digital advertising alone due to the need for trust during operational change.</w:t>
      </w:r>
    </w:p>
    <w:p w:rsidR="00CB5E86" w:rsidRDefault="00E4141F">
      <w:pPr>
        <w:pStyle w:val="Heading2"/>
        <w:keepNext w:val="0"/>
        <w:keepLines w:val="0"/>
      </w:pPr>
      <w:bookmarkStart w:id="78" w:name="_Toc239815965"/>
      <w:r>
        <w:t>8.5 Customer Relationships</w:t>
      </w:r>
      <w:bookmarkEnd w:id="78"/>
    </w:p>
    <w:p w:rsidR="00CB5E86" w:rsidRDefault="00E4141F">
      <w:r>
        <w:t xml:space="preserve">Relationships should be consultative and not transactional. EcoLoop should start by conducting an office sustainability assessment, to be followed by onboarding, regular collections, ongoing account management and regular impact reporting to the European Commission (2026). Outcomes of collection volumes and re-use and re-cycling can be </w:t>
      </w:r>
      <w:r>
        <w:lastRenderedPageBreak/>
        <w:t>reported on a dashboard. This can help bolster retention via amassed service records and reports. What should be at the core of the renewal process is not the environmental message. It should be all about reliability and the actual value to the customer.</w:t>
      </w:r>
    </w:p>
    <w:p w:rsidR="00CB5E86" w:rsidRDefault="00E4141F">
      <w:pPr>
        <w:pStyle w:val="Heading2"/>
        <w:keepNext w:val="0"/>
        <w:keepLines w:val="0"/>
      </w:pPr>
      <w:bookmarkStart w:id="79" w:name="_Toc239815966"/>
      <w:r>
        <w:t>8.6 Revenue Streams</w:t>
      </w:r>
      <w:bookmarkEnd w:id="79"/>
    </w:p>
    <w:p w:rsidR="00CB5E86" w:rsidRDefault="00E4141F">
      <w:r>
        <w:t xml:space="preserve">The revenue model should bring in periodic revenues, usage and value added revenues. Predictable monthly recurring revenue to invest in collection infrastructure, technology and staff. There are various ways to determine the collection fees; fees can be lower or higher depending on the volume, or based on the frequency of collection, similar to the cost of the operation (Lamichhane, Lama and Lopchan, 2024). Delivers options like premium sustainability analytics for customers that need to provide detailed reports, or consultancy that can convert office audits and improvement plans (PwC, 2025). Corporate contracts are available in larger companies. </w:t>
      </w:r>
    </w:p>
    <w:p w:rsidR="00CB5E86" w:rsidRDefault="00E4141F">
      <w:pPr>
        <w:pStyle w:val="Heading2"/>
        <w:keepNext w:val="0"/>
        <w:keepLines w:val="0"/>
      </w:pPr>
      <w:bookmarkStart w:id="80" w:name="_Toc239815967"/>
      <w:r>
        <w:t>8.7 Key Resources</w:t>
      </w:r>
      <w:bookmarkEnd w:id="80"/>
    </w:p>
    <w:p w:rsidR="00CB5E86" w:rsidRDefault="00E4141F">
      <w:r>
        <w:t>The human resources, Digital Platform, Collection Systems, Logistics Capacity, Customer Data, Brand Reputation, Supply Chain and Sustainability expertise are the key resources (Kam</w:t>
      </w:r>
      <w:r w:rsidR="00754E7C" w:rsidRPr="00754E7C">
        <w:rPr>
          <w:i/>
          <w:iCs/>
        </w:rPr>
        <w:t>et al</w:t>
      </w:r>
      <w:r>
        <w:t>., 2026). A sustained competitive advantage won't necessarily be obtained through technology as similar technologies are possible to buy from a competitor. Therefore, EcoLoop needs to put technology together with business know-how, and together with the knowledge of customers and partnerships.</w:t>
      </w:r>
    </w:p>
    <w:p w:rsidR="00CB5E86" w:rsidRDefault="00E4141F">
      <w:pPr>
        <w:pStyle w:val="Heading2"/>
        <w:keepNext w:val="0"/>
        <w:keepLines w:val="0"/>
      </w:pPr>
      <w:bookmarkStart w:id="81" w:name="_Toc239815968"/>
      <w:r>
        <w:t>8.8 Key Activities</w:t>
      </w:r>
      <w:bookmarkEnd w:id="81"/>
    </w:p>
    <w:p w:rsidR="00CB5E86" w:rsidRDefault="00E4141F">
      <w:r>
        <w:t xml:space="preserve">Core activities are: (i) Customer acquisition, (ii) Office and resource assessment, (iii) Collection, (iv) Sorting, (v) Coordination for reuse and recycling, (vi) Data management and (vii) Reporting of impacts and maintenance of good customer service (Petropoulos </w:t>
      </w:r>
      <w:r w:rsidR="00754E7C" w:rsidRPr="00754E7C">
        <w:rPr>
          <w:i/>
          <w:iCs/>
        </w:rPr>
        <w:t>et al</w:t>
      </w:r>
      <w:r>
        <w:t>., 2025). If the activities are involved they need to be reinforcing the value proposition. Inaccurate data capture is especially significant since this impacts customer loyalty and segmentation if data is generated inaccurately.</w:t>
      </w:r>
    </w:p>
    <w:p w:rsidR="00CB5E86" w:rsidRDefault="00E4141F">
      <w:pPr>
        <w:pStyle w:val="Heading2"/>
        <w:keepNext w:val="0"/>
        <w:keepLines w:val="0"/>
      </w:pPr>
      <w:bookmarkStart w:id="82" w:name="_Toc239815969"/>
      <w:r>
        <w:lastRenderedPageBreak/>
        <w:t>8.9 Key Partnerships</w:t>
      </w:r>
      <w:bookmarkEnd w:id="82"/>
    </w:p>
    <w:p w:rsidR="00CB5E86" w:rsidRDefault="00E4141F">
      <w:r>
        <w:t xml:space="preserve">By forming partnerships with recycling partners, reuse/refurbishment partners, logistics providers, technology suppliers, office landlords and sustainability specialists, EcoLoopenjoys access to capabilities without owning the entire value chain supply (Bals </w:t>
      </w:r>
      <w:r w:rsidR="00754E7C" w:rsidRPr="00754E7C">
        <w:rPr>
          <w:i/>
          <w:iCs/>
        </w:rPr>
        <w:t>et al</w:t>
      </w:r>
      <w:r>
        <w:t>., 2024). Nigeria should therefore seek to assess its critical suppliers for reliability, compliance, environmental performance and cost, and find alternative suppliers if it can.</w:t>
      </w:r>
    </w:p>
    <w:p w:rsidR="00CB5E86" w:rsidRDefault="00E4141F">
      <w:pPr>
        <w:pStyle w:val="Heading2"/>
        <w:keepNext w:val="0"/>
        <w:keepLines w:val="0"/>
      </w:pPr>
      <w:bookmarkStart w:id="83" w:name="_Toc239815970"/>
      <w:r>
        <w:t>8.10 Cost Structure</w:t>
      </w:r>
      <w:bookmarkEnd w:id="83"/>
    </w:p>
    <w:p w:rsidR="00CB5E86" w:rsidRDefault="00E4141F">
      <w:r>
        <w:t>The fixed costs should include the salaries, technology, insurance, administration and storage costs, while the variable costs should involve logistics, processing, packaging costs, and fees paid to partners and costs of acquiring customers (Mostafa, Moustafa and Elshaer, 2023). The pilot needs to keep a core, low fixed cost initial base and build up variable capacity based on customers. This will help keep your cash flow intact and remain scalable with a differentiated service.</w:t>
      </w:r>
    </w:p>
    <w:p w:rsidR="00CB5E86" w:rsidRDefault="00CB5E86"/>
    <w:p w:rsidR="00CB5E86" w:rsidRDefault="00E4141F">
      <w:pPr>
        <w:pStyle w:val="Heading1"/>
      </w:pPr>
      <w:bookmarkStart w:id="84" w:name="_heading=h.rw7ms7nkwgep" w:colFirst="0" w:colLast="0"/>
      <w:bookmarkEnd w:id="84"/>
      <w:r>
        <w:br w:type="page"/>
      </w:r>
    </w:p>
    <w:p w:rsidR="00CB5E86" w:rsidRDefault="00E4141F">
      <w:pPr>
        <w:pStyle w:val="Heading1"/>
      </w:pPr>
      <w:bookmarkStart w:id="85" w:name="_Toc239815971"/>
      <w:r>
        <w:lastRenderedPageBreak/>
        <w:t>Chapter 9. Financial, Marketing &amp; Human Capital Management Plan</w:t>
      </w:r>
      <w:bookmarkEnd w:id="85"/>
    </w:p>
    <w:p w:rsidR="00CB5E86" w:rsidRDefault="00E4141F">
      <w:pPr>
        <w:pStyle w:val="Heading2"/>
      </w:pPr>
      <w:bookmarkStart w:id="86" w:name="_Toc239815972"/>
      <w:r>
        <w:t>9.1 Financial Plan</w:t>
      </w:r>
      <w:bookmarkEnd w:id="86"/>
    </w:p>
    <w:p w:rsidR="00CB5E86" w:rsidRDefault="00E4141F">
      <w:pPr>
        <w:pStyle w:val="Heading3"/>
      </w:pPr>
      <w:bookmarkStart w:id="87" w:name="_Toc239815973"/>
      <w:r>
        <w:t>9.1.1 Financial Strategy</w:t>
      </w:r>
      <w:bookmarkEnd w:id="87"/>
    </w:p>
    <w:p w:rsidR="00CB5E86" w:rsidRDefault="00E4141F">
      <w:r>
        <w:t>EcoLoop Office's financial approach should be to maintain steady growth while minimizing the chance of undue fixed cost exposure for the first time in the market. The opportunity for business is remarkable; in the UK there were 5.69 million private sector businesses at the beginning of 2025, 99.85% of these were SMEs and 60% of employment was done by SMEs (Buckley, 2023). However, most of the firms are non-employers and it would be better to focus not on the entire SME population but on the employer businesses. In 2023, within England alone, 32.6 million tonnes of commercial and industrial waste were produced (Market Data Forecast, 2024).</w:t>
      </w:r>
    </w:p>
    <w:p w:rsidR="00CB5E86" w:rsidRDefault="00E4141F">
      <w:pPr>
        <w:pStyle w:val="Heading3"/>
      </w:pPr>
      <w:bookmarkStart w:id="88" w:name="_Toc239815974"/>
      <w:r>
        <w:t>9.1.2 Start-Up Costs</w:t>
      </w:r>
      <w:bookmarkEnd w:id="88"/>
    </w:p>
    <w:p w:rsidR="00CB5E86" w:rsidRDefault="00E4141F">
      <w:r>
        <w:t xml:space="preserve">A lean launch budget of approximately </w:t>
      </w:r>
      <w:r>
        <w:rPr>
          <w:b/>
          <w:bCs/>
        </w:rPr>
        <w:t>£75,000</w:t>
      </w:r>
      <w:r>
        <w:t xml:space="preserve"> is proposed. These are planning assumptions rather than supplier quotations and should be validated during the pilot.</w:t>
      </w:r>
    </w:p>
    <w:p w:rsidR="00CB5E86" w:rsidRDefault="00E4141F">
      <w:pPr>
        <w:rPr>
          <w:b/>
          <w:bCs/>
        </w:rPr>
      </w:pPr>
      <w:r>
        <w:rPr>
          <w:b/>
          <w:bCs/>
        </w:rPr>
        <w:t>Table 13. Start-up Costs</w:t>
      </w:r>
    </w:p>
    <w:tbl>
      <w:tblPr>
        <w:tblStyle w:val="afffffffb"/>
        <w:tblW w:w="4900" w:type="dxa"/>
        <w:tblBorders>
          <w:top w:val="nil"/>
          <w:left w:val="nil"/>
          <w:bottom w:val="nil"/>
          <w:right w:val="nil"/>
          <w:insideH w:val="nil"/>
          <w:insideV w:val="nil"/>
        </w:tblBorders>
        <w:tblLayout w:type="fixed"/>
        <w:tblLook w:val="0600"/>
      </w:tblPr>
      <w:tblGrid>
        <w:gridCol w:w="3170"/>
        <w:gridCol w:w="1730"/>
      </w:tblGrid>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Item</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Estimated cost</w:t>
            </w:r>
          </w:p>
        </w:tc>
      </w:tr>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Digital platform/CRM</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£12,000</w:t>
            </w:r>
          </w:p>
        </w:tc>
      </w:tr>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Website/e-commerce</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£4,000</w:t>
            </w:r>
          </w:p>
        </w:tc>
      </w:tr>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Collection equipment</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£8,000</w:t>
            </w:r>
          </w:p>
        </w:tc>
      </w:tr>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Vehicle/logistics setup</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£18,000</w:t>
            </w:r>
          </w:p>
        </w:tc>
      </w:tr>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Branding and launch materials</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£3,500</w:t>
            </w:r>
          </w:p>
        </w:tc>
      </w:tr>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lastRenderedPageBreak/>
              <w:t>Insurance and compliance</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£4,500</w:t>
            </w:r>
          </w:p>
        </w:tc>
      </w:tr>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Legal/accounting</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£3,000</w:t>
            </w:r>
          </w:p>
        </w:tc>
      </w:tr>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Initial marketing</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£7,000</w:t>
            </w:r>
          </w:p>
        </w:tc>
      </w:tr>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Working capital</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£15,000</w:t>
            </w:r>
          </w:p>
        </w:tc>
      </w:tr>
      <w:tr w:rsidR="00CB5E86">
        <w:trPr>
          <w:trHeight w:val="515"/>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Total</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£75,000</w:t>
            </w:r>
          </w:p>
        </w:tc>
      </w:tr>
    </w:tbl>
    <w:p w:rsidR="00CB5E86" w:rsidRDefault="00B12AC1">
      <w:r>
        <w:t xml:space="preserve">                  </w:t>
      </w:r>
      <w:r w:rsidR="00E4141F">
        <w:t>Source: Self-Created</w:t>
      </w:r>
    </w:p>
    <w:p w:rsidR="00CB5E86" w:rsidRDefault="00E4141F">
      <w:r>
        <w:t>The relatively high allocation for logistics is in fact because the physical collection becomes the pivot of the value proposition, and working capital is a buffer to the likelihood of delays in the receipt of B2B payments and variability in earnings from the B2B side. This means cost assumptions should also account for contingency because UK CPI is currently at 2.6% and these costs are constantly changing, not static (Office for National Statistics, 2026).</w:t>
      </w:r>
    </w:p>
    <w:p w:rsidR="00CB5E86" w:rsidRDefault="00E4141F">
      <w:pPr>
        <w:pStyle w:val="Heading3"/>
      </w:pPr>
      <w:bookmarkStart w:id="89" w:name="_Toc239815975"/>
      <w:r>
        <w:t>9.1.3 Revenue Model</w:t>
      </w:r>
      <w:bookmarkEnd w:id="89"/>
    </w:p>
    <w:p w:rsidR="00CB5E86" w:rsidRDefault="00E4141F">
      <w:r>
        <w:t>The proposed model combines predictable subscription income with usage-based and higher-margin services.</w:t>
      </w:r>
    </w:p>
    <w:p w:rsidR="00CB5E86" w:rsidRDefault="00E4141F">
      <w:pPr>
        <w:rPr>
          <w:b/>
          <w:bCs/>
        </w:rPr>
      </w:pPr>
      <w:r>
        <w:rPr>
          <w:b/>
          <w:bCs/>
        </w:rPr>
        <w:t>Table 14. Revenue Model</w:t>
      </w:r>
    </w:p>
    <w:tbl>
      <w:tblPr>
        <w:tblStyle w:val="afffffffc"/>
        <w:tblW w:w="8190" w:type="dxa"/>
        <w:tblBorders>
          <w:top w:val="nil"/>
          <w:left w:val="nil"/>
          <w:bottom w:val="nil"/>
          <w:right w:val="nil"/>
          <w:insideH w:val="nil"/>
          <w:insideV w:val="nil"/>
        </w:tblBorders>
        <w:tblLayout w:type="fixed"/>
        <w:tblLook w:val="0600"/>
      </w:tblPr>
      <w:tblGrid>
        <w:gridCol w:w="1530"/>
        <w:gridCol w:w="3360"/>
        <w:gridCol w:w="3300"/>
      </w:tblGrid>
      <w:tr w:rsidR="00CB5E86">
        <w:trPr>
          <w:trHeight w:val="515"/>
        </w:trPr>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Package</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Target</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Indicative price/month</w:t>
            </w:r>
          </w:p>
        </w:tc>
      </w:tr>
      <w:tr w:rsidR="00CB5E86">
        <w:trPr>
          <w:trHeight w:val="515"/>
        </w:trPr>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EcoBasic</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Small offices</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£199</w:t>
            </w:r>
          </w:p>
        </w:tc>
      </w:tr>
      <w:tr w:rsidR="00CB5E86">
        <w:trPr>
          <w:trHeight w:val="515"/>
        </w:trPr>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EcoPlus</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Medium offices</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£399</w:t>
            </w:r>
          </w:p>
        </w:tc>
      </w:tr>
      <w:tr w:rsidR="00CB5E86">
        <w:trPr>
          <w:trHeight w:val="515"/>
        </w:trPr>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EcoPro</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Larger organisations</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£799+</w:t>
            </w:r>
          </w:p>
        </w:tc>
      </w:tr>
    </w:tbl>
    <w:p w:rsidR="00CB5E86" w:rsidRDefault="00E4141F">
      <w:r>
        <w:lastRenderedPageBreak/>
        <w:t>Source: Self-Created</w:t>
      </w:r>
    </w:p>
    <w:p w:rsidR="00CB5E86" w:rsidRDefault="00E4141F">
      <w:r>
        <w:t>EcoBasic, reporting: EcoPlus, bespoke circularity and analytics: EcoPro. These prices are forward-looking estimates and not bids or offers. Diversified revenue structure lessens dependence on a single income source and periodic subscription procedures make revenues more transparent and facilitates investment in operational capacity.</w:t>
      </w:r>
    </w:p>
    <w:p w:rsidR="00CB5E86" w:rsidRDefault="00E4141F">
      <w:pPr>
        <w:pStyle w:val="Heading3"/>
        <w:keepNext w:val="0"/>
        <w:keepLines w:val="0"/>
      </w:pPr>
      <w:bookmarkStart w:id="90" w:name="_Toc239815976"/>
      <w:r>
        <w:t>9.1.4 Pricing Strategy</w:t>
      </w:r>
      <w:bookmarkEnd w:id="90"/>
    </w:p>
    <w:p w:rsidR="00CB5E86" w:rsidRDefault="00E4141F">
      <w:r>
        <w:t>EcoLoop must apply a value approach to pricing with cost floors and competitor pricing considerations. The value of data and reporting may be undervalued by cost-plus; on the other hand, a premium price that is not substantiated could lead to a lack of uptake (Guerreiro and Amaral, 2018). Volume discounts should be used for increased frequency of collection and pilot discounts should be used for the pilot customers. Thus the focused-differentiation strategy can be supported in a moderate premium if it has the qualities of convenience, measurable impact and reporting value like EcoLoop shows.</w:t>
      </w:r>
    </w:p>
    <w:p w:rsidR="00CB5E86" w:rsidRDefault="00E4141F">
      <w:pPr>
        <w:pStyle w:val="Heading3"/>
      </w:pPr>
      <w:bookmarkStart w:id="91" w:name="_Toc239815977"/>
      <w:r>
        <w:t>9.1.5 Three-to-Five-Year Financial Forecast</w:t>
      </w:r>
      <w:bookmarkEnd w:id="91"/>
    </w:p>
    <w:p w:rsidR="00CB5E86" w:rsidRDefault="00E4141F">
      <w:r>
        <w:t>The following base-case forecast assumes gradual customer acquisition and increasing service utilisation.</w:t>
      </w:r>
    </w:p>
    <w:p w:rsidR="00CB5E86" w:rsidRDefault="00E4141F">
      <w:pPr>
        <w:rPr>
          <w:b/>
          <w:bCs/>
        </w:rPr>
      </w:pPr>
      <w:r>
        <w:rPr>
          <w:b/>
          <w:bCs/>
        </w:rPr>
        <w:t>Table 15. Financial Forecast</w:t>
      </w:r>
    </w:p>
    <w:tbl>
      <w:tblPr>
        <w:tblStyle w:val="afffffffd"/>
        <w:tblW w:w="9360" w:type="dxa"/>
        <w:tblBorders>
          <w:top w:val="nil"/>
          <w:left w:val="nil"/>
          <w:bottom w:val="nil"/>
          <w:right w:val="nil"/>
          <w:insideH w:val="nil"/>
          <w:insideV w:val="nil"/>
        </w:tblBorders>
        <w:tblLayout w:type="fixed"/>
        <w:tblLook w:val="0600"/>
      </w:tblPr>
      <w:tblGrid>
        <w:gridCol w:w="780"/>
        <w:gridCol w:w="1470"/>
        <w:gridCol w:w="2565"/>
        <w:gridCol w:w="1230"/>
        <w:gridCol w:w="1620"/>
        <w:gridCol w:w="1695"/>
      </w:tblGrid>
      <w:tr w:rsidR="00CB5E86">
        <w:trPr>
          <w:trHeight w:val="800"/>
        </w:trPr>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Year</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Customers</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Avg. annual revenue/customer</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Revenue</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Operating costs</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Operating profit</w:t>
            </w:r>
          </w:p>
        </w:tc>
      </w:tr>
      <w:tr w:rsidR="00CB5E86">
        <w:trPr>
          <w:trHeight w:val="515"/>
        </w:trPr>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60</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£4,500</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£270,000</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£235,000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£35,000</w:t>
            </w:r>
          </w:p>
        </w:tc>
      </w:tr>
      <w:tr w:rsidR="00CB5E86">
        <w:trPr>
          <w:trHeight w:val="515"/>
        </w:trPr>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2</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110</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£4,700</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£517,000</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£410,000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£107,000</w:t>
            </w:r>
          </w:p>
        </w:tc>
      </w:tr>
      <w:tr w:rsidR="00CB5E86">
        <w:trPr>
          <w:trHeight w:val="515"/>
        </w:trPr>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3</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175</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£4,900</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£857,500</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£650,000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£207,500</w:t>
            </w:r>
          </w:p>
        </w:tc>
      </w:tr>
      <w:tr w:rsidR="00CB5E86">
        <w:trPr>
          <w:trHeight w:val="515"/>
        </w:trPr>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lastRenderedPageBreak/>
              <w:t>4</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250</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£5,100</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£1,275,000</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£930,000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£345,000</w:t>
            </w:r>
          </w:p>
        </w:tc>
      </w:tr>
      <w:tr w:rsidR="00CB5E86">
        <w:trPr>
          <w:trHeight w:val="515"/>
        </w:trPr>
        <w:tc>
          <w:tcPr>
            <w:tcW w:w="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5</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340</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£5,300</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£1,802,000</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£1,270,000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£532,000</w:t>
            </w:r>
          </w:p>
        </w:tc>
      </w:tr>
    </w:tbl>
    <w:p w:rsidR="00CB5E86" w:rsidRDefault="00B12AC1">
      <w:r>
        <w:t xml:space="preserve">                                                   </w:t>
      </w:r>
      <w:r w:rsidR="00E4141F">
        <w:t>Source: Self-Created</w:t>
      </w:r>
    </w:p>
    <w:p w:rsidR="00CB5E86" w:rsidRDefault="00E4141F">
      <w:r>
        <w:t>These numbers are based on assumptions, and not forecasts based on an audited company figure. Based on the model, there is expected to be a 568% increase in income from Years 1 to 5. Technology costs and administrative overheads can be spread out among more customers, making the company more profitable.</w:t>
      </w:r>
    </w:p>
    <w:p w:rsidR="00CB5E86" w:rsidRDefault="00E4141F">
      <w:pPr>
        <w:pStyle w:val="Heading3"/>
        <w:keepNext w:val="0"/>
        <w:keepLines w:val="0"/>
      </w:pPr>
      <w:bookmarkStart w:id="92" w:name="_Toc239815978"/>
      <w:r>
        <w:t>9.1.6 Break-Even Analysis</w:t>
      </w:r>
      <w:bookmarkEnd w:id="92"/>
    </w:p>
    <w:p w:rsidR="00CB5E86" w:rsidRDefault="00E4141F">
      <w:r>
        <w:t>Break-even will be about 60 customers (assuming that annual fixed costs are £150,000 and average annual contribution for each customer is £2,500). This is broadly comparable to the target for Year-1 base case. That means Geoff has to be careful not to grow too quickly geographically until Mrs. EcoLoop's bottom line produces some predictable payoff to offset EcoLoop's fixed-cost base.So it's suggested here that Geoff shouldn't continue to grow geographically until there is recurring revenue to pay off his fixed-cost base for EcoLoop.</w:t>
      </w:r>
    </w:p>
    <w:p w:rsidR="00CB5E86" w:rsidRDefault="00E4141F">
      <w:pPr>
        <w:pStyle w:val="Heading3"/>
      </w:pPr>
      <w:bookmarkStart w:id="93" w:name="_Toc239815979"/>
      <w:r>
        <w:t>9.1.7 Sensitivity Analysis</w:t>
      </w:r>
      <w:bookmarkEnd w:id="93"/>
    </w:p>
    <w:p w:rsidR="00CB5E86" w:rsidRDefault="00E4141F">
      <w:r>
        <w:t>Profitability is most sensitive to customer acquisition, retention, average revenue and logistics costs.</w:t>
      </w:r>
    </w:p>
    <w:p w:rsidR="00CB5E86" w:rsidRDefault="00E4141F">
      <w:pPr>
        <w:rPr>
          <w:b/>
          <w:bCs/>
        </w:rPr>
      </w:pPr>
      <w:r>
        <w:rPr>
          <w:b/>
          <w:bCs/>
        </w:rPr>
        <w:t>Table 16. Sensitivity Analysis</w:t>
      </w:r>
    </w:p>
    <w:tbl>
      <w:tblPr>
        <w:tblStyle w:val="afffffffe"/>
        <w:tblW w:w="6410" w:type="dxa"/>
        <w:tblBorders>
          <w:top w:val="nil"/>
          <w:left w:val="nil"/>
          <w:bottom w:val="nil"/>
          <w:right w:val="nil"/>
          <w:insideH w:val="nil"/>
          <w:insideV w:val="nil"/>
        </w:tblBorders>
        <w:tblLayout w:type="fixed"/>
        <w:tblLook w:val="0600"/>
      </w:tblPr>
      <w:tblGrid>
        <w:gridCol w:w="1340"/>
        <w:gridCol w:w="1685"/>
        <w:gridCol w:w="1460"/>
        <w:gridCol w:w="1925"/>
      </w:tblGrid>
      <w:tr w:rsidR="00CB5E86">
        <w:trPr>
          <w:trHeight w:val="515"/>
        </w:trPr>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Scenario</w:t>
            </w:r>
          </w:p>
        </w:tc>
        <w:tc>
          <w:tcPr>
            <w:tcW w:w="1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Customers Y3</w:t>
            </w:r>
          </w:p>
        </w:tc>
        <w:tc>
          <w:tcPr>
            <w:tcW w:w="1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Revenue Y3</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Operating profit</w:t>
            </w:r>
          </w:p>
        </w:tc>
      </w:tr>
      <w:tr w:rsidR="00CB5E86">
        <w:trPr>
          <w:trHeight w:val="515"/>
        </w:trPr>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Best case</w:t>
            </w:r>
          </w:p>
        </w:tc>
        <w:tc>
          <w:tcPr>
            <w:tcW w:w="1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210</w:t>
            </w:r>
          </w:p>
        </w:tc>
        <w:tc>
          <w:tcPr>
            <w:tcW w:w="1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£1.07m</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£300k</w:t>
            </w:r>
          </w:p>
        </w:tc>
      </w:tr>
      <w:tr w:rsidR="00CB5E86">
        <w:trPr>
          <w:trHeight w:val="515"/>
        </w:trPr>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 xml:space="preserve">Base </w:t>
            </w:r>
            <w:r>
              <w:rPr>
                <w:b/>
                <w:bCs/>
              </w:rPr>
              <w:lastRenderedPageBreak/>
              <w:t>case</w:t>
            </w:r>
          </w:p>
        </w:tc>
        <w:tc>
          <w:tcPr>
            <w:tcW w:w="1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lastRenderedPageBreak/>
              <w:t>175</w:t>
            </w:r>
          </w:p>
        </w:tc>
        <w:tc>
          <w:tcPr>
            <w:tcW w:w="1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£857.5k</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£207.5k</w:t>
            </w:r>
          </w:p>
        </w:tc>
      </w:tr>
      <w:tr w:rsidR="00CB5E86">
        <w:trPr>
          <w:trHeight w:val="515"/>
        </w:trPr>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lastRenderedPageBreak/>
              <w:t>Worst case</w:t>
            </w:r>
          </w:p>
        </w:tc>
        <w:tc>
          <w:tcPr>
            <w:tcW w:w="1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130</w:t>
            </w:r>
          </w:p>
        </w:tc>
        <w:tc>
          <w:tcPr>
            <w:tcW w:w="1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£637k</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£70k</w:t>
            </w:r>
          </w:p>
        </w:tc>
      </w:tr>
    </w:tbl>
    <w:p w:rsidR="00CB5E86" w:rsidRDefault="00B12AC1">
      <w:r>
        <w:t xml:space="preserve">                         </w:t>
      </w:r>
      <w:r w:rsidR="00E4141F">
        <w:t>Source: Self-Created</w:t>
      </w:r>
    </w:p>
    <w:p w:rsidR="00CB5E86" w:rsidRDefault="00E4141F">
      <w:r>
        <w:t>The optimistic scenario is one of quicker acquisition and improved stickiness, whereas the pessimistic scenario is one of slower growth with increased new loan servicing costs. The analysis reveals that customer volume is the biggest profitability driver — but retention is not far behind either, since it means customers won't need to be acquired again as part of a contract outside of one.</w:t>
      </w:r>
    </w:p>
    <w:p w:rsidR="00CB5E86" w:rsidRDefault="00E4141F">
      <w:pPr>
        <w:pStyle w:val="Heading2"/>
        <w:keepNext w:val="0"/>
        <w:keepLines w:val="0"/>
        <w:spacing w:before="480" w:after="120"/>
      </w:pPr>
      <w:bookmarkStart w:id="94" w:name="_Toc239815980"/>
      <w:r>
        <w:t>9.2 Marketing Plan</w:t>
      </w:r>
      <w:bookmarkEnd w:id="94"/>
    </w:p>
    <w:p w:rsidR="00CB5E86" w:rsidRDefault="00E4141F">
      <w:pPr>
        <w:pStyle w:val="Heading3"/>
      </w:pPr>
      <w:bookmarkStart w:id="95" w:name="_Toc239815981"/>
      <w:r>
        <w:t>9.2.1 SMART Marketing Objectives</w:t>
      </w:r>
      <w:bookmarkEnd w:id="95"/>
    </w:p>
    <w:p w:rsidR="00CB5E86" w:rsidRDefault="00E4141F">
      <w:pPr>
        <w:rPr>
          <w:b/>
          <w:bCs/>
        </w:rPr>
      </w:pPr>
      <w:r>
        <w:rPr>
          <w:b/>
          <w:bCs/>
        </w:rPr>
        <w:t>Table 17. SMART Objective</w:t>
      </w:r>
    </w:p>
    <w:tbl>
      <w:tblPr>
        <w:tblStyle w:val="affffffff"/>
        <w:tblW w:w="9205" w:type="dxa"/>
        <w:tblBorders>
          <w:top w:val="nil"/>
          <w:left w:val="nil"/>
          <w:bottom w:val="nil"/>
          <w:right w:val="nil"/>
          <w:insideH w:val="nil"/>
          <w:insideV w:val="nil"/>
        </w:tblBorders>
        <w:tblLayout w:type="fixed"/>
        <w:tblLook w:val="0600"/>
      </w:tblPr>
      <w:tblGrid>
        <w:gridCol w:w="2420"/>
        <w:gridCol w:w="6785"/>
      </w:tblGrid>
      <w:tr w:rsidR="00CB5E86">
        <w:trPr>
          <w:trHeight w:val="515"/>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Objective</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SMART Target</w:t>
            </w:r>
          </w:p>
        </w:tc>
      </w:tr>
      <w:tr w:rsidR="00CB5E86">
        <w:trPr>
          <w:trHeight w:val="515"/>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Customer acquisition</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 xml:space="preserve">Secure </w:t>
            </w:r>
            <w:r>
              <w:rPr>
                <w:b/>
                <w:bCs/>
              </w:rPr>
              <w:t>20 pilot B2B customers within 6 months</w:t>
            </w:r>
            <w:r>
              <w:t>.</w:t>
            </w:r>
          </w:p>
        </w:tc>
      </w:tr>
      <w:tr w:rsidR="00CB5E86">
        <w:trPr>
          <w:trHeight w:val="515"/>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Brand awareness</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 xml:space="preserve">Generate </w:t>
            </w:r>
            <w:r>
              <w:rPr>
                <w:b/>
                <w:bCs/>
              </w:rPr>
              <w:t>10,000 targeted LinkedIn impressions within 6 months</w:t>
            </w:r>
            <w:r>
              <w:t>.</w:t>
            </w:r>
          </w:p>
        </w:tc>
      </w:tr>
      <w:tr w:rsidR="00CB5E86">
        <w:trPr>
          <w:trHeight w:val="515"/>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Lead generation</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 xml:space="preserve">Generate </w:t>
            </w:r>
            <w:r>
              <w:rPr>
                <w:b/>
                <w:bCs/>
              </w:rPr>
              <w:t>150 qualified B2B leads within 12 months</w:t>
            </w:r>
            <w:r>
              <w:t>.</w:t>
            </w:r>
          </w:p>
        </w:tc>
      </w:tr>
      <w:tr w:rsidR="00CB5E86">
        <w:trPr>
          <w:trHeight w:val="515"/>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Retention</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 xml:space="preserve">Achieve </w:t>
            </w:r>
            <w:r>
              <w:rPr>
                <w:b/>
                <w:bCs/>
              </w:rPr>
              <w:t>85% customer retention by the end of Year 1</w:t>
            </w:r>
            <w:r>
              <w:t>.</w:t>
            </w:r>
          </w:p>
        </w:tc>
      </w:tr>
      <w:tr w:rsidR="00CB5E86">
        <w:trPr>
          <w:trHeight w:val="515"/>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Revenue</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 xml:space="preserve">Reach </w:t>
            </w:r>
            <w:r>
              <w:rPr>
                <w:b/>
                <w:bCs/>
              </w:rPr>
              <w:t>£15,000 monthly recurring revenue by Month 12</w:t>
            </w:r>
            <w:r>
              <w:t>.</w:t>
            </w:r>
          </w:p>
        </w:tc>
      </w:tr>
    </w:tbl>
    <w:p w:rsidR="00CB5E86" w:rsidRDefault="00B12AC1">
      <w:r>
        <w:t xml:space="preserve">                                                  </w:t>
      </w:r>
      <w:r w:rsidR="00E4141F">
        <w:t>Source: Self-Created</w:t>
      </w:r>
    </w:p>
    <w:p w:rsidR="00CB5E86" w:rsidRDefault="00E4141F">
      <w:pPr>
        <w:pStyle w:val="Heading3"/>
      </w:pPr>
      <w:bookmarkStart w:id="96" w:name="_Toc239815982"/>
      <w:r>
        <w:lastRenderedPageBreak/>
        <w:t>9.2.2 Segmentation, Targeting and Positioning</w:t>
      </w:r>
      <w:bookmarkEnd w:id="96"/>
    </w:p>
    <w:p w:rsidR="00CB5E86" w:rsidRDefault="00E4141F">
      <w:pPr>
        <w:spacing w:before="280" w:after="80"/>
        <w:rPr>
          <w:b/>
          <w:bCs/>
          <w:i/>
          <w:iCs/>
        </w:rPr>
      </w:pPr>
      <w:r>
        <w:rPr>
          <w:b/>
          <w:bCs/>
          <w:i/>
          <w:iCs/>
        </w:rPr>
        <w:t>Segmentation</w:t>
      </w:r>
    </w:p>
    <w:p w:rsidR="00CB5E86" w:rsidRDefault="00E4141F">
      <w:pPr>
        <w:spacing w:before="280" w:after="80"/>
        <w:rPr>
          <w:b/>
          <w:bCs/>
        </w:rPr>
      </w:pPr>
      <w:r>
        <w:rPr>
          <w:b/>
          <w:bCs/>
        </w:rPr>
        <w:t>Table 18. Segmentation</w:t>
      </w:r>
    </w:p>
    <w:tbl>
      <w:tblPr>
        <w:tblStyle w:val="affffffff0"/>
        <w:tblW w:w="8425" w:type="dxa"/>
        <w:tblBorders>
          <w:top w:val="nil"/>
          <w:left w:val="nil"/>
          <w:bottom w:val="nil"/>
          <w:right w:val="nil"/>
          <w:insideH w:val="nil"/>
          <w:insideV w:val="nil"/>
        </w:tblBorders>
        <w:tblLayout w:type="fixed"/>
        <w:tblLook w:val="0600"/>
      </w:tblPr>
      <w:tblGrid>
        <w:gridCol w:w="2825"/>
        <w:gridCol w:w="5600"/>
      </w:tblGrid>
      <w:tr w:rsidR="00CB5E86">
        <w:trPr>
          <w:trHeight w:val="515"/>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Segmentation Factor</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Target Segment</w:t>
            </w:r>
          </w:p>
        </w:tc>
      </w:tr>
      <w:tr w:rsidR="00CB5E86">
        <w:trPr>
          <w:trHeight w:val="515"/>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Business size</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SMEs and medium-sized organisations</w:t>
            </w:r>
          </w:p>
        </w:tc>
      </w:tr>
      <w:tr w:rsidR="00CB5E86">
        <w:trPr>
          <w:trHeight w:val="515"/>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Industry</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Professional services, education, technology and offices</w:t>
            </w:r>
          </w:p>
        </w:tc>
      </w:tr>
      <w:tr w:rsidR="00CB5E86">
        <w:trPr>
          <w:trHeight w:val="515"/>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Office size</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Small-to-large office workplaces</w:t>
            </w:r>
          </w:p>
        </w:tc>
      </w:tr>
      <w:tr w:rsidR="00CB5E86">
        <w:trPr>
          <w:trHeight w:val="515"/>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Sustainability commitment</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Medium-to-high sustainability focus</w:t>
            </w:r>
          </w:p>
        </w:tc>
      </w:tr>
      <w:tr w:rsidR="00CB5E86">
        <w:trPr>
          <w:trHeight w:val="515"/>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Waste volume</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Moderate-to-high recyclable office waste</w:t>
            </w:r>
          </w:p>
        </w:tc>
      </w:tr>
    </w:tbl>
    <w:p w:rsidR="00CB5E86" w:rsidRDefault="00B12AC1">
      <w:pPr>
        <w:spacing w:before="280" w:after="80"/>
      </w:pPr>
      <w:r>
        <w:t xml:space="preserve">                                                </w:t>
      </w:r>
      <w:r w:rsidR="00E4141F">
        <w:t>Source: Self-Created</w:t>
      </w:r>
    </w:p>
    <w:p w:rsidR="00CB5E86" w:rsidRDefault="00E4141F">
      <w:pPr>
        <w:spacing w:before="280" w:after="80"/>
        <w:rPr>
          <w:b/>
          <w:bCs/>
          <w:i/>
          <w:iCs/>
        </w:rPr>
      </w:pPr>
      <w:r>
        <w:rPr>
          <w:b/>
          <w:bCs/>
          <w:i/>
          <w:iCs/>
        </w:rPr>
        <w:t>Targeting</w:t>
      </w:r>
    </w:p>
    <w:p w:rsidR="00CB5E86" w:rsidRDefault="00E4141F">
      <w:pPr>
        <w:rPr>
          <w:b/>
          <w:bCs/>
        </w:rPr>
      </w:pPr>
      <w:r>
        <w:rPr>
          <w:b/>
          <w:bCs/>
        </w:rPr>
        <w:t>Table 19. Targeting</w:t>
      </w:r>
    </w:p>
    <w:sdt>
      <w:sdtPr>
        <w:tag w:val="goog_rdk_16"/>
        <w:id w:val="-202024333"/>
        <w:lock w:val="contentLocked"/>
      </w:sdtPr>
      <w:sdtContent>
        <w:tbl>
          <w:tblPr>
            <w:tblStyle w:val="affffffff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CB5E86">
            <w:tc>
              <w:tcPr>
                <w:tcW w:w="4680" w:type="dxa"/>
                <w:shd w:val="clear" w:color="auto" w:fill="auto"/>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pPr>
                <w:r>
                  <w:rPr>
                    <w:noProof/>
                    <w:lang w:eastAsia="en-US"/>
                  </w:rPr>
                  <w:drawing>
                    <wp:inline distT="114300" distB="114300" distL="114300" distR="114300">
                      <wp:extent cx="2838450" cy="2385814"/>
                      <wp:effectExtent l="0" t="0" r="0" b="0"/>
                      <wp:docPr id="8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b="44089"/>
                              <a:stretch>
                                <a:fillRect/>
                              </a:stretch>
                            </pic:blipFill>
                            <pic:spPr>
                              <a:xfrm>
                                <a:off x="0" y="0"/>
                                <a:ext cx="2838450" cy="2385814"/>
                              </a:xfrm>
                              <a:prstGeom prst="rect">
                                <a:avLst/>
                              </a:prstGeom>
                              <a:ln/>
                            </pic:spPr>
                          </pic:pic>
                        </a:graphicData>
                      </a:graphic>
                    </wp:inline>
                  </w:drawing>
                </w:r>
              </w:p>
            </w:tc>
            <w:tc>
              <w:tcPr>
                <w:tcW w:w="4680" w:type="dxa"/>
                <w:shd w:val="clear" w:color="auto" w:fill="auto"/>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pPr>
                <w:r>
                  <w:t>Alex is an office manager in a growing UK SME. They are responsible for workplace operations and want to make the office more sustainable but currently rely on fragmented waste services with limited reporting.</w:t>
                </w:r>
              </w:p>
            </w:tc>
          </w:tr>
          <w:tr w:rsidR="00CB5E86">
            <w:tc>
              <w:tcPr>
                <w:tcW w:w="4680" w:type="dxa"/>
                <w:shd w:val="clear" w:color="auto" w:fill="auto"/>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i/>
                    <w:iCs/>
                  </w:rPr>
                </w:pPr>
                <w:r>
                  <w:rPr>
                    <w:b/>
                    <w:bCs/>
                    <w:i/>
                    <w:iCs/>
                  </w:rPr>
                  <w:lastRenderedPageBreak/>
                  <w:t>Demographic</w:t>
                </w:r>
              </w:p>
              <w:p w:rsidR="00CB5E86" w:rsidRDefault="00E4141F">
                <w:pPr>
                  <w:widowControl w:val="0"/>
                  <w:numPr>
                    <w:ilvl w:val="0"/>
                    <w:numId w:val="6"/>
                  </w:numPr>
                  <w:pBdr>
                    <w:top w:val="nil"/>
                    <w:left w:val="nil"/>
                    <w:bottom w:val="nil"/>
                    <w:right w:val="nil"/>
                    <w:between w:val="nil"/>
                  </w:pBdr>
                  <w:spacing w:before="0" w:after="0" w:line="240" w:lineRule="auto"/>
                  <w:rPr>
                    <w:b/>
                    <w:bCs/>
                    <w:i/>
                    <w:iCs/>
                  </w:rPr>
                </w:pPr>
                <w:r>
                  <w:rPr>
                    <w:b/>
                    <w:bCs/>
                    <w:i/>
                    <w:iCs/>
                  </w:rPr>
                  <w:t xml:space="preserve">Age: </w:t>
                </w:r>
                <w:r>
                  <w:t>30–45 years old</w:t>
                </w:r>
              </w:p>
              <w:p w:rsidR="00CB5E86" w:rsidRDefault="00E4141F">
                <w:pPr>
                  <w:widowControl w:val="0"/>
                  <w:numPr>
                    <w:ilvl w:val="0"/>
                    <w:numId w:val="6"/>
                  </w:numPr>
                  <w:pBdr>
                    <w:top w:val="nil"/>
                    <w:left w:val="nil"/>
                    <w:bottom w:val="nil"/>
                    <w:right w:val="nil"/>
                    <w:between w:val="nil"/>
                  </w:pBdr>
                  <w:spacing w:before="0" w:after="0" w:line="240" w:lineRule="auto"/>
                  <w:rPr>
                    <w:b/>
                    <w:bCs/>
                    <w:i/>
                    <w:iCs/>
                  </w:rPr>
                </w:pPr>
                <w:r>
                  <w:rPr>
                    <w:b/>
                    <w:bCs/>
                    <w:i/>
                    <w:iCs/>
                  </w:rPr>
                  <w:t xml:space="preserve">Sex: </w:t>
                </w:r>
                <w:r>
                  <w:t>Male</w:t>
                </w:r>
              </w:p>
              <w:p w:rsidR="00CB5E86" w:rsidRDefault="00E4141F">
                <w:pPr>
                  <w:widowControl w:val="0"/>
                  <w:numPr>
                    <w:ilvl w:val="0"/>
                    <w:numId w:val="6"/>
                  </w:numPr>
                  <w:pBdr>
                    <w:top w:val="nil"/>
                    <w:left w:val="nil"/>
                    <w:bottom w:val="nil"/>
                    <w:right w:val="nil"/>
                    <w:between w:val="nil"/>
                  </w:pBdr>
                  <w:spacing w:before="0" w:after="0" w:line="240" w:lineRule="auto"/>
                  <w:rPr>
                    <w:b/>
                    <w:bCs/>
                    <w:i/>
                    <w:iCs/>
                  </w:rPr>
                </w:pPr>
                <w:r>
                  <w:rPr>
                    <w:b/>
                    <w:bCs/>
                    <w:i/>
                    <w:iCs/>
                  </w:rPr>
                  <w:t xml:space="preserve">Occupation: </w:t>
                </w:r>
                <w:r>
                  <w:t>Office/facilities manager</w:t>
                </w:r>
              </w:p>
              <w:p w:rsidR="00CB5E86" w:rsidRDefault="00E4141F">
                <w:pPr>
                  <w:widowControl w:val="0"/>
                  <w:numPr>
                    <w:ilvl w:val="0"/>
                    <w:numId w:val="6"/>
                  </w:numPr>
                  <w:pBdr>
                    <w:top w:val="nil"/>
                    <w:left w:val="nil"/>
                    <w:bottom w:val="nil"/>
                    <w:right w:val="nil"/>
                    <w:between w:val="nil"/>
                  </w:pBdr>
                  <w:spacing w:before="0" w:after="0" w:line="240" w:lineRule="auto"/>
                  <w:rPr>
                    <w:b/>
                    <w:bCs/>
                    <w:i/>
                    <w:iCs/>
                  </w:rPr>
                </w:pPr>
                <w:r>
                  <w:rPr>
                    <w:b/>
                    <w:bCs/>
                    <w:i/>
                    <w:iCs/>
                  </w:rPr>
                  <w:t xml:space="preserve">Income: </w:t>
                </w:r>
                <w:r>
                  <w:t>24,000$</w:t>
                </w:r>
              </w:p>
            </w:tc>
            <w:tc>
              <w:tcPr>
                <w:tcW w:w="4680" w:type="dxa"/>
                <w:shd w:val="clear" w:color="auto" w:fill="auto"/>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i/>
                    <w:iCs/>
                  </w:rPr>
                </w:pPr>
                <w:r>
                  <w:rPr>
                    <w:b/>
                    <w:bCs/>
                    <w:i/>
                    <w:iCs/>
                  </w:rPr>
                  <w:t>Needs</w:t>
                </w:r>
              </w:p>
              <w:p w:rsidR="00CB5E86" w:rsidRDefault="00E4141F">
                <w:pPr>
                  <w:widowControl w:val="0"/>
                  <w:numPr>
                    <w:ilvl w:val="0"/>
                    <w:numId w:val="1"/>
                  </w:numPr>
                  <w:pBdr>
                    <w:top w:val="nil"/>
                    <w:left w:val="nil"/>
                    <w:bottom w:val="nil"/>
                    <w:right w:val="nil"/>
                    <w:between w:val="nil"/>
                  </w:pBdr>
                  <w:spacing w:before="0" w:after="0" w:line="240" w:lineRule="auto"/>
                </w:pPr>
                <w:r>
                  <w:t>Reliable waste collection, recycling and reuse services, simple supplier management, digital tracking and clear sustainability reports.</w:t>
                </w:r>
              </w:p>
            </w:tc>
          </w:tr>
          <w:tr w:rsidR="00CB5E86">
            <w:tc>
              <w:tcPr>
                <w:tcW w:w="4680" w:type="dxa"/>
                <w:shd w:val="clear" w:color="auto" w:fill="auto"/>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i/>
                    <w:iCs/>
                  </w:rPr>
                </w:pPr>
                <w:r>
                  <w:rPr>
                    <w:b/>
                    <w:bCs/>
                    <w:i/>
                    <w:iCs/>
                  </w:rPr>
                  <w:t>Goal</w:t>
                </w:r>
              </w:p>
              <w:p w:rsidR="00CB5E86" w:rsidRDefault="00E4141F">
                <w:pPr>
                  <w:widowControl w:val="0"/>
                  <w:numPr>
                    <w:ilvl w:val="0"/>
                    <w:numId w:val="7"/>
                  </w:numPr>
                  <w:pBdr>
                    <w:top w:val="nil"/>
                    <w:left w:val="nil"/>
                    <w:bottom w:val="nil"/>
                    <w:right w:val="nil"/>
                    <w:between w:val="nil"/>
                  </w:pBdr>
                  <w:spacing w:before="0" w:after="0" w:line="240" w:lineRule="auto"/>
                </w:pPr>
                <w:r>
                  <w:t>Reduce office waste, improve resource efficiency and demonstrate measurable sustainability performance without significantly increasing operating costs.</w:t>
                </w:r>
              </w:p>
            </w:tc>
            <w:tc>
              <w:tcPr>
                <w:tcW w:w="4680" w:type="dxa"/>
                <w:shd w:val="clear" w:color="auto" w:fill="auto"/>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i/>
                    <w:iCs/>
                  </w:rPr>
                </w:pPr>
                <w:r>
                  <w:rPr>
                    <w:b/>
                    <w:bCs/>
                    <w:i/>
                    <w:iCs/>
                  </w:rPr>
                  <w:t>Motivation</w:t>
                </w:r>
              </w:p>
              <w:p w:rsidR="00CB5E86" w:rsidRDefault="00E4141F">
                <w:pPr>
                  <w:widowControl w:val="0"/>
                  <w:numPr>
                    <w:ilvl w:val="0"/>
                    <w:numId w:val="5"/>
                  </w:numPr>
                  <w:pBdr>
                    <w:top w:val="nil"/>
                    <w:left w:val="nil"/>
                    <w:bottom w:val="nil"/>
                    <w:right w:val="nil"/>
                    <w:between w:val="nil"/>
                  </w:pBdr>
                  <w:spacing w:before="0" w:after="0" w:line="240" w:lineRule="auto"/>
                </w:pPr>
                <w:r>
                  <w:t>Growing environmental expectations from employees and management, desire to strengthen organisational sustainability credentials, and the need for convenient and measurable waste management.</w:t>
                </w:r>
              </w:p>
            </w:tc>
          </w:tr>
          <w:tr w:rsidR="00CB5E86">
            <w:trPr>
              <w:trHeight w:val="440"/>
            </w:trPr>
            <w:tc>
              <w:tcPr>
                <w:tcW w:w="9360" w:type="dxa"/>
                <w:gridSpan w:val="2"/>
                <w:shd w:val="clear" w:color="auto" w:fill="auto"/>
                <w:tcMar>
                  <w:top w:w="100" w:type="dxa"/>
                  <w:left w:w="100" w:type="dxa"/>
                  <w:bottom w:w="100" w:type="dxa"/>
                  <w:right w:w="100" w:type="dxa"/>
                </w:tcMar>
              </w:tcPr>
              <w:p w:rsidR="00CB5E86" w:rsidRDefault="00E4141F">
                <w:pPr>
                  <w:widowControl w:val="0"/>
                  <w:pBdr>
                    <w:top w:val="nil"/>
                    <w:left w:val="nil"/>
                    <w:bottom w:val="nil"/>
                    <w:right w:val="nil"/>
                    <w:between w:val="nil"/>
                  </w:pBdr>
                  <w:spacing w:before="0" w:after="0" w:line="240" w:lineRule="auto"/>
                  <w:rPr>
                    <w:b/>
                    <w:bCs/>
                    <w:i/>
                    <w:iCs/>
                  </w:rPr>
                </w:pPr>
                <w:r>
                  <w:rPr>
                    <w:b/>
                    <w:bCs/>
                    <w:i/>
                    <w:iCs/>
                  </w:rPr>
                  <w:t>Pain Points</w:t>
                </w:r>
              </w:p>
              <w:p w:rsidR="00CB5E86" w:rsidRDefault="00E4141F">
                <w:pPr>
                  <w:widowControl w:val="0"/>
                  <w:numPr>
                    <w:ilvl w:val="0"/>
                    <w:numId w:val="8"/>
                  </w:numPr>
                  <w:pBdr>
                    <w:top w:val="nil"/>
                    <w:left w:val="nil"/>
                    <w:bottom w:val="nil"/>
                    <w:right w:val="nil"/>
                    <w:between w:val="nil"/>
                  </w:pBdr>
                  <w:spacing w:before="0" w:after="0" w:line="240" w:lineRule="auto"/>
                </w:pPr>
                <w:r>
                  <w:t>Limited time and expertise, fragmented suppliers, unclear recycling outcomes, administrative workload, inconsistent collection services and difficulty demonstrating the organisation’s environmental impact.</w:t>
                </w:r>
              </w:p>
            </w:tc>
          </w:tr>
        </w:tbl>
      </w:sdtContent>
    </w:sdt>
    <w:p w:rsidR="00CB5E86" w:rsidRDefault="00B12AC1">
      <w:pPr>
        <w:spacing w:before="280" w:after="80"/>
      </w:pPr>
      <w:r>
        <w:t xml:space="preserve">                                                 </w:t>
      </w:r>
      <w:r w:rsidR="00E4141F">
        <w:t>Source: Self-Created</w:t>
      </w:r>
    </w:p>
    <w:p w:rsidR="00B12AC1" w:rsidRDefault="00B12AC1">
      <w:pPr>
        <w:spacing w:before="280" w:after="80"/>
        <w:rPr>
          <w:b/>
          <w:bCs/>
          <w:i/>
          <w:iCs/>
        </w:rPr>
      </w:pPr>
    </w:p>
    <w:p w:rsidR="00B12AC1" w:rsidRDefault="00B12AC1">
      <w:pPr>
        <w:spacing w:before="280" w:after="80"/>
        <w:rPr>
          <w:b/>
          <w:bCs/>
          <w:i/>
          <w:iCs/>
        </w:rPr>
      </w:pPr>
    </w:p>
    <w:p w:rsidR="00B12AC1" w:rsidRDefault="00B12AC1">
      <w:pPr>
        <w:spacing w:before="280" w:after="80"/>
        <w:rPr>
          <w:b/>
          <w:bCs/>
          <w:i/>
          <w:iCs/>
        </w:rPr>
      </w:pPr>
    </w:p>
    <w:p w:rsidR="00B12AC1" w:rsidRDefault="00B12AC1">
      <w:pPr>
        <w:spacing w:before="280" w:after="80"/>
        <w:rPr>
          <w:b/>
          <w:bCs/>
          <w:i/>
          <w:iCs/>
        </w:rPr>
      </w:pPr>
    </w:p>
    <w:p w:rsidR="00B12AC1" w:rsidRDefault="00B12AC1">
      <w:pPr>
        <w:spacing w:before="280" w:after="80"/>
        <w:rPr>
          <w:b/>
          <w:bCs/>
          <w:i/>
          <w:iCs/>
        </w:rPr>
      </w:pPr>
    </w:p>
    <w:p w:rsidR="00B12AC1" w:rsidRDefault="00B12AC1">
      <w:pPr>
        <w:spacing w:before="280" w:after="80"/>
        <w:rPr>
          <w:b/>
          <w:bCs/>
          <w:i/>
          <w:iCs/>
        </w:rPr>
      </w:pPr>
    </w:p>
    <w:p w:rsidR="00B12AC1" w:rsidRDefault="00B12AC1">
      <w:pPr>
        <w:spacing w:before="280" w:after="80"/>
        <w:rPr>
          <w:b/>
          <w:bCs/>
          <w:i/>
          <w:iCs/>
        </w:rPr>
      </w:pPr>
    </w:p>
    <w:p w:rsidR="00B12AC1" w:rsidRDefault="00B12AC1">
      <w:pPr>
        <w:spacing w:before="280" w:after="80"/>
        <w:rPr>
          <w:b/>
          <w:bCs/>
          <w:i/>
          <w:iCs/>
        </w:rPr>
      </w:pPr>
    </w:p>
    <w:p w:rsidR="00B12AC1" w:rsidRDefault="00B12AC1">
      <w:pPr>
        <w:spacing w:before="280" w:after="80"/>
        <w:rPr>
          <w:b/>
          <w:bCs/>
          <w:i/>
          <w:iCs/>
        </w:rPr>
      </w:pPr>
    </w:p>
    <w:p w:rsidR="00CB5E86" w:rsidRDefault="00E4141F">
      <w:pPr>
        <w:spacing w:before="280" w:after="80"/>
        <w:rPr>
          <w:b/>
          <w:bCs/>
          <w:i/>
          <w:iCs/>
        </w:rPr>
      </w:pPr>
      <w:r>
        <w:rPr>
          <w:b/>
          <w:bCs/>
          <w:i/>
          <w:iCs/>
        </w:rPr>
        <w:lastRenderedPageBreak/>
        <w:t>Positioning</w:t>
      </w:r>
    </w:p>
    <w:p w:rsidR="00CB5E86" w:rsidRDefault="00E4141F">
      <w:pPr>
        <w:spacing w:before="280" w:after="80"/>
        <w:rPr>
          <w:b/>
          <w:bCs/>
          <w:i/>
          <w:iCs/>
        </w:rPr>
      </w:pPr>
      <w:r>
        <w:rPr>
          <w:b/>
          <w:bCs/>
          <w:i/>
          <w:iCs/>
        </w:rPr>
        <w:t>Figure 8. Positioning Map</w:t>
      </w:r>
    </w:p>
    <w:p w:rsidR="00CB5E86" w:rsidRDefault="00E4141F">
      <w:pPr>
        <w:spacing w:before="280" w:after="80"/>
        <w:jc w:val="center"/>
      </w:pPr>
      <w:r>
        <w:rPr>
          <w:noProof/>
          <w:lang w:eastAsia="en-US"/>
        </w:rPr>
        <w:drawing>
          <wp:inline distT="114300" distB="114300" distL="114300" distR="114300">
            <wp:extent cx="5943600" cy="3962400"/>
            <wp:effectExtent l="25400" t="25400" r="25400" b="25400"/>
            <wp:docPr id="8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cstate="print"/>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rsidR="00CB5E86" w:rsidRDefault="00B12AC1">
      <w:r>
        <w:t xml:space="preserve">                                                </w:t>
      </w:r>
      <w:r w:rsidR="00E4141F">
        <w:t>Source: Self-Created</w:t>
      </w:r>
    </w:p>
    <w:p w:rsidR="00CB5E86" w:rsidRDefault="00E4141F">
      <w:r>
        <w:t>The three major competitors that EcoLoop Office will have to compete with are Biffa, who offers a large area of national coverage and established commercial waste services (Biffa, 2019), Veolia, which provides all these services with resources, waste collection, recycling and the environment (Veolia, 2023), and Grundon with commercial waste services, waste collection, recycling and environment services (Grundon, 2026). By contrast, EcoLoop Office ought to be in a niche, high sustainability and digitally-connected location, geared towards SMEs and medium-sized offices (Binyaseen, 2024). The differentiation of its products should be based on circular-office services, tracking of digital waste, reuse, recycling and measurable sustainability reporting.</w:t>
      </w:r>
    </w:p>
    <w:p w:rsidR="00CB5E86" w:rsidRDefault="00E4141F">
      <w:pPr>
        <w:pStyle w:val="Heading2"/>
      </w:pPr>
      <w:bookmarkStart w:id="97" w:name="_Toc239815983"/>
      <w:r>
        <w:lastRenderedPageBreak/>
        <w:t>9.2.3 Marketing Mix</w:t>
      </w:r>
      <w:bookmarkEnd w:id="97"/>
    </w:p>
    <w:p w:rsidR="00CB5E86" w:rsidRDefault="00E4141F">
      <w:pPr>
        <w:spacing w:before="280" w:after="80"/>
        <w:rPr>
          <w:b/>
          <w:bCs/>
          <w:i/>
          <w:iCs/>
        </w:rPr>
      </w:pPr>
      <w:r>
        <w:rPr>
          <w:b/>
          <w:bCs/>
          <w:i/>
          <w:iCs/>
        </w:rPr>
        <w:t>Product</w:t>
      </w:r>
    </w:p>
    <w:p w:rsidR="00CB5E86" w:rsidRDefault="00E4141F">
      <w:r>
        <w:t>The solution will provide a circular, integrated office-management service through collection, reuse, recycling, digital tracking and sustainability reporting by the company EcoLoop Office. A significant market in the UK for the proposition exists, with 5.69 million (99.93%) of the population engaged in private business activity, of those 5.68 million were SMEs, however EcoLoop should focus on recruitment of SMEs and not the high number of non-employers (Merchant Savvy, 2022). By representing 60% of employment in the UK's private sector, and 51% of total turnover (Government of UK, 2026a), SMEs are of commercial significance. Therefore, the sole thing to look for in the product is focus on convenience that is measurable, not only recycling alone.</w:t>
      </w:r>
    </w:p>
    <w:p w:rsidR="00CB5E86" w:rsidRDefault="00E4141F">
      <w:pPr>
        <w:spacing w:before="280" w:after="80"/>
        <w:rPr>
          <w:b/>
          <w:bCs/>
          <w:i/>
          <w:iCs/>
        </w:rPr>
      </w:pPr>
      <w:r>
        <w:rPr>
          <w:b/>
          <w:bCs/>
          <w:i/>
          <w:iCs/>
        </w:rPr>
        <w:t>Price</w:t>
      </w:r>
    </w:p>
    <w:p w:rsidR="00CB5E86" w:rsidRDefault="00E4141F">
      <w:r>
        <w:t>Value added pricing is suitable because customers are not just buying waste collection, but a convenience service, reporting and measurable sustainability products (Netseva-Porcheva, 2011). Initial pricing during the pilot should lower the switching costs, and (long-term) prices should be based on the contribution margin.</w:t>
      </w:r>
    </w:p>
    <w:p w:rsidR="00CB5E86" w:rsidRDefault="00E4141F">
      <w:pPr>
        <w:spacing w:before="280" w:after="80"/>
        <w:rPr>
          <w:b/>
          <w:bCs/>
          <w:i/>
          <w:iCs/>
        </w:rPr>
      </w:pPr>
      <w:r>
        <w:rPr>
          <w:b/>
          <w:bCs/>
          <w:i/>
          <w:iCs/>
        </w:rPr>
        <w:t>Place</w:t>
      </w:r>
    </w:p>
    <w:p w:rsidR="00CB5E86" w:rsidRDefault="00E4141F">
      <w:r>
        <w:t>Distribution will be via direct B2B sales and digital channels such as website, LinkedIn and email. There was an attractive starting point pool of businesses available with a professional, scientific and technical focused sector accounting for 15.3% of registered businesses in the United Kingdom in 2025 (OECD 2025).</w:t>
      </w:r>
    </w:p>
    <w:p w:rsidR="00CB5E86" w:rsidRDefault="00E4141F">
      <w:pPr>
        <w:spacing w:before="280" w:after="80"/>
        <w:rPr>
          <w:b/>
          <w:bCs/>
          <w:i/>
          <w:iCs/>
        </w:rPr>
      </w:pPr>
      <w:r>
        <w:rPr>
          <w:b/>
          <w:bCs/>
          <w:i/>
          <w:iCs/>
        </w:rPr>
        <w:t>Promotion</w:t>
      </w:r>
    </w:p>
    <w:p w:rsidR="00CB5E86" w:rsidRDefault="00E4141F">
      <w:r>
        <w:t xml:space="preserve">LinkedIn, SEO, email marketing, sustainability case studies, events, partnerships and referrals will be used to promote. There is a need for evidence-based communication: 83% of businesses did not take any environmental-protection measure in late 2024, </w:t>
      </w:r>
      <w:r>
        <w:lastRenderedPageBreak/>
        <w:t>reflecting a challenge of engagement and a need to get the business value of EcoLoop across effectively (Fredriksson</w:t>
      </w:r>
      <w:r w:rsidR="00754E7C" w:rsidRPr="00754E7C">
        <w:rPr>
          <w:i/>
          <w:iCs/>
        </w:rPr>
        <w:t>et al</w:t>
      </w:r>
      <w:r>
        <w:t>., 2026).</w:t>
      </w:r>
    </w:p>
    <w:p w:rsidR="00CB5E86" w:rsidRDefault="00E4141F">
      <w:pPr>
        <w:pStyle w:val="Heading3"/>
        <w:keepNext w:val="0"/>
        <w:keepLines w:val="0"/>
      </w:pPr>
      <w:bookmarkStart w:id="98" w:name="_Toc239815984"/>
      <w:r>
        <w:t>9.2.4 Customer Acquisition Funnel</w:t>
      </w:r>
      <w:bookmarkEnd w:id="98"/>
    </w:p>
    <w:p w:rsidR="00CB5E86" w:rsidRDefault="00E4141F">
      <w:pPr>
        <w:rPr>
          <w:b/>
          <w:bCs/>
        </w:rPr>
      </w:pPr>
      <w:r>
        <w:rPr>
          <w:b/>
          <w:bCs/>
        </w:rPr>
        <w:t>Table 20. Customer Acquisition Funnel</w:t>
      </w:r>
    </w:p>
    <w:tbl>
      <w:tblPr>
        <w:tblStyle w:val="affffffff2"/>
        <w:tblW w:w="9225" w:type="dxa"/>
        <w:tblBorders>
          <w:top w:val="nil"/>
          <w:left w:val="nil"/>
          <w:bottom w:val="nil"/>
          <w:right w:val="nil"/>
          <w:insideH w:val="nil"/>
          <w:insideV w:val="nil"/>
        </w:tblBorders>
        <w:tblLayout w:type="fixed"/>
        <w:tblLook w:val="0600"/>
      </w:tblPr>
      <w:tblGrid>
        <w:gridCol w:w="1860"/>
        <w:gridCol w:w="7365"/>
      </w:tblGrid>
      <w:tr w:rsidR="00CB5E86">
        <w:trPr>
          <w:trHeight w:val="515"/>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rPr>
                <w:i/>
                <w:iCs/>
              </w:rPr>
            </w:pPr>
            <w:r>
              <w:rPr>
                <w:b/>
                <w:bCs/>
                <w:i/>
                <w:iCs/>
              </w:rPr>
              <w:t>Stage</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rPr>
                <w:i/>
                <w:iCs/>
              </w:rPr>
            </w:pPr>
            <w:r>
              <w:rPr>
                <w:b/>
                <w:bCs/>
                <w:i/>
                <w:iCs/>
              </w:rPr>
              <w:t>Critical Role and KPI</w:t>
            </w:r>
          </w:p>
        </w:tc>
      </w:tr>
      <w:tr w:rsidR="00CB5E86">
        <w:trPr>
          <w:trHeight w:val="800"/>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rPr>
                <w:i/>
                <w:iCs/>
              </w:rPr>
            </w:pPr>
            <w:r>
              <w:rPr>
                <w:b/>
                <w:bCs/>
                <w:i/>
                <w:iCs/>
              </w:rPr>
              <w:t>Awareness</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LinkedIn, SEO and partnerships introduce EcoLoop to targeted B2B prospects.</w:t>
            </w:r>
          </w:p>
        </w:tc>
      </w:tr>
      <w:tr w:rsidR="00CB5E86">
        <w:trPr>
          <w:trHeight w:val="800"/>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rPr>
                <w:b/>
                <w:bCs/>
                <w:i/>
                <w:iCs/>
              </w:rPr>
            </w:pPr>
            <w:r>
              <w:rPr>
                <w:b/>
                <w:bCs/>
                <w:i/>
                <w:iCs/>
              </w:rPr>
              <w:t>Engagement</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 xml:space="preserve">Website visits and content establish credibility; </w:t>
            </w:r>
            <w:r>
              <w:rPr>
                <w:b/>
                <w:bCs/>
              </w:rPr>
              <w:t>78% of UK businesses had a website in 2025–26</w:t>
            </w:r>
            <w:r>
              <w:t xml:space="preserve">, supporting digital discovery (Pratt, 2025). </w:t>
            </w:r>
          </w:p>
        </w:tc>
      </w:tr>
      <w:tr w:rsidR="00CB5E86">
        <w:trPr>
          <w:trHeight w:val="800"/>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rPr>
                <w:i/>
                <w:iCs/>
              </w:rPr>
            </w:pPr>
            <w:r>
              <w:rPr>
                <w:b/>
                <w:bCs/>
                <w:i/>
                <w:iCs/>
              </w:rPr>
              <w:t>Assessment</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A free sustainability assessment converts interest into a qualified business need.</w:t>
            </w:r>
          </w:p>
        </w:tc>
      </w:tr>
      <w:tr w:rsidR="00CB5E86">
        <w:trPr>
          <w:trHeight w:val="515"/>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rPr>
                <w:i/>
                <w:iCs/>
              </w:rPr>
            </w:pPr>
            <w:r>
              <w:rPr>
                <w:b/>
                <w:bCs/>
                <w:i/>
                <w:iCs/>
              </w:rPr>
              <w:t>Proposal</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Tailored pricing demonstrates financial and environmental value.</w:t>
            </w:r>
          </w:p>
        </w:tc>
      </w:tr>
      <w:tr w:rsidR="00CB5E86">
        <w:trPr>
          <w:trHeight w:val="515"/>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rPr>
                <w:i/>
                <w:iCs/>
              </w:rPr>
            </w:pPr>
            <w:r>
              <w:rPr>
                <w:b/>
                <w:bCs/>
                <w:i/>
                <w:iCs/>
              </w:rPr>
              <w:t>Pilot</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Low-risk trials reduce switching uncertainty and validate service quality.</w:t>
            </w:r>
          </w:p>
        </w:tc>
      </w:tr>
      <w:tr w:rsidR="00CB5E86">
        <w:trPr>
          <w:trHeight w:val="515"/>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rPr>
                <w:i/>
                <w:iCs/>
              </w:rPr>
            </w:pPr>
            <w:r>
              <w:rPr>
                <w:b/>
                <w:bCs/>
                <w:i/>
                <w:iCs/>
              </w:rPr>
              <w:t>Subscription</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Successful pilots convert into recurring contracts.</w:t>
            </w:r>
          </w:p>
        </w:tc>
      </w:tr>
      <w:tr w:rsidR="00CB5E86">
        <w:trPr>
          <w:trHeight w:val="515"/>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rPr>
                <w:i/>
                <w:iCs/>
              </w:rPr>
            </w:pPr>
            <w:r>
              <w:rPr>
                <w:b/>
                <w:bCs/>
                <w:i/>
                <w:iCs/>
              </w:rPr>
              <w:t>Retention</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Reporting and account management protect recurring revenue.</w:t>
            </w:r>
          </w:p>
        </w:tc>
      </w:tr>
      <w:tr w:rsidR="00CB5E86">
        <w:trPr>
          <w:trHeight w:val="515"/>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rPr>
                <w:i/>
                <w:iCs/>
              </w:rPr>
            </w:pPr>
            <w:r>
              <w:rPr>
                <w:b/>
                <w:bCs/>
                <w:i/>
                <w:iCs/>
              </w:rPr>
              <w:t>Referral</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pPr>
            <w:r>
              <w:t>Satisfied customers generate lower-cost leads and strengthen credibility.</w:t>
            </w:r>
          </w:p>
        </w:tc>
      </w:tr>
    </w:tbl>
    <w:p w:rsidR="00CB5E86" w:rsidRDefault="00B12AC1">
      <w:r>
        <w:t xml:space="preserve">                                                </w:t>
      </w:r>
      <w:r w:rsidR="00E4141F">
        <w:t>Source: Self-Created</w:t>
      </w:r>
    </w:p>
    <w:p w:rsidR="00CB5E86" w:rsidRDefault="00E4141F">
      <w:r>
        <w:t xml:space="preserve">This funnel is appropriate because </w:t>
      </w:r>
      <w:r>
        <w:rPr>
          <w:b/>
          <w:bCs/>
        </w:rPr>
        <w:t>69% of SME employers used technology/web-based software in 2024</w:t>
      </w:r>
      <w:r>
        <w:t>, indicating substantial digital readiness among the target market (Sharabati</w:t>
      </w:r>
      <w:r w:rsidR="00754E7C" w:rsidRPr="00754E7C">
        <w:rPr>
          <w:i/>
          <w:iCs/>
        </w:rPr>
        <w:t>et al</w:t>
      </w:r>
      <w:r>
        <w:t xml:space="preserve">., 2024). </w:t>
      </w:r>
    </w:p>
    <w:p w:rsidR="00CB5E86" w:rsidRDefault="00E4141F">
      <w:pPr>
        <w:pStyle w:val="Heading3"/>
      </w:pPr>
      <w:bookmarkStart w:id="99" w:name="_Toc239815985"/>
      <w:r>
        <w:lastRenderedPageBreak/>
        <w:t>9.2.5 Marketing Budget and KPIs</w:t>
      </w:r>
      <w:bookmarkEnd w:id="99"/>
    </w:p>
    <w:p w:rsidR="00CB5E86" w:rsidRDefault="00E4141F">
      <w:r>
        <w:t xml:space="preserve">EcoLoop Office needs to be allocated an initial marketing spend of £7,000, with a focus on measurable B to B marketing or acquisition rather than blanket marketing awareness spend. </w:t>
      </w:r>
    </w:p>
    <w:p w:rsidR="00CB5E86" w:rsidRDefault="00E4141F">
      <w:pPr>
        <w:rPr>
          <w:b/>
          <w:bCs/>
        </w:rPr>
      </w:pPr>
      <w:r>
        <w:rPr>
          <w:b/>
          <w:bCs/>
        </w:rPr>
        <w:t>Table 21. Marketing Budget</w:t>
      </w:r>
    </w:p>
    <w:tbl>
      <w:tblPr>
        <w:tblStyle w:val="affffffff3"/>
        <w:tblW w:w="4675" w:type="dxa"/>
        <w:tblBorders>
          <w:top w:val="nil"/>
          <w:left w:val="nil"/>
          <w:bottom w:val="nil"/>
          <w:right w:val="nil"/>
          <w:insideH w:val="nil"/>
          <w:insideV w:val="nil"/>
        </w:tblBorders>
        <w:tblLayout w:type="fixed"/>
        <w:tblLook w:val="0600"/>
      </w:tblPr>
      <w:tblGrid>
        <w:gridCol w:w="3050"/>
        <w:gridCol w:w="1625"/>
      </w:tblGrid>
      <w:tr w:rsidR="00CB5E86">
        <w:trPr>
          <w:trHeight w:val="515"/>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KPI</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Year-1 Target</w:t>
            </w:r>
          </w:p>
        </w:tc>
      </w:tr>
      <w:tr w:rsidR="00CB5E86">
        <w:trPr>
          <w:trHeight w:val="515"/>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Qualified leads</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150</w:t>
            </w:r>
          </w:p>
        </w:tc>
      </w:tr>
      <w:tr w:rsidR="00CB5E86">
        <w:trPr>
          <w:trHeight w:val="515"/>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Cost per lead</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line="240" w:lineRule="auto"/>
              <w:jc w:val="center"/>
            </w:pPr>
            <w:sdt>
              <w:sdtPr>
                <w:tag w:val="goog_rdk_17"/>
                <w:id w:val="416286692"/>
              </w:sdtPr>
              <w:sdtContent>
                <w:r w:rsidR="00E4141F">
                  <w:rPr>
                    <w:rFonts w:ascii="Arial Unicode MS" w:eastAsia="Arial Unicode MS" w:hAnsi="Arial Unicode MS" w:cs="Arial Unicode MS"/>
                  </w:rPr>
                  <w:t>≤ £47</w:t>
                </w:r>
              </w:sdtContent>
            </w:sdt>
          </w:p>
        </w:tc>
      </w:tr>
      <w:tr w:rsidR="00CB5E86">
        <w:trPr>
          <w:trHeight w:val="515"/>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Lead-to-customer conversion</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line="240" w:lineRule="auto"/>
              <w:jc w:val="center"/>
            </w:pPr>
            <w:sdt>
              <w:sdtPr>
                <w:tag w:val="goog_rdk_18"/>
                <w:id w:val="1901502231"/>
              </w:sdtPr>
              <w:sdtContent>
                <w:r w:rsidR="00E4141F">
                  <w:rPr>
                    <w:rFonts w:ascii="Arial Unicode MS" w:eastAsia="Arial Unicode MS" w:hAnsi="Arial Unicode MS" w:cs="Arial Unicode MS"/>
                  </w:rPr>
                  <w:t>≥ 13%</w:t>
                </w:r>
              </w:sdtContent>
            </w:sdt>
          </w:p>
        </w:tc>
      </w:tr>
      <w:tr w:rsidR="00CB5E86">
        <w:trPr>
          <w:trHeight w:val="515"/>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Customer acquisition cost</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line="240" w:lineRule="auto"/>
              <w:jc w:val="center"/>
            </w:pPr>
            <w:sdt>
              <w:sdtPr>
                <w:tag w:val="goog_rdk_19"/>
                <w:id w:val="-1890494004"/>
              </w:sdtPr>
              <w:sdtContent>
                <w:r w:rsidR="00E4141F">
                  <w:rPr>
                    <w:rFonts w:ascii="Arial Unicode MS" w:eastAsia="Arial Unicode MS" w:hAnsi="Arial Unicode MS" w:cs="Arial Unicode MS"/>
                  </w:rPr>
                  <w:t>≤ £360</w:t>
                </w:r>
              </w:sdtContent>
            </w:sdt>
          </w:p>
        </w:tc>
      </w:tr>
      <w:tr w:rsidR="00CB5E86">
        <w:trPr>
          <w:trHeight w:val="515"/>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Website traffic</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10,000 visits</w:t>
            </w:r>
          </w:p>
        </w:tc>
      </w:tr>
      <w:tr w:rsidR="00CB5E86">
        <w:trPr>
          <w:trHeight w:val="515"/>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Customer retention</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line="240" w:lineRule="auto"/>
              <w:jc w:val="center"/>
            </w:pPr>
            <w:sdt>
              <w:sdtPr>
                <w:tag w:val="goog_rdk_20"/>
                <w:id w:val="383908308"/>
              </w:sdtPr>
              <w:sdtContent>
                <w:r w:rsidR="00E4141F">
                  <w:rPr>
                    <w:rFonts w:ascii="Arial Unicode MS" w:eastAsia="Arial Unicode MS" w:hAnsi="Arial Unicode MS" w:cs="Arial Unicode MS"/>
                  </w:rPr>
                  <w:t>≥ 85%</w:t>
                </w:r>
              </w:sdtContent>
            </w:sdt>
          </w:p>
        </w:tc>
      </w:tr>
      <w:tr w:rsidR="00CB5E86">
        <w:trPr>
          <w:trHeight w:val="515"/>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Referral rate</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line="240" w:lineRule="auto"/>
              <w:jc w:val="center"/>
            </w:pPr>
            <w:sdt>
              <w:sdtPr>
                <w:tag w:val="goog_rdk_21"/>
                <w:id w:val="204170137"/>
              </w:sdtPr>
              <w:sdtContent>
                <w:r w:rsidR="00E4141F">
                  <w:rPr>
                    <w:rFonts w:ascii="Arial Unicode MS" w:eastAsia="Arial Unicode MS" w:hAnsi="Arial Unicode MS" w:cs="Arial Unicode MS"/>
                  </w:rPr>
                  <w:t>≥ 15%</w:t>
                </w:r>
              </w:sdtContent>
            </w:sdt>
          </w:p>
        </w:tc>
      </w:tr>
    </w:tbl>
    <w:p w:rsidR="00CB5E86" w:rsidRDefault="00B12AC1">
      <w:r>
        <w:t xml:space="preserve">               </w:t>
      </w:r>
      <w:r w:rsidR="00E4141F">
        <w:t>Source: Self-Created</w:t>
      </w:r>
    </w:p>
    <w:p w:rsidR="00CB5E86" w:rsidRDefault="00E4141F">
      <w:r>
        <w:t>These KPIs help to measure the marketing spend on commercial results, including acquisition cost, conversions and retention, instead of vanity metrics such as impressions.</w:t>
      </w:r>
    </w:p>
    <w:p w:rsidR="00CB5E86" w:rsidRDefault="00E4141F">
      <w:pPr>
        <w:pStyle w:val="Heading2"/>
      </w:pPr>
      <w:bookmarkStart w:id="100" w:name="_Toc239815986"/>
      <w:r>
        <w:lastRenderedPageBreak/>
        <w:t>9.3 Human Capital Management Plan</w:t>
      </w:r>
      <w:bookmarkEnd w:id="100"/>
    </w:p>
    <w:p w:rsidR="00CB5E86" w:rsidRDefault="00E4141F">
      <w:pPr>
        <w:pStyle w:val="Heading3"/>
      </w:pPr>
      <w:bookmarkStart w:id="101" w:name="_Toc239815987"/>
      <w:r>
        <w:t>9.3.1 Organisational Structure</w:t>
      </w:r>
      <w:bookmarkEnd w:id="101"/>
    </w:p>
    <w:p w:rsidR="00CB5E86" w:rsidRDefault="00E4141F">
      <w:r>
        <w:t>During their startup phase, it is advisable to design a lean functional organizational structure in EcoLoop Office so as to have the capability to maintain specialists and control their labour expenses (Sahoo, 2021). It will be led by a Managing Director with support from an Operations Manager, Sales &amp; Marketing Executive and Sustainability/Data Officer. The physical activity will be performed by the collection staff.</w:t>
      </w:r>
    </w:p>
    <w:p w:rsidR="00CB5E86" w:rsidRDefault="00E4141F">
      <w:pPr>
        <w:pStyle w:val="Heading3"/>
      </w:pPr>
      <w:bookmarkStart w:id="102" w:name="_Toc239815988"/>
      <w:r>
        <w:t>9.3.2 Staffing Requirements</w:t>
      </w:r>
      <w:bookmarkEnd w:id="102"/>
    </w:p>
    <w:p w:rsidR="00CB5E86" w:rsidRDefault="00E4141F">
      <w:r>
        <w:t>It would be good to have about six key staff in the early stages of EcoLoop: 1 Managing Director, 1 Operations Manager, 1 Sales &amp; Marketing Executive, 1 Sustainability/Data Officer and 2 Collection/Operations Staff. The initial outsourcing of administrative tasks, like payroll and accounting, can be done. This methodology exposure not only minimizes the cost of the fixed assets but also retains their essential internal strengths. Operational &amp; Customer service functions should be combined by the collection staff; further, flexing workforce in order to achieve higher efficiencies.</w:t>
      </w:r>
    </w:p>
    <w:p w:rsidR="00CB5E86" w:rsidRDefault="00E4141F">
      <w:pPr>
        <w:pStyle w:val="Heading3"/>
      </w:pPr>
      <w:bookmarkStart w:id="103" w:name="_Toc239815989"/>
      <w:r>
        <w:t>9.3.3 Recruitment and Selection</w:t>
      </w:r>
      <w:bookmarkEnd w:id="103"/>
    </w:p>
    <w:p w:rsidR="00CB5E86" w:rsidRDefault="00E4141F">
      <w:r>
        <w:t>It is essential to recruit but on a skills basis, considering knowledge of sustainability and enthusiasm about sustainability, skills in customer service, skills in logistics and in digital literacy (Bone, Ehlinger and Stephany, 2025). Differentiation requires these same two components - physical collection and digital reporting - and this is important to EcoLoop. Also, develop behavioral selection criteria for the company's greening goals.Additionally, behavioral fit for company's mission to "green the environment" should be taken into account when making a selection.</w:t>
      </w:r>
    </w:p>
    <w:p w:rsidR="00CB5E86" w:rsidRDefault="00E4141F">
      <w:pPr>
        <w:pStyle w:val="Heading3"/>
      </w:pPr>
      <w:bookmarkStart w:id="104" w:name="_Toc239815990"/>
      <w:r>
        <w:t>9.3.4 Training and Development</w:t>
      </w:r>
      <w:bookmarkEnd w:id="104"/>
    </w:p>
    <w:p w:rsidR="00CB5E86" w:rsidRDefault="00E4141F">
      <w:r>
        <w:t xml:space="preserve">Induction and ongoing staff training should be provided on Waste handling, Health and Safety, Customer Service, Digital tracking systems, Sustainability principles and </w:t>
      </w:r>
      <w:r>
        <w:lastRenderedPageBreak/>
        <w:t>environmental reporting. The importance of training rests on the credibility of the data of collection and impact by EcoLoop, which rests on solid data. The UK continues to face numerous employers who are struggling with a lack of skills, and CIPD data in this field indicates that employers continue to invest less in training.</w:t>
      </w:r>
    </w:p>
    <w:p w:rsidR="00CB5E86" w:rsidRDefault="00E4141F">
      <w:pPr>
        <w:pStyle w:val="Heading3"/>
      </w:pPr>
      <w:bookmarkStart w:id="105" w:name="_Toc239815991"/>
      <w:r>
        <w:t>9.3.5 Compensation and Labour Costs</w:t>
      </w:r>
      <w:bookmarkEnd w:id="105"/>
    </w:p>
    <w:p w:rsidR="00CB5E86" w:rsidRDefault="00E4141F">
      <w:r>
        <w:t>Compensation should be a blend of competitive pay and performance-based measures based on revenue not lost to customers, collection accuracy and customer service performance. The National Living Wage will rise to £12.71 per hour for anyone aged 21 and over from April 2026 - an increase of 4.1% on the current rate. Employer National Insurance is marginally more complex because it isn't fixed to the secondary thresholds; it's 15% higher than the thresholds for 2026–27, magnifying the need for realistic payroll budgeting (Government of UK, 2026b).</w:t>
      </w:r>
    </w:p>
    <w:p w:rsidR="00CB5E86" w:rsidRDefault="00E4141F">
      <w:pPr>
        <w:pStyle w:val="Heading3"/>
      </w:pPr>
      <w:bookmarkStart w:id="106" w:name="_Toc239815992"/>
      <w:r>
        <w:t>9.3.6 HR Policies and Compliance</w:t>
      </w:r>
      <w:bookmarkEnd w:id="106"/>
    </w:p>
    <w:p w:rsidR="00CB5E86" w:rsidRDefault="00E4141F">
      <w:r>
        <w:t xml:space="preserve">EcoLoop must have policies that include equality and diversity, health and safety, working hours, employee wellbeing, confidentiality and performance management. For those who are physically involved in collection and handling activities the health and safety is especially significant (PECB, 2025). Data confidentiality will also be relevant, as there may be customer data and operational data held on the digital platform. Job descriptions, frequent reviews, and documented processes can help manage risk in the operation. </w:t>
      </w:r>
    </w:p>
    <w:p w:rsidR="00CB5E86" w:rsidRDefault="00E4141F">
      <w:pPr>
        <w:pStyle w:val="Heading1"/>
      </w:pPr>
      <w:bookmarkStart w:id="107" w:name="_heading=h.mt3fuximtptj" w:colFirst="0" w:colLast="0"/>
      <w:bookmarkEnd w:id="107"/>
      <w:r>
        <w:br w:type="page"/>
      </w:r>
    </w:p>
    <w:p w:rsidR="00CB5E86" w:rsidRDefault="00E4141F">
      <w:pPr>
        <w:pStyle w:val="Heading1"/>
      </w:pPr>
      <w:bookmarkStart w:id="108" w:name="_Toc239815993"/>
      <w:r>
        <w:lastRenderedPageBreak/>
        <w:t>Chapter 10. Operations Plan</w:t>
      </w:r>
      <w:bookmarkEnd w:id="108"/>
    </w:p>
    <w:p w:rsidR="00CB5E86" w:rsidRDefault="00E4141F">
      <w:pPr>
        <w:pStyle w:val="Heading2"/>
      </w:pPr>
      <w:bookmarkStart w:id="109" w:name="_Toc239815994"/>
      <w:r>
        <w:t>10.1 Operations Strategy</w:t>
      </w:r>
      <w:bookmarkEnd w:id="109"/>
    </w:p>
    <w:p w:rsidR="00CB5E86" w:rsidRDefault="00E4141F">
      <w:r>
        <w:t>The operations strategy of EcoLoop Office focuses on creating a convenient, reliable and measurable, yet lean cost structure service. From a commercial perspective, the amount of commercial and industrial waste produced by England was 32.6 million tonnes in 2023, but decreased by 3% from the 2022 level (Government of UK, 2024b). EcoLoop should thus not only concentrate on collecting waste, it would also be good to give them the opportunity to get even more re-generated or recycled – and at the same time give them the information in a concrete form.</w:t>
      </w:r>
    </w:p>
    <w:p w:rsidR="00CB5E86" w:rsidRDefault="00E4141F">
      <w:pPr>
        <w:pStyle w:val="Heading2"/>
      </w:pPr>
      <w:bookmarkStart w:id="110" w:name="_Toc239815995"/>
      <w:r>
        <w:t>10.2 End-to-End Operational Workflow</w:t>
      </w:r>
      <w:bookmarkEnd w:id="110"/>
    </w:p>
    <w:p w:rsidR="00CB5E86" w:rsidRDefault="00E4141F">
      <w:pPr>
        <w:rPr>
          <w:b/>
          <w:bCs/>
        </w:rPr>
      </w:pPr>
      <w:r>
        <w:rPr>
          <w:b/>
          <w:bCs/>
        </w:rPr>
        <w:t>Table 22. End-to-End Operational Workflow</w:t>
      </w:r>
    </w:p>
    <w:tbl>
      <w:tblPr>
        <w:tblStyle w:val="affffffff4"/>
        <w:tblW w:w="9360" w:type="dxa"/>
        <w:tblBorders>
          <w:top w:val="nil"/>
          <w:left w:val="nil"/>
          <w:bottom w:val="nil"/>
          <w:right w:val="nil"/>
          <w:insideH w:val="nil"/>
          <w:insideV w:val="nil"/>
        </w:tblBorders>
        <w:tblLayout w:type="fixed"/>
        <w:tblLook w:val="0600"/>
      </w:tblPr>
      <w:tblGrid>
        <w:gridCol w:w="2207"/>
        <w:gridCol w:w="4812"/>
        <w:gridCol w:w="2341"/>
      </w:tblGrid>
      <w:tr w:rsidR="00CB5E86">
        <w:trPr>
          <w:trHeight w:val="800"/>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Stage</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Operational Activity</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Responsible Function</w:t>
            </w:r>
          </w:p>
        </w:tc>
      </w:tr>
      <w:tr w:rsidR="00CB5E86">
        <w:trPr>
          <w:trHeight w:val="800"/>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Customer acquisition</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Identify and qualify target offices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Sales &amp; Marketing</w:t>
            </w:r>
          </w:p>
        </w:tc>
      </w:tr>
      <w:tr w:rsidR="00CB5E86">
        <w:trPr>
          <w:trHeight w:val="800"/>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Sustainability audit</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Assess waste types, volumes and existing processes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Sustainability Officer</w:t>
            </w:r>
          </w:p>
        </w:tc>
      </w:tr>
      <w:tr w:rsidR="00CB5E86">
        <w:trPr>
          <w:trHeight w:val="800"/>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Package selection</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Recommend EcoBasic, EcoPlus or EcoPro</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Sales &amp; Sustainability</w:t>
            </w:r>
          </w:p>
        </w:tc>
      </w:tr>
      <w:tr w:rsidR="00CB5E86">
        <w:trPr>
          <w:trHeight w:val="800"/>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Collection schedule</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Establish frequency and collection requirements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Operations Manager</w:t>
            </w:r>
          </w:p>
        </w:tc>
      </w:tr>
      <w:tr w:rsidR="00CB5E86">
        <w:trPr>
          <w:trHeight w:val="515"/>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Collection</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Collect segregated materials securely</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Collection Staff</w:t>
            </w:r>
          </w:p>
        </w:tc>
      </w:tr>
      <w:tr w:rsidR="00CB5E86">
        <w:trPr>
          <w:trHeight w:val="800"/>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lastRenderedPageBreak/>
              <w:t>Sorting</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Separate reusable, recyclable and residual materials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Operations Team</w:t>
            </w:r>
          </w:p>
        </w:tc>
      </w:tr>
      <w:tr w:rsidR="00CB5E86">
        <w:trPr>
          <w:trHeight w:val="515"/>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Reuse/recycling</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Transfer materials to approved partners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Operations Manager</w:t>
            </w:r>
          </w:p>
        </w:tc>
      </w:tr>
      <w:tr w:rsidR="00CB5E86">
        <w:trPr>
          <w:trHeight w:val="515"/>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Data recording</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Record quantities and destinations digitally</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Data Officer</w:t>
            </w:r>
          </w:p>
        </w:tc>
      </w:tr>
      <w:tr w:rsidR="00CB5E86">
        <w:trPr>
          <w:trHeight w:val="515"/>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Impact reporting</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Produce customer sustainability reports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Sustainability Officer</w:t>
            </w:r>
          </w:p>
        </w:tc>
      </w:tr>
      <w:tr w:rsidR="00CB5E86">
        <w:trPr>
          <w:trHeight w:val="515"/>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Improvement</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Review KPIs and modify service</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Management Team</w:t>
            </w:r>
          </w:p>
        </w:tc>
      </w:tr>
    </w:tbl>
    <w:p w:rsidR="00CB5E86" w:rsidRDefault="00B12AC1">
      <w:r>
        <w:t xml:space="preserve">                                                </w:t>
      </w:r>
      <w:r w:rsidR="00E4141F">
        <w:t>Source: Self-Created</w:t>
      </w:r>
    </w:p>
    <w:p w:rsidR="00CB5E86" w:rsidRDefault="00E4141F">
      <w:r>
        <w:t xml:space="preserve">The work flow starts with a sustainability audit for the customer, where the service is not defined by a standardised package, but geared to the actual characteristics of that waste stream. Collection staff then takes advantage of hub-and-spoke referenced containers and safe transport. The materials are then channeled to re-use and/or recycle, wherever technically and economically feasible (Ogwu and Kosoe, 2025). </w:t>
      </w:r>
    </w:p>
    <w:p w:rsidR="00CB5E86" w:rsidRDefault="00E4141F">
      <w:r>
        <w:t>The strategic importance of digital recording lies in the fact that an integrated information system can be built, which can potentially provide data on weight, type of material, destination, and processing result, for each collection (Pascucci, Savelli and Gistri, 2023). This allows EcoLoop to publish science-based reports instead of environmental claims which are not based on science.</w:t>
      </w:r>
    </w:p>
    <w:p w:rsidR="00CB5E86" w:rsidRDefault="00E4141F">
      <w:pPr>
        <w:pStyle w:val="Heading2"/>
      </w:pPr>
      <w:bookmarkStart w:id="111" w:name="_Toc239815996"/>
      <w:r>
        <w:t>10.3 Location Strategy</w:t>
      </w:r>
      <w:bookmarkEnd w:id="111"/>
    </w:p>
    <w:p w:rsidR="00CB5E86" w:rsidRDefault="00E4141F">
      <w:r>
        <w:t xml:space="preserve">The management of material flows should play out of a small, strategically located storage and coordination system that is near where the target customers are located. Rent costs must be affordable and the site needs to be able to accommodate vehicles and additional space for temporary separation that does not result in unnecessary fixed costs. Yet proximity has a positive effect on collection mileage on reduced costs and </w:t>
      </w:r>
      <w:r>
        <w:lastRenderedPageBreak/>
        <w:t xml:space="preserve">environmental performance (Winter </w:t>
      </w:r>
      <w:r w:rsidR="00754E7C" w:rsidRPr="00754E7C">
        <w:rPr>
          <w:i/>
          <w:iCs/>
        </w:rPr>
        <w:t>et al</w:t>
      </w:r>
      <w:r>
        <w:t>., 2021). On the other hand, a regional hub model can be applied after the density of the customers is sufficient.</w:t>
      </w:r>
    </w:p>
    <w:p w:rsidR="00CB5E86" w:rsidRDefault="00E4141F">
      <w:pPr>
        <w:pStyle w:val="Heading2"/>
      </w:pPr>
      <w:bookmarkStart w:id="112" w:name="_Toc239815997"/>
      <w:r>
        <w:t>10.4 Supply Chain and Procurement</w:t>
      </w:r>
      <w:bookmarkEnd w:id="112"/>
    </w:p>
    <w:p w:rsidR="00CB5E86" w:rsidRDefault="00E4141F">
      <w:r>
        <w:t>There should be a partnership based supply chain in place between EcoLoop and its downstream processing partners, rather than having to immediately invest in every processing capacity. Key partners include equipment suppliers, licensed recycling businesses, the reuse/refurbishment organisations, logistics and technology suppliers.</w:t>
      </w:r>
    </w:p>
    <w:p w:rsidR="00CB5E86" w:rsidRDefault="00E4141F">
      <w:r>
        <w:t>This will lower the capital needed and may come with dependency risk. EcoLoop should have alternative suppliers of critical activities. Businesses that are transferring waste to another business have a continuing duty of care to take reasonable measures to ensure that they are transferring to a company that is appropriate and is licensed to receive waste.</w:t>
      </w:r>
    </w:p>
    <w:p w:rsidR="00CB5E86" w:rsidRDefault="00E4141F">
      <w:pPr>
        <w:pStyle w:val="Heading2"/>
      </w:pPr>
      <w:bookmarkStart w:id="113" w:name="_Toc239815998"/>
      <w:r>
        <w:t>10.5 Inventory Management</w:t>
      </w:r>
      <w:bookmarkEnd w:id="113"/>
    </w:p>
    <w:p w:rsidR="00CB5E86" w:rsidRDefault="00E4141F">
      <w:r>
        <w:t>A digital minimum-maximum system for controlling inventory of collection containers, labels, packaging, protective equipment and operation spares for containers. The aim is to check stocks on a weekly basis, and set automatic reorder points as the stocks get to a predetermined level. This helps to avoid having to allocate too much stock up for it to be in the way and costing too much working capital at the same time, and it avoids the problem of going out of stock, which could cause disruptions in collections. As opposed to manufacturing, the core business of EcoLoop should be service delivery meaning that stock should not be too large.</w:t>
      </w:r>
    </w:p>
    <w:p w:rsidR="00CB5E86" w:rsidRDefault="00E4141F">
      <w:pPr>
        <w:pStyle w:val="Heading2"/>
      </w:pPr>
      <w:bookmarkStart w:id="114" w:name="_Toc239815999"/>
      <w:r>
        <w:t>10.6 Technology Systems</w:t>
      </w:r>
      <w:bookmarkEnd w:id="114"/>
    </w:p>
    <w:p w:rsidR="00CB5E86" w:rsidRDefault="00E4141F">
      <w:r>
        <w:t xml:space="preserve">The technology should give operation infrastructure that should touch the customer, employee and processing partner. The strategic value is increased transparency on the waste value chain. For instance, QR/barcode records has the opportunities to connect a collection collection with the customer, material category, quantity and destination </w:t>
      </w:r>
      <w:r>
        <w:lastRenderedPageBreak/>
        <w:t>(Ahmed &amp;MacCarthy, 2023). This eliminates dependence on manual spreadsheets and leaves a traceable record of the information.</w:t>
      </w:r>
    </w:p>
    <w:p w:rsidR="00CB5E86" w:rsidRDefault="00B12AC1">
      <w:pPr>
        <w:pStyle w:val="Heading2"/>
      </w:pPr>
      <w:bookmarkStart w:id="115" w:name="_Toc239816000"/>
      <w:r>
        <w:t>10</w:t>
      </w:r>
      <w:r w:rsidR="00E4141F">
        <w:t>.7 Quality Control</w:t>
      </w:r>
      <w:bookmarkEnd w:id="115"/>
    </w:p>
    <w:p w:rsidR="00CB5E86" w:rsidRDefault="00E4141F">
      <w:r>
        <w:t xml:space="preserve">Quality management should focus on </w:t>
      </w:r>
      <w:r>
        <w:rPr>
          <w:b/>
          <w:bCs/>
        </w:rPr>
        <w:t>service reliability and material quality</w:t>
      </w:r>
      <w:r>
        <w:t>.</w:t>
      </w:r>
    </w:p>
    <w:p w:rsidR="00CB5E86" w:rsidRDefault="00E4141F">
      <w:pPr>
        <w:rPr>
          <w:b/>
          <w:bCs/>
        </w:rPr>
      </w:pPr>
      <w:r>
        <w:rPr>
          <w:b/>
          <w:bCs/>
        </w:rPr>
        <w:t>Table 23. Quality Control</w:t>
      </w:r>
    </w:p>
    <w:tbl>
      <w:tblPr>
        <w:tblStyle w:val="affffffff5"/>
        <w:tblW w:w="5350" w:type="dxa"/>
        <w:tblBorders>
          <w:top w:val="nil"/>
          <w:left w:val="nil"/>
          <w:bottom w:val="nil"/>
          <w:right w:val="nil"/>
          <w:insideH w:val="nil"/>
          <w:insideV w:val="nil"/>
        </w:tblBorders>
        <w:tblLayout w:type="fixed"/>
        <w:tblLook w:val="0600"/>
      </w:tblPr>
      <w:tblGrid>
        <w:gridCol w:w="2645"/>
        <w:gridCol w:w="2705"/>
      </w:tblGrid>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KPI</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rPr>
                <w:b/>
                <w:bCs/>
              </w:rPr>
              <w:t>Initial Target</w:t>
            </w:r>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Collection completion</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line="240" w:lineRule="auto"/>
              <w:jc w:val="center"/>
            </w:pPr>
            <w:sdt>
              <w:sdtPr>
                <w:tag w:val="goog_rdk_22"/>
                <w:id w:val="1890437227"/>
              </w:sdtPr>
              <w:sdtContent>
                <w:r w:rsidR="00E4141F">
                  <w:rPr>
                    <w:rFonts w:ascii="Arial Unicode MS" w:eastAsia="Arial Unicode MS" w:hAnsi="Arial Unicode MS" w:cs="Arial Unicode MS"/>
                  </w:rPr>
                  <w:t>≥95%</w:t>
                </w:r>
              </w:sdtContent>
            </w:sdt>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Contamination rate</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line="240" w:lineRule="auto"/>
              <w:jc w:val="center"/>
            </w:pPr>
            <w:sdt>
              <w:sdtPr>
                <w:tag w:val="goog_rdk_23"/>
                <w:id w:val="-1475139192"/>
              </w:sdtPr>
              <w:sdtContent>
                <w:r w:rsidR="00E4141F">
                  <w:rPr>
                    <w:rFonts w:ascii="Arial Unicode MS" w:eastAsia="Arial Unicode MS" w:hAnsi="Arial Unicode MS" w:cs="Arial Unicode MS"/>
                  </w:rPr>
                  <w:t>≤5%</w:t>
                </w:r>
              </w:sdtContent>
            </w:sdt>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Processing/data accuracy</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line="240" w:lineRule="auto"/>
              <w:jc w:val="center"/>
            </w:pPr>
            <w:sdt>
              <w:sdtPr>
                <w:tag w:val="goog_rdk_24"/>
                <w:id w:val="1905069806"/>
              </w:sdtPr>
              <w:sdtContent>
                <w:r w:rsidR="00E4141F">
                  <w:rPr>
                    <w:rFonts w:ascii="Arial Unicode MS" w:eastAsia="Arial Unicode MS" w:hAnsi="Arial Unicode MS" w:cs="Arial Unicode MS"/>
                  </w:rPr>
                  <w:t>≥98%</w:t>
                </w:r>
              </w:sdtContent>
            </w:sdt>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Customer response time</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&lt;24 hours</w:t>
            </w:r>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Customer complaints</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&lt;3% of monthly accounts</w:t>
            </w:r>
          </w:p>
        </w:tc>
      </w:tr>
      <w:tr w:rsidR="00CB5E86">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line="240" w:lineRule="auto"/>
              <w:jc w:val="center"/>
            </w:pPr>
            <w:r>
              <w:t>Customer satisfaction</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line="240" w:lineRule="auto"/>
              <w:jc w:val="center"/>
            </w:pPr>
            <w:sdt>
              <w:sdtPr>
                <w:tag w:val="goog_rdk_25"/>
                <w:id w:val="864544734"/>
              </w:sdtPr>
              <w:sdtContent>
                <w:r w:rsidR="00E4141F">
                  <w:rPr>
                    <w:rFonts w:ascii="Arial Unicode MS" w:eastAsia="Arial Unicode MS" w:hAnsi="Arial Unicode MS" w:cs="Arial Unicode MS"/>
                  </w:rPr>
                  <w:t>≥90%</w:t>
                </w:r>
              </w:sdtContent>
            </w:sdt>
          </w:p>
        </w:tc>
      </w:tr>
    </w:tbl>
    <w:p w:rsidR="00CB5E86" w:rsidRDefault="00B12AC1">
      <w:r>
        <w:t xml:space="preserve">                   </w:t>
      </w:r>
      <w:r w:rsidR="00E4141F">
        <w:t>Source: Self-Created</w:t>
      </w:r>
    </w:p>
    <w:p w:rsidR="00CB5E86" w:rsidRDefault="00E4141F">
      <w:r>
        <w:t>These measures have a direct link to the value proposition. Increased contamination levels would decrease recycling value and absence of services would have negative consequences on convenience. Therefore, instead of simply reporting performance, the monthly KPI tracking should find the root causes and corrective actions.</w:t>
      </w:r>
    </w:p>
    <w:p w:rsidR="00CB5E86" w:rsidRDefault="00E4141F">
      <w:pPr>
        <w:pStyle w:val="Heading2"/>
      </w:pPr>
      <w:bookmarkStart w:id="116" w:name="_Toc239816001"/>
      <w:r>
        <w:t>10.8 Logistics and Distribution</w:t>
      </w:r>
      <w:bookmarkEnd w:id="116"/>
    </w:p>
    <w:p w:rsidR="00CB5E86" w:rsidRDefault="00E4141F">
      <w:r>
        <w:t xml:space="preserve">Planning routes needs to take into account that it is possible to group the visits of local customers to provide the highest return of the motor vehicle and avoid needless </w:t>
      </w:r>
      <w:r>
        <w:lastRenderedPageBreak/>
        <w:t>mileage. The number of garbage collection should adjust to the customer's waste tonnage and not rely on fixed frequency programs for all customers (Global Trash Solutions, 2026). Empty journeys can be minimised and geographically close customers geographically grouped with digital scheduling.</w:t>
      </w:r>
    </w:p>
    <w:p w:rsidR="00CB5E86" w:rsidRDefault="00E4141F">
      <w:pPr>
        <w:pStyle w:val="Heading2"/>
      </w:pPr>
      <w:bookmarkStart w:id="117" w:name="_Toc239816002"/>
      <w:r>
        <w:t>10.9 Legal and Regulatory Considerations</w:t>
      </w:r>
      <w:bookmarkEnd w:id="117"/>
    </w:p>
    <w:p w:rsidR="00CB5E86" w:rsidRDefault="00E4141F">
      <w:r>
        <w:t>The minimalisation of waste, safe storage, waste transfer documentation and that waste carriers are registered is needed by UK businesses (Government of UK, 2023). For non-hazardous waste transfers, a waste transfer note is issued, and records kept for two years for the most part. EcoLoop will also conduct appropriate classification of waste, and ensure that employees' health and safety requirements are met, in addition to ensuring that environmental claims have evidence to support them.</w:t>
      </w:r>
      <w:r>
        <w:br w:type="page"/>
      </w:r>
    </w:p>
    <w:p w:rsidR="00CB5E86" w:rsidRDefault="00E4141F">
      <w:pPr>
        <w:pStyle w:val="Heading1"/>
      </w:pPr>
      <w:bookmarkStart w:id="118" w:name="_Toc239816003"/>
      <w:r>
        <w:lastRenderedPageBreak/>
        <w:t>Chapter 11. Feasibility Analysis</w:t>
      </w:r>
      <w:bookmarkEnd w:id="118"/>
    </w:p>
    <w:p w:rsidR="00CB5E86" w:rsidRDefault="00E4141F">
      <w:pPr>
        <w:pStyle w:val="Heading2"/>
        <w:rPr>
          <w:sz w:val="34"/>
          <w:szCs w:val="34"/>
        </w:rPr>
      </w:pPr>
      <w:bookmarkStart w:id="119" w:name="_Toc239816004"/>
      <w:r>
        <w:t>11.1 Market Feasibility based on Decision Criteria</w:t>
      </w:r>
      <w:bookmarkEnd w:id="119"/>
    </w:p>
    <w:p w:rsidR="00CB5E86" w:rsidRPr="00B12AC1" w:rsidRDefault="00E4141F">
      <w:pPr>
        <w:rPr>
          <w:color w:val="000000" w:themeColor="text1"/>
        </w:rPr>
      </w:pPr>
      <w:r w:rsidRPr="00B12AC1">
        <w:rPr>
          <w:color w:val="000000" w:themeColor="text1"/>
        </w:rPr>
        <w:t>Market, ethical, operational, financial and strategic evidence that has been created beforehand then tested for feasibility with EcoLoop. The assessment takes into account the validation of customer demand, reliability of operations, financial assumptions, and an ability to handle risks. The feasibility of a solution is assessed in the present state of uncertainty in regard to pilot based on contribution margins, customer retention and measurable circular outcomes of the solution.</w:t>
      </w:r>
    </w:p>
    <w:p w:rsidR="00CB5E86" w:rsidRPr="00B12AC1" w:rsidRDefault="00E4141F">
      <w:pPr>
        <w:pStyle w:val="Heading2"/>
        <w:rPr>
          <w:color w:val="000000" w:themeColor="text1"/>
        </w:rPr>
      </w:pPr>
      <w:bookmarkStart w:id="120" w:name="_Toc239816005"/>
      <w:r w:rsidRPr="00B12AC1">
        <w:rPr>
          <w:color w:val="000000" w:themeColor="text1"/>
        </w:rPr>
        <w:t>11.2 Ethical and market feasibility</w:t>
      </w:r>
      <w:bookmarkEnd w:id="120"/>
    </w:p>
    <w:p w:rsidR="00CB5E86" w:rsidRPr="00B12AC1" w:rsidRDefault="00E4141F">
      <w:pPr>
        <w:pStyle w:val="Heading3"/>
        <w:rPr>
          <w:color w:val="000000" w:themeColor="text1"/>
        </w:rPr>
      </w:pPr>
      <w:bookmarkStart w:id="121" w:name="_Toc239816006"/>
      <w:r w:rsidRPr="00B12AC1">
        <w:rPr>
          <w:color w:val="000000" w:themeColor="text1"/>
        </w:rPr>
        <w:t>11.2.1 Market Feasibility</w:t>
      </w:r>
      <w:bookmarkEnd w:id="121"/>
    </w:p>
    <w:p w:rsidR="00CB5E86" w:rsidRPr="00B12AC1" w:rsidRDefault="00E4141F">
      <w:pPr>
        <w:rPr>
          <w:color w:val="000000" w:themeColor="text1"/>
        </w:rPr>
      </w:pPr>
      <w:r w:rsidRPr="00B12AC1">
        <w:rPr>
          <w:color w:val="000000" w:themeColor="text1"/>
        </w:rPr>
        <w:t>EcoLoop with its idea fills an unproven market need. The number of private sector businesses in the UK was 5.69 million in early 2025 and 60% of employment in this sector was in SMEs (Department for Business and Trade, 2025). But this is not indicative of business size or the size of the market EcoLoop operates in—75% of businesses had no employees. SMEs and scale-ups and flexspace operators are more inclined towards demand. The amount of commercial and industrial waste produced in England in 2023 was 32.6 million tonnes (Department for Environment, Food and Rural Affairs 2025). The acquisition, retention and willingness to pay have yet to be proven and need to be pilot tested.</w:t>
      </w:r>
    </w:p>
    <w:p w:rsidR="00CB5E86" w:rsidRPr="00B12AC1" w:rsidRDefault="00E4141F">
      <w:pPr>
        <w:pStyle w:val="Heading3"/>
        <w:rPr>
          <w:color w:val="000000" w:themeColor="text1"/>
        </w:rPr>
      </w:pPr>
      <w:bookmarkStart w:id="122" w:name="_Toc239816007"/>
      <w:r w:rsidRPr="00B12AC1">
        <w:rPr>
          <w:color w:val="000000" w:themeColor="text1"/>
        </w:rPr>
        <w:t>11.2.2 Ethical Feasibility</w:t>
      </w:r>
      <w:bookmarkEnd w:id="122"/>
    </w:p>
    <w:p w:rsidR="00CB5E86" w:rsidRPr="00B12AC1" w:rsidRDefault="00E4141F">
      <w:pPr>
        <w:rPr>
          <w:color w:val="000000" w:themeColor="text1"/>
        </w:rPr>
      </w:pPr>
      <w:r w:rsidRPr="00B12AC1">
        <w:rPr>
          <w:color w:val="000000" w:themeColor="text1"/>
        </w:rPr>
        <w:t xml:space="preserve">For ethical feasibility, environmental outcomes must be shown and not just argued with sustainable rhetoric, or in claims in isolation. Often, EcoLoop should specify collection and distinctions with re-use, refurbishment and recycling (without supporting statements), without ambiguity. Waste needs to be disposed of appropriately and be recorded and securely stored via the authorised partnership. There needs to be training, health and safety rules and procedures for employees. Information about material </w:t>
      </w:r>
      <w:r w:rsidRPr="00B12AC1">
        <w:rPr>
          <w:color w:val="000000" w:themeColor="text1"/>
        </w:rPr>
        <w:lastRenderedPageBreak/>
        <w:t>destinations, service restrictions and environmental performance should be provided to the stakeholders. Evidence-based accountability must include outreach and reporting of the measurable environmental impact and recognize the impacts of transport, processing and refurbishment; waste diversion does not occur automatically and has its own impacts, which must be recognised.</w:t>
      </w:r>
    </w:p>
    <w:p w:rsidR="00CB5E86" w:rsidRPr="00B12AC1" w:rsidRDefault="00E4141F">
      <w:pPr>
        <w:pStyle w:val="Heading2"/>
        <w:rPr>
          <w:color w:val="000000" w:themeColor="text1"/>
        </w:rPr>
      </w:pPr>
      <w:bookmarkStart w:id="123" w:name="_Toc239816008"/>
      <w:r w:rsidRPr="00B12AC1">
        <w:rPr>
          <w:color w:val="000000" w:themeColor="text1"/>
        </w:rPr>
        <w:t>11.3 Operational and Technical Feasibility</w:t>
      </w:r>
      <w:bookmarkEnd w:id="123"/>
    </w:p>
    <w:p w:rsidR="00CB5E86" w:rsidRPr="00B12AC1" w:rsidRDefault="00E4141F">
      <w:pPr>
        <w:rPr>
          <w:color w:val="000000" w:themeColor="text1"/>
        </w:rPr>
      </w:pPr>
      <w:r w:rsidRPr="00B12AC1">
        <w:rPr>
          <w:color w:val="000000" w:themeColor="text1"/>
        </w:rPr>
        <w:t>Operational feasibility can be achieved just by not having to implement new technologies; digital inventory systems, QR/barcode identification, dashboards and analytics are available in the market. What is important is not the invention, but integration. Accurate collection, sorting, refurbishment and recycling, storage, partner coordination and reporting are key requirements for the model. The scale of processing activity is reflected in England's 32.6 million tonnes of commercial and industrial waste in 2023, as is its complexity (Department for Environment, Food and Rural Affairs, 2025).</w:t>
      </w:r>
    </w:p>
    <w:p w:rsidR="00CB5E86" w:rsidRPr="00B12AC1" w:rsidRDefault="00E4141F">
      <w:pPr>
        <w:rPr>
          <w:color w:val="000000" w:themeColor="text1"/>
        </w:rPr>
      </w:pPr>
      <w:r w:rsidRPr="00B12AC1">
        <w:rPr>
          <w:color w:val="000000" w:themeColor="text1"/>
        </w:rPr>
        <w:t>Accounting for 6 people is the right size for a controlled pilot, and, if needed, accounting outsourcing and specialist partners can reduce costs. Scalability should be based on customer density, and not just geographical location: aggregated customers can lead to better utilisation of the vehicles and fewer empty trips. Prior to effective regional expansion, pilot testing should be undertaken to assess the reliability of collection, processing quality.</w:t>
      </w:r>
    </w:p>
    <w:p w:rsidR="00CB5E86" w:rsidRPr="00B12AC1" w:rsidRDefault="00E4141F">
      <w:pPr>
        <w:pStyle w:val="Heading2"/>
        <w:rPr>
          <w:color w:val="000000" w:themeColor="text1"/>
        </w:rPr>
      </w:pPr>
      <w:bookmarkStart w:id="124" w:name="_Toc239816009"/>
      <w:r w:rsidRPr="00B12AC1">
        <w:rPr>
          <w:color w:val="000000" w:themeColor="text1"/>
        </w:rPr>
        <w:t>11.4 Financial Feasibility</w:t>
      </w:r>
      <w:bookmarkEnd w:id="124"/>
    </w:p>
    <w:p w:rsidR="00CB5E86" w:rsidRPr="00B12AC1" w:rsidRDefault="00E4141F">
      <w:pPr>
        <w:rPr>
          <w:color w:val="000000" w:themeColor="text1"/>
        </w:rPr>
      </w:pPr>
      <w:r w:rsidRPr="00B12AC1">
        <w:rPr>
          <w:color w:val="000000" w:themeColor="text1"/>
        </w:rPr>
        <w:t xml:space="preserve">The proposed financial model must be carefully tested as the start-up budget of £75,000 is a planning assumption and not a requirement that has been quoted by an external source. Planned expenditure £12,000 for digital platform/CRM, £18,000 for vehicle &amp; logistics set up and £15,000 for working capital. These allocations are based on the premise that there is risk of physical operation and risk of liquidity. But revenue </w:t>
      </w:r>
      <w:r w:rsidRPr="00B12AC1">
        <w:rPr>
          <w:color w:val="000000" w:themeColor="text1"/>
        </w:rPr>
        <w:lastRenderedPageBreak/>
        <w:t>projections are not a substitute for customer conversion and customer contribution margins, however.</w:t>
      </w:r>
    </w:p>
    <w:p w:rsidR="00CB5E86" w:rsidRDefault="00E4141F">
      <w:pPr>
        <w:rPr>
          <w:b/>
          <w:bCs/>
        </w:rPr>
      </w:pPr>
      <w:r>
        <w:rPr>
          <w:b/>
          <w:bCs/>
        </w:rPr>
        <w:t xml:space="preserve">Table 24: Financial Feasibility Indicators </w:t>
      </w:r>
    </w:p>
    <w:tbl>
      <w:tblPr>
        <w:tblStyle w:val="affffffff6"/>
        <w:tblW w:w="10740" w:type="dxa"/>
        <w:tblInd w:w="-720" w:type="dxa"/>
        <w:tblBorders>
          <w:top w:val="nil"/>
          <w:left w:val="nil"/>
          <w:bottom w:val="nil"/>
          <w:right w:val="nil"/>
          <w:insideH w:val="nil"/>
          <w:insideV w:val="nil"/>
        </w:tblBorders>
        <w:tblLayout w:type="fixed"/>
        <w:tblLook w:val="0600"/>
      </w:tblPr>
      <w:tblGrid>
        <w:gridCol w:w="3285"/>
        <w:gridCol w:w="1815"/>
        <w:gridCol w:w="5640"/>
      </w:tblGrid>
      <w:tr w:rsidR="00CB5E86">
        <w:trPr>
          <w:trHeight w:val="50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Indicator</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Data</w:t>
            </w:r>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Explanation</w:t>
            </w:r>
          </w:p>
        </w:tc>
      </w:tr>
      <w:tr w:rsidR="00CB5E86">
        <w:trPr>
          <w:trHeight w:val="77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Monthly packages</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£199–£799+</w:t>
            </w:r>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Creates recurring revenue across customer segments.</w:t>
            </w:r>
          </w:p>
        </w:tc>
      </w:tr>
      <w:tr w:rsidR="00CB5E86">
        <w:trPr>
          <w:trHeight w:val="50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Year 1 revenue</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£270,000</w:t>
            </w:r>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Indicates initial commercial potential.</w:t>
            </w:r>
          </w:p>
        </w:tc>
      </w:tr>
      <w:tr w:rsidR="00CB5E86">
        <w:trPr>
          <w:trHeight w:val="50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Year 1 profit</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£35,000</w:t>
            </w:r>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Shows modest early profitability.</w:t>
            </w:r>
          </w:p>
        </w:tc>
      </w:tr>
      <w:tr w:rsidR="00CB5E86">
        <w:trPr>
          <w:trHeight w:val="50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Year 5 revenue</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£1.802m</w:t>
            </w:r>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Indicates significant growth potential.</w:t>
            </w:r>
          </w:p>
        </w:tc>
      </w:tr>
      <w:tr w:rsidR="00CB5E86">
        <w:trPr>
          <w:trHeight w:val="50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Year 5 profit</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£532,000</w:t>
            </w:r>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Shows stronger profitability at scale.</w:t>
            </w:r>
          </w:p>
        </w:tc>
      </w:tr>
      <w:tr w:rsidR="00CB5E86">
        <w:trPr>
          <w:trHeight w:val="77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Break-even</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2C72D7">
            <w:pPr>
              <w:spacing w:before="0" w:after="0"/>
            </w:pPr>
            <w:sdt>
              <w:sdtPr>
                <w:tag w:val="goog_rdk_26"/>
                <w:id w:val="656453900"/>
              </w:sdtPr>
              <w:sdtContent>
                <w:r w:rsidR="00E4141F">
                  <w:rPr>
                    <w:rFonts w:ascii="Arial Unicode MS" w:eastAsia="Arial Unicode MS" w:hAnsi="Arial Unicode MS" w:cs="Arial Unicode MS"/>
                    <w:b/>
                    <w:bCs/>
                  </w:rPr>
                  <w:t>≈60 customers</w:t>
                </w:r>
              </w:sdtContent>
            </w:sdt>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Required to cover assumed fixed costs.</w:t>
            </w:r>
          </w:p>
        </w:tc>
      </w:tr>
      <w:tr w:rsidR="00CB5E86">
        <w:trPr>
          <w:trHeight w:val="50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Fixed costs</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£150,000</w:t>
            </w:r>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Creates pressure to secure recurring customers.</w:t>
            </w:r>
          </w:p>
        </w:tc>
      </w:tr>
      <w:tr w:rsidR="00CB5E86">
        <w:trPr>
          <w:trHeight w:val="50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Contribution/customer</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£2,500</w:t>
            </w:r>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Supports the estimated break-even point.</w:t>
            </w:r>
          </w:p>
        </w:tc>
      </w:tr>
      <w:tr w:rsidR="00CB5E86">
        <w:trPr>
          <w:trHeight w:val="50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CPI</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2.6%</w:t>
            </w:r>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Indicates continuing cost pressures.</w:t>
            </w:r>
          </w:p>
        </w:tc>
      </w:tr>
      <w:tr w:rsidR="00CB5E86">
        <w:trPr>
          <w:trHeight w:val="500"/>
        </w:trPr>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Living Wage</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rPr>
                <w:b/>
                <w:bCs/>
              </w:rPr>
              <w:t>£12.71/hour</w:t>
            </w:r>
          </w:p>
        </w:tc>
        <w:tc>
          <w:tcPr>
            <w:tcW w:w="5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Increases labour-cost requirements.</w:t>
            </w:r>
          </w:p>
        </w:tc>
      </w:tr>
    </w:tbl>
    <w:p w:rsidR="00CB5E86" w:rsidRDefault="00B12AC1">
      <w:pPr>
        <w:rPr>
          <w:b/>
          <w:bCs/>
        </w:rPr>
      </w:pPr>
      <w:r>
        <w:rPr>
          <w:b/>
          <w:bCs/>
        </w:rPr>
        <w:t xml:space="preserve">                                             </w:t>
      </w:r>
      <w:r w:rsidR="00E4141F">
        <w:rPr>
          <w:b/>
          <w:bCs/>
        </w:rPr>
        <w:t xml:space="preserve">Source: Self-developed </w:t>
      </w:r>
    </w:p>
    <w:p w:rsidR="00CB5E86" w:rsidRDefault="00E4141F">
      <w:r>
        <w:t>The financial model is moderate to feasible as it has a projected growth of £1.802 million in Year 5 and recurring packages that generate consistent revenue. Profitability is still reliant on achieving around 60 customers, managing £150,000 fixed costs, logistics and retaining customers in a face of inflation and growing labour costs.</w:t>
      </w:r>
    </w:p>
    <w:p w:rsidR="00CB5E86" w:rsidRDefault="00E4141F">
      <w:pPr>
        <w:pStyle w:val="Heading2"/>
      </w:pPr>
      <w:bookmarkStart w:id="125" w:name="_Toc239816010"/>
      <w:r>
        <w:lastRenderedPageBreak/>
        <w:t>11.5 Strategic Fit, risks and mitigation</w:t>
      </w:r>
      <w:bookmarkEnd w:id="125"/>
    </w:p>
    <w:p w:rsidR="00CB5E86" w:rsidRDefault="00E4141F">
      <w:pPr>
        <w:rPr>
          <w:b/>
          <w:bCs/>
        </w:rPr>
      </w:pPr>
      <w:r>
        <w:rPr>
          <w:b/>
          <w:bCs/>
        </w:rPr>
        <w:t>Table 25: Key Business Risks and Mitigation Measures for EcoLoop Office</w:t>
      </w:r>
    </w:p>
    <w:tbl>
      <w:tblPr>
        <w:tblStyle w:val="affffffff7"/>
        <w:tblW w:w="10780" w:type="dxa"/>
        <w:tblInd w:w="-760" w:type="dxa"/>
        <w:tblBorders>
          <w:top w:val="nil"/>
          <w:left w:val="nil"/>
          <w:bottom w:val="nil"/>
          <w:right w:val="nil"/>
          <w:insideH w:val="nil"/>
          <w:insideV w:val="nil"/>
        </w:tblBorders>
        <w:tblLayout w:type="fixed"/>
        <w:tblLook w:val="0600"/>
      </w:tblPr>
      <w:tblGrid>
        <w:gridCol w:w="4885"/>
        <w:gridCol w:w="1530"/>
        <w:gridCol w:w="4365"/>
      </w:tblGrid>
      <w:tr w:rsidR="00CB5E86">
        <w:trPr>
          <w:trHeight w:val="500"/>
        </w:trPr>
        <w:tc>
          <w:tcPr>
            <w:tcW w:w="4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Risk</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Impact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Mitigation</w:t>
            </w:r>
          </w:p>
        </w:tc>
      </w:tr>
      <w:tr w:rsidR="00CB5E86">
        <w:trPr>
          <w:trHeight w:val="500"/>
        </w:trPr>
        <w:tc>
          <w:tcPr>
            <w:tcW w:w="4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Low customer acquisition</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High</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Pilot and targeted B2B sales</w:t>
            </w:r>
          </w:p>
        </w:tc>
      </w:tr>
      <w:tr w:rsidR="00CB5E86">
        <w:trPr>
          <w:trHeight w:val="500"/>
        </w:trPr>
        <w:tc>
          <w:tcPr>
            <w:tcW w:w="4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High logistics costs</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High</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Route optimisation</w:t>
            </w:r>
          </w:p>
        </w:tc>
      </w:tr>
      <w:tr w:rsidR="00CB5E86">
        <w:trPr>
          <w:trHeight w:val="500"/>
        </w:trPr>
        <w:tc>
          <w:tcPr>
            <w:tcW w:w="4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Supplier failure</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Medium</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Multiple suppliers</w:t>
            </w:r>
          </w:p>
        </w:tc>
      </w:tr>
      <w:tr w:rsidR="00CB5E86">
        <w:trPr>
          <w:trHeight w:val="500"/>
        </w:trPr>
        <w:tc>
          <w:tcPr>
            <w:tcW w:w="4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Competitor response</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Medium</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Differentiation</w:t>
            </w:r>
          </w:p>
        </w:tc>
      </w:tr>
      <w:tr w:rsidR="00CB5E86">
        <w:trPr>
          <w:trHeight w:val="500"/>
        </w:trPr>
        <w:tc>
          <w:tcPr>
            <w:tcW w:w="4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Technology failure</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Medium</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Backup systems</w:t>
            </w:r>
          </w:p>
        </w:tc>
      </w:tr>
      <w:tr w:rsidR="00CB5E86">
        <w:trPr>
          <w:trHeight w:val="500"/>
        </w:trPr>
        <w:tc>
          <w:tcPr>
            <w:tcW w:w="4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Greenwashing accusations</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High</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Evidence-based reporting</w:t>
            </w:r>
          </w:p>
        </w:tc>
      </w:tr>
      <w:tr w:rsidR="00CB5E86">
        <w:trPr>
          <w:trHeight w:val="500"/>
        </w:trPr>
        <w:tc>
          <w:tcPr>
            <w:tcW w:w="4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Cash-flow pressure</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High</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Phased investment</w:t>
            </w:r>
          </w:p>
        </w:tc>
      </w:tr>
    </w:tbl>
    <w:p w:rsidR="00CB5E86" w:rsidRDefault="00B12AC1">
      <w:pPr>
        <w:rPr>
          <w:b/>
          <w:bCs/>
        </w:rPr>
      </w:pPr>
      <w:r>
        <w:rPr>
          <w:b/>
          <w:bCs/>
        </w:rPr>
        <w:t xml:space="preserve">                                             </w:t>
      </w:r>
      <w:r w:rsidR="00E4141F">
        <w:rPr>
          <w:b/>
          <w:bCs/>
        </w:rPr>
        <w:t xml:space="preserve">Source: Self-developed </w:t>
      </w:r>
    </w:p>
    <w:p w:rsidR="00CB5E86" w:rsidRPr="00B12AC1" w:rsidRDefault="00E4141F">
      <w:pPr>
        <w:rPr>
          <w:color w:val="000000" w:themeColor="text1"/>
        </w:rPr>
      </w:pPr>
      <w:r w:rsidRPr="00B12AC1">
        <w:rPr>
          <w:color w:val="000000" w:themeColor="text1"/>
        </w:rPr>
        <w:t xml:space="preserve">With regard to commercial and operational risks, the risk profile shows that they pose threats to EcoLoop greater than technology risks. Slow acquisition or retention will impact the recurring revenue stream, high acquisition cost and slow break-even will impact profits. In order for EcoLoop to be strategically fit, there's a need to coordinate customer acquisition, operation, and reliability for the circular service with the value proposition. Logistical factors at length of asset life cycle, such as collection, storage and redistribution are not unimportant. Having multiple suppliers on the same part can diminish dependency and also can lead to escalated coordination costs. Price competition is NOT the way to deal with competitor imitation; it is an issue to be handled by execution, through customer data or customer service and reliability. Certain risks must apply, demand good claims and can be provided by evidence. A staggered </w:t>
      </w:r>
      <w:r w:rsidRPr="00B12AC1">
        <w:rPr>
          <w:color w:val="000000" w:themeColor="text1"/>
        </w:rPr>
        <w:lastRenderedPageBreak/>
        <w:t>investment approach should be used before going into a fleet or warehouse. Hence the final verdict will be based on a Conditional Go based on “customer KPIs”, “financial KPIs”, “operational KPIs”, a willingness of the customer to pay and positive contribution margins, circular outcomes that are measurable.</w:t>
      </w:r>
    </w:p>
    <w:p w:rsidR="00CB5E86" w:rsidRPr="00B12AC1" w:rsidRDefault="00E4141F">
      <w:pPr>
        <w:pStyle w:val="Heading2"/>
        <w:rPr>
          <w:color w:val="000000" w:themeColor="text1"/>
        </w:rPr>
      </w:pPr>
      <w:bookmarkStart w:id="126" w:name="_Toc239816011"/>
      <w:r w:rsidRPr="00B12AC1">
        <w:rPr>
          <w:color w:val="000000" w:themeColor="text1"/>
        </w:rPr>
        <w:t>11.6 Integrated Viability judgement</w:t>
      </w:r>
      <w:bookmarkEnd w:id="126"/>
    </w:p>
    <w:p w:rsidR="00CB5E86" w:rsidRPr="00B12AC1" w:rsidRDefault="00E4141F">
      <w:pPr>
        <w:rPr>
          <w:color w:val="000000" w:themeColor="text1"/>
        </w:rPr>
      </w:pPr>
      <w:r w:rsidRPr="00B12AC1">
        <w:rPr>
          <w:color w:val="000000" w:themeColor="text1"/>
        </w:rPr>
        <w:t>In summary, EcoLoop doesn't need a bump up yet, but should be considered for scale-up in the future. It appears market need and recurring revenue are up for grabs, but the acquisition, retention, contribution margins and the reliability of operations are not proven enough. Therefore, scaling should take place after conducting a controlled pilot and be agreed upon based on the willingness-to-pay, positive margins, reliable operations and measurable circular outcomes.</w:t>
      </w:r>
    </w:p>
    <w:p w:rsidR="00CB5E86" w:rsidRDefault="00E4141F">
      <w:r>
        <w:br w:type="page"/>
      </w:r>
    </w:p>
    <w:p w:rsidR="00CB5E86" w:rsidRDefault="00E4141F">
      <w:pPr>
        <w:pStyle w:val="Heading1"/>
      </w:pPr>
      <w:bookmarkStart w:id="127" w:name="_Toc239816012"/>
      <w:r>
        <w:lastRenderedPageBreak/>
        <w:t>Chapter 12. Implementation Plan</w:t>
      </w:r>
      <w:bookmarkEnd w:id="127"/>
    </w:p>
    <w:p w:rsidR="00CB5E86" w:rsidRDefault="00E4141F">
      <w:pPr>
        <w:pStyle w:val="Heading2"/>
      </w:pPr>
      <w:bookmarkStart w:id="128" w:name="_heading=h.1ro90ybgm2zd" w:colFirst="0" w:colLast="0"/>
      <w:bookmarkStart w:id="129" w:name="_Toc239816013"/>
      <w:bookmarkEnd w:id="128"/>
      <w:r>
        <w:t>12.1 Implementation Approach and Launch Phases</w:t>
      </w:r>
      <w:bookmarkEnd w:id="129"/>
    </w:p>
    <w:p w:rsidR="00CB5E86" w:rsidRPr="00B12AC1" w:rsidRDefault="00E4141F">
      <w:pPr>
        <w:pStyle w:val="Heading3"/>
        <w:keepNext w:val="0"/>
        <w:keepLines w:val="0"/>
        <w:spacing w:before="280" w:after="80"/>
        <w:rPr>
          <w:color w:val="000000" w:themeColor="text1"/>
          <w:sz w:val="26"/>
          <w:szCs w:val="26"/>
        </w:rPr>
      </w:pPr>
      <w:bookmarkStart w:id="130" w:name="_heading=h.b5rpmrf7gbut" w:colFirst="0" w:colLast="0"/>
      <w:bookmarkStart w:id="131" w:name="_Toc239816014"/>
      <w:bookmarkEnd w:id="130"/>
      <w:r w:rsidRPr="00B12AC1">
        <w:rPr>
          <w:color w:val="000000" w:themeColor="text1"/>
          <w:sz w:val="26"/>
          <w:szCs w:val="26"/>
        </w:rPr>
        <w:t>12.1.1 Phase 1: Preparation — Months 1–2</w:t>
      </w:r>
      <w:bookmarkEnd w:id="131"/>
    </w:p>
    <w:p w:rsidR="00CB5E86" w:rsidRPr="00B12AC1" w:rsidRDefault="00E4141F">
      <w:pPr>
        <w:rPr>
          <w:color w:val="000000" w:themeColor="text1"/>
        </w:rPr>
      </w:pPr>
      <w:r w:rsidRPr="00B12AC1">
        <w:rPr>
          <w:color w:val="000000" w:themeColor="text1"/>
        </w:rPr>
        <w:t xml:space="preserve">Months 1-2 should be used to set up the conditions for market entry that involve differentiation, clear packages and service boundaries. Set-up and complete business registration, insurance, waste compliance, supplier agreements, legal requirements and service specifications. Provision of an MVI system for records, asset identification, scheduling and reporting (Ignatius </w:t>
      </w:r>
      <w:r w:rsidR="00754E7C" w:rsidRPr="00B12AC1">
        <w:rPr>
          <w:i/>
          <w:color w:val="000000" w:themeColor="text1"/>
        </w:rPr>
        <w:t>et al</w:t>
      </w:r>
      <w:r w:rsidRPr="00B12AC1">
        <w:rPr>
          <w:color w:val="000000" w:themeColor="text1"/>
        </w:rPr>
        <w:t>., 2024). Ensure sustainable measurable circularity, minimal recruitment and testing.</w:t>
      </w:r>
    </w:p>
    <w:p w:rsidR="00CB5E86" w:rsidRPr="00B12AC1" w:rsidRDefault="00E4141F">
      <w:pPr>
        <w:pStyle w:val="Heading3"/>
        <w:keepNext w:val="0"/>
        <w:keepLines w:val="0"/>
        <w:spacing w:before="280" w:after="80"/>
        <w:rPr>
          <w:color w:val="000000" w:themeColor="text1"/>
          <w:sz w:val="26"/>
          <w:szCs w:val="26"/>
        </w:rPr>
      </w:pPr>
      <w:bookmarkStart w:id="132" w:name="_heading=h.ri82unylo2ss" w:colFirst="0" w:colLast="0"/>
      <w:bookmarkStart w:id="133" w:name="_Toc239816015"/>
      <w:bookmarkEnd w:id="132"/>
      <w:r w:rsidRPr="00B12AC1">
        <w:rPr>
          <w:color w:val="000000" w:themeColor="text1"/>
          <w:sz w:val="26"/>
          <w:szCs w:val="26"/>
        </w:rPr>
        <w:t>12.1.2 Phase 2: Pilot — Months 3–4</w:t>
      </w:r>
      <w:bookmarkEnd w:id="133"/>
    </w:p>
    <w:p w:rsidR="00CB5E86" w:rsidRPr="00B12AC1" w:rsidRDefault="00E4141F">
      <w:pPr>
        <w:rPr>
          <w:color w:val="000000" w:themeColor="text1"/>
        </w:rPr>
      </w:pPr>
      <w:r w:rsidRPr="00B12AC1">
        <w:rPr>
          <w:color w:val="000000" w:themeColor="text1"/>
        </w:rPr>
        <w:t>A hypothesis-driven B2B outreach to SMEs should utilize months 3–4 to test hypotheses. Carry out audits, including those in the office and full asset and material outputs tracking. Assess satisfaction and reliability and cost of measures (Helo and Thai, 2024). Try to determine willingness to pay, make comparisons, do stage-gate cost/assumption fixes, etc. before launch.</w:t>
      </w:r>
    </w:p>
    <w:p w:rsidR="00CB5E86" w:rsidRPr="00B12AC1" w:rsidRDefault="00E4141F">
      <w:pPr>
        <w:pStyle w:val="Heading3"/>
        <w:keepNext w:val="0"/>
        <w:keepLines w:val="0"/>
        <w:spacing w:before="280" w:after="80"/>
        <w:rPr>
          <w:color w:val="000000" w:themeColor="text1"/>
          <w:sz w:val="26"/>
          <w:szCs w:val="26"/>
        </w:rPr>
      </w:pPr>
      <w:bookmarkStart w:id="134" w:name="_heading=h.t83eln70boyx" w:colFirst="0" w:colLast="0"/>
      <w:bookmarkStart w:id="135" w:name="_Toc239816016"/>
      <w:bookmarkEnd w:id="134"/>
      <w:r w:rsidRPr="00B12AC1">
        <w:rPr>
          <w:color w:val="000000" w:themeColor="text1"/>
          <w:sz w:val="26"/>
          <w:szCs w:val="26"/>
        </w:rPr>
        <w:t>12.1.3 Phase 3: Commercial Launch — Months 5–6</w:t>
      </w:r>
      <w:bookmarkEnd w:id="135"/>
    </w:p>
    <w:p w:rsidR="00CB5E86" w:rsidRPr="00B12AC1" w:rsidRDefault="00E4141F">
      <w:pPr>
        <w:rPr>
          <w:color w:val="000000" w:themeColor="text1"/>
        </w:rPr>
      </w:pPr>
      <w:r w:rsidRPr="00B12AC1">
        <w:rPr>
          <w:color w:val="000000" w:themeColor="text1"/>
        </w:rPr>
        <w:t>The pilot validation should be followed by month 5-6. Start geographically to defend against routing &amp; service quality attacks, focusing on SMEs and medium sized organisations. Digital marketing, referral and case studies, and partnerships with refurbishment companies, property managers and recycling companies; extend capability (Mehran and Kristensson, 2025). Track take-up, ongoing revenue, retain customers and guarantee reliability to manage growth.</w:t>
      </w:r>
    </w:p>
    <w:p w:rsidR="00B12AC1" w:rsidRPr="00B12AC1" w:rsidRDefault="00B12AC1">
      <w:pPr>
        <w:pStyle w:val="Heading3"/>
        <w:keepNext w:val="0"/>
        <w:keepLines w:val="0"/>
        <w:spacing w:before="280" w:after="80"/>
        <w:rPr>
          <w:color w:val="000000" w:themeColor="text1"/>
          <w:sz w:val="26"/>
          <w:szCs w:val="26"/>
        </w:rPr>
      </w:pPr>
      <w:bookmarkStart w:id="136" w:name="_heading=h.quosxtxa3ewu" w:colFirst="0" w:colLast="0"/>
      <w:bookmarkEnd w:id="136"/>
    </w:p>
    <w:p w:rsidR="00B12AC1" w:rsidRPr="00B12AC1" w:rsidRDefault="00B12AC1">
      <w:pPr>
        <w:pStyle w:val="Heading3"/>
        <w:keepNext w:val="0"/>
        <w:keepLines w:val="0"/>
        <w:spacing w:before="280" w:after="80"/>
        <w:rPr>
          <w:color w:val="000000" w:themeColor="text1"/>
          <w:sz w:val="26"/>
          <w:szCs w:val="26"/>
        </w:rPr>
      </w:pPr>
    </w:p>
    <w:p w:rsidR="00CB5E86" w:rsidRPr="00B12AC1" w:rsidRDefault="00E4141F">
      <w:pPr>
        <w:pStyle w:val="Heading3"/>
        <w:keepNext w:val="0"/>
        <w:keepLines w:val="0"/>
        <w:spacing w:before="280" w:after="80"/>
        <w:rPr>
          <w:color w:val="000000" w:themeColor="text1"/>
          <w:sz w:val="26"/>
          <w:szCs w:val="26"/>
        </w:rPr>
      </w:pPr>
      <w:bookmarkStart w:id="137" w:name="_Toc239816017"/>
      <w:r w:rsidRPr="00B12AC1">
        <w:rPr>
          <w:color w:val="000000" w:themeColor="text1"/>
          <w:sz w:val="26"/>
          <w:szCs w:val="26"/>
        </w:rPr>
        <w:lastRenderedPageBreak/>
        <w:t>12.1.4 Phase 4: Growth — Months 7–12</w:t>
      </w:r>
      <w:bookmarkEnd w:id="137"/>
    </w:p>
    <w:p w:rsidR="00CB5E86" w:rsidRPr="00B12AC1" w:rsidRDefault="00E4141F">
      <w:pPr>
        <w:rPr>
          <w:color w:val="000000" w:themeColor="text1"/>
        </w:rPr>
      </w:pPr>
      <w:r w:rsidRPr="00B12AC1">
        <w:rPr>
          <w:color w:val="000000" w:themeColor="text1"/>
        </w:rPr>
        <w:t>Costly growth ought to happen at that period of time (months 7 - 12) focused on evidence-based growth around that time where the reliability and the unit economics were there. Improve the capacity by density and routing economics; Improve logistics and selectively target the organisations. Sustainability Reporting has the capacity to generate value (Akbar, Jain and Bråthen, 2024). Examine performance month 12, and set expansion retention, margin and reliability requirements.</w:t>
      </w:r>
    </w:p>
    <w:p w:rsidR="00CB5E86" w:rsidRPr="00B12AC1" w:rsidRDefault="00E4141F">
      <w:pPr>
        <w:pStyle w:val="Heading2"/>
        <w:rPr>
          <w:color w:val="000000" w:themeColor="text1"/>
        </w:rPr>
      </w:pPr>
      <w:bookmarkStart w:id="138" w:name="_heading=h.4enh18mjrghw" w:colFirst="0" w:colLast="0"/>
      <w:bookmarkStart w:id="139" w:name="_Toc239816018"/>
      <w:bookmarkEnd w:id="138"/>
      <w:r w:rsidRPr="00B12AC1">
        <w:rPr>
          <w:color w:val="000000" w:themeColor="text1"/>
        </w:rPr>
        <w:t>12.2 Milestones and Timeline</w:t>
      </w:r>
      <w:bookmarkEnd w:id="139"/>
    </w:p>
    <w:p w:rsidR="00CB5E86" w:rsidRPr="00B12AC1" w:rsidRDefault="00E4141F">
      <w:pPr>
        <w:rPr>
          <w:b/>
          <w:bCs/>
          <w:color w:val="000000" w:themeColor="text1"/>
        </w:rPr>
      </w:pPr>
      <w:r w:rsidRPr="00B12AC1">
        <w:rPr>
          <w:b/>
          <w:bCs/>
          <w:color w:val="000000" w:themeColor="text1"/>
        </w:rPr>
        <w:t>Table 26. Gantt Chart</w:t>
      </w:r>
    </w:p>
    <w:tbl>
      <w:tblPr>
        <w:tblStyle w:val="affffffff8"/>
        <w:tblW w:w="9360" w:type="dxa"/>
        <w:tblBorders>
          <w:top w:val="nil"/>
          <w:left w:val="nil"/>
          <w:bottom w:val="nil"/>
          <w:right w:val="nil"/>
          <w:insideH w:val="nil"/>
          <w:insideV w:val="nil"/>
        </w:tblBorders>
        <w:tblLayout w:type="fixed"/>
        <w:tblLook w:val="0600"/>
      </w:tblPr>
      <w:tblGrid>
        <w:gridCol w:w="1595"/>
        <w:gridCol w:w="1260"/>
        <w:gridCol w:w="2939"/>
        <w:gridCol w:w="3566"/>
      </w:tblGrid>
      <w:tr w:rsidR="00CB5E86" w:rsidRPr="00B12AC1">
        <w:trPr>
          <w:trHeight w:val="515"/>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jc w:val="center"/>
              <w:rPr>
                <w:color w:val="000000" w:themeColor="text1"/>
              </w:rPr>
            </w:pPr>
            <w:r w:rsidRPr="00B12AC1">
              <w:rPr>
                <w:b/>
                <w:bCs/>
                <w:color w:val="000000" w:themeColor="text1"/>
              </w:rPr>
              <w:t>Stage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jc w:val="center"/>
              <w:rPr>
                <w:color w:val="000000" w:themeColor="text1"/>
              </w:rPr>
            </w:pPr>
            <w:r w:rsidRPr="00B12AC1">
              <w:rPr>
                <w:b/>
                <w:bCs/>
                <w:color w:val="000000" w:themeColor="text1"/>
              </w:rPr>
              <w:t>Timeline</w:t>
            </w:r>
          </w:p>
        </w:tc>
        <w:tc>
          <w:tcPr>
            <w:tcW w:w="2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jc w:val="center"/>
              <w:rPr>
                <w:color w:val="000000" w:themeColor="text1"/>
              </w:rPr>
            </w:pPr>
            <w:r w:rsidRPr="00B12AC1">
              <w:rPr>
                <w:b/>
                <w:bCs/>
                <w:color w:val="000000" w:themeColor="text1"/>
              </w:rPr>
              <w:t>Key milestone</w:t>
            </w:r>
          </w:p>
        </w:tc>
        <w:tc>
          <w:tcPr>
            <w:tcW w:w="3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jc w:val="center"/>
              <w:rPr>
                <w:color w:val="000000" w:themeColor="text1"/>
              </w:rPr>
            </w:pPr>
            <w:r w:rsidRPr="00B12AC1">
              <w:rPr>
                <w:b/>
                <w:bCs/>
                <w:color w:val="000000" w:themeColor="text1"/>
              </w:rPr>
              <w:t>Decision/Control</w:t>
            </w:r>
          </w:p>
        </w:tc>
      </w:tr>
      <w:tr w:rsidR="00CB5E86" w:rsidRPr="00B12AC1">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Prepare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Months 1–2</w:t>
            </w:r>
          </w:p>
        </w:tc>
        <w:tc>
          <w:tcPr>
            <w:tcW w:w="2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Complete preparation requirements</w:t>
            </w:r>
          </w:p>
        </w:tc>
        <w:tc>
          <w:tcPr>
            <w:tcW w:w="3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Confirm readiness before testing</w:t>
            </w:r>
          </w:p>
        </w:tc>
      </w:tr>
      <w:tr w:rsidR="00CB5E86" w:rsidRPr="00B12AC1">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Test</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Months 3–4</w:t>
            </w:r>
          </w:p>
        </w:tc>
        <w:tc>
          <w:tcPr>
            <w:tcW w:w="2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Complete pilot and evaluate results</w:t>
            </w:r>
          </w:p>
        </w:tc>
        <w:tc>
          <w:tcPr>
            <w:tcW w:w="3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Decide whether to launch or redesign</w:t>
            </w:r>
          </w:p>
        </w:tc>
      </w:tr>
      <w:tr w:rsidR="00CB5E86" w:rsidRPr="00B12AC1">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Launch</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Months 5–6</w:t>
            </w:r>
          </w:p>
        </w:tc>
        <w:tc>
          <w:tcPr>
            <w:tcW w:w="2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Begin commercial operations</w:t>
            </w:r>
          </w:p>
        </w:tc>
        <w:tc>
          <w:tcPr>
            <w:tcW w:w="3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Monitor performance against expectations</w:t>
            </w:r>
          </w:p>
        </w:tc>
      </w:tr>
      <w:tr w:rsidR="00CB5E86" w:rsidRPr="00B12AC1">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Measure &amp; Scale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Months 7–12</w:t>
            </w:r>
          </w:p>
        </w:tc>
        <w:tc>
          <w:tcPr>
            <w:tcW w:w="2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Critically assess performance and build up where appropriate</w:t>
            </w:r>
          </w:p>
        </w:tc>
        <w:tc>
          <w:tcPr>
            <w:tcW w:w="3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Only scale when there is evidence of growth.</w:t>
            </w:r>
          </w:p>
        </w:tc>
      </w:tr>
      <w:tr w:rsidR="00CB5E86" w:rsidRPr="00B12AC1">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Corrective Action</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As required</w:t>
            </w:r>
          </w:p>
        </w:tc>
        <w:tc>
          <w:tcPr>
            <w:tcW w:w="2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Handle operational, financial or customer problems</w:t>
            </w:r>
          </w:p>
        </w:tc>
        <w:tc>
          <w:tcPr>
            <w:tcW w:w="3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Utilise corrective management when and if necessary</w:t>
            </w:r>
          </w:p>
        </w:tc>
      </w:tr>
    </w:tbl>
    <w:p w:rsidR="00B12AC1" w:rsidRPr="00B12AC1" w:rsidRDefault="00B12AC1">
      <w:pPr>
        <w:pStyle w:val="Heading2"/>
        <w:rPr>
          <w:color w:val="000000" w:themeColor="text1"/>
        </w:rPr>
      </w:pPr>
      <w:bookmarkStart w:id="140" w:name="_heading=h.b4ihkk36c9ba" w:colFirst="0" w:colLast="0"/>
      <w:bookmarkEnd w:id="140"/>
    </w:p>
    <w:p w:rsidR="00B12AC1" w:rsidRPr="00B12AC1" w:rsidRDefault="00B12AC1">
      <w:pPr>
        <w:pStyle w:val="Heading2"/>
        <w:rPr>
          <w:color w:val="000000" w:themeColor="text1"/>
        </w:rPr>
      </w:pPr>
    </w:p>
    <w:p w:rsidR="00CB5E86" w:rsidRPr="00B12AC1" w:rsidRDefault="00E4141F">
      <w:pPr>
        <w:pStyle w:val="Heading2"/>
        <w:rPr>
          <w:color w:val="000000" w:themeColor="text1"/>
        </w:rPr>
      </w:pPr>
      <w:bookmarkStart w:id="141" w:name="_Toc239816019"/>
      <w:r w:rsidRPr="00B12AC1">
        <w:rPr>
          <w:color w:val="000000" w:themeColor="text1"/>
        </w:rPr>
        <w:t>12.3 Resource Allocation and Priorities</w:t>
      </w:r>
      <w:bookmarkEnd w:id="141"/>
    </w:p>
    <w:p w:rsidR="00CB5E86" w:rsidRPr="00B12AC1" w:rsidRDefault="00E4141F">
      <w:pPr>
        <w:rPr>
          <w:b/>
          <w:bCs/>
          <w:color w:val="000000" w:themeColor="text1"/>
        </w:rPr>
      </w:pPr>
      <w:r w:rsidRPr="00B12AC1">
        <w:rPr>
          <w:b/>
          <w:bCs/>
          <w:color w:val="000000" w:themeColor="text1"/>
        </w:rPr>
        <w:t>Table 27. Resource Allocations</w:t>
      </w:r>
    </w:p>
    <w:tbl>
      <w:tblPr>
        <w:tblStyle w:val="affffffff9"/>
        <w:tblW w:w="9250" w:type="dxa"/>
        <w:tblBorders>
          <w:top w:val="nil"/>
          <w:left w:val="nil"/>
          <w:bottom w:val="nil"/>
          <w:right w:val="nil"/>
          <w:insideH w:val="nil"/>
          <w:insideV w:val="nil"/>
        </w:tblBorders>
        <w:tblLayout w:type="fixed"/>
        <w:tblLook w:val="0600"/>
      </w:tblPr>
      <w:tblGrid>
        <w:gridCol w:w="2105"/>
        <w:gridCol w:w="7145"/>
      </w:tblGrid>
      <w:tr w:rsidR="00CB5E86" w:rsidRPr="00B12AC1">
        <w:trPr>
          <w:trHeight w:val="515"/>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jc w:val="center"/>
              <w:rPr>
                <w:color w:val="000000" w:themeColor="text1"/>
              </w:rPr>
            </w:pPr>
            <w:r w:rsidRPr="00B12AC1">
              <w:rPr>
                <w:b/>
                <w:bCs/>
                <w:color w:val="000000" w:themeColor="text1"/>
              </w:rPr>
              <w:t>Resource/Priority</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jc w:val="center"/>
              <w:rPr>
                <w:color w:val="000000" w:themeColor="text1"/>
              </w:rPr>
            </w:pPr>
            <w:r w:rsidRPr="00B12AC1">
              <w:rPr>
                <w:b/>
                <w:bCs/>
                <w:color w:val="000000" w:themeColor="text1"/>
              </w:rPr>
              <w:t>Allocation and Action</w:t>
            </w:r>
          </w:p>
        </w:tc>
      </w:tr>
      <w:tr w:rsidR="00CB5E86" w:rsidRPr="00B12AC1">
        <w:trPr>
          <w:trHeight w:val="800"/>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Human resources</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Minimal and should follow the recommended core of 6 people for recruitment.</w:t>
            </w:r>
          </w:p>
        </w:tc>
      </w:tr>
      <w:tr w:rsidR="00CB5E86" w:rsidRPr="00B12AC1">
        <w:trPr>
          <w:trHeight w:val="515"/>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Technology</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£12,000 for digital platform/CRM.</w:t>
            </w:r>
          </w:p>
        </w:tc>
      </w:tr>
      <w:tr w:rsidR="00CB5E86" w:rsidRPr="00B12AC1">
        <w:trPr>
          <w:trHeight w:val="515"/>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Vehicle &amp; logistics</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£18,000 for vehicle and logistics set-up.</w:t>
            </w:r>
          </w:p>
        </w:tc>
      </w:tr>
      <w:tr w:rsidR="00CB5E86" w:rsidRPr="00B12AC1">
        <w:trPr>
          <w:trHeight w:val="515"/>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Working capital</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£15,000 allocated to working capital.</w:t>
            </w:r>
          </w:p>
        </w:tc>
      </w:tr>
      <w:tr w:rsidR="00CB5E86" w:rsidRPr="00B12AC1">
        <w:trPr>
          <w:trHeight w:val="1085"/>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External capability</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Capacity will be further developed through contracts with refurbishment specialists and recycling companies, and property managers (Mehran and Kristensson, 2025).</w:t>
            </w:r>
          </w:p>
        </w:tc>
      </w:tr>
      <w:tr w:rsidR="00CB5E86" w:rsidRPr="00B12AC1">
        <w:trPr>
          <w:trHeight w:val="1085"/>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b/>
                <w:bCs/>
                <w:color w:val="000000" w:themeColor="text1"/>
              </w:rPr>
              <w:t>Capacity &amp; growth</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Pr="00B12AC1" w:rsidRDefault="00E4141F">
            <w:pPr>
              <w:spacing w:before="0" w:after="0" w:line="240" w:lineRule="auto"/>
              <w:rPr>
                <w:color w:val="000000" w:themeColor="text1"/>
              </w:rPr>
            </w:pPr>
            <w:r w:rsidRPr="00B12AC1">
              <w:rPr>
                <w:color w:val="000000" w:themeColor="text1"/>
              </w:rPr>
              <w:t>Expand capacity based on customer population; prioritise larger organisations and grow spatial in a regional approach.</w:t>
            </w:r>
          </w:p>
        </w:tc>
      </w:tr>
    </w:tbl>
    <w:p w:rsidR="00B12AC1" w:rsidRPr="00B12AC1" w:rsidRDefault="00B12AC1">
      <w:pPr>
        <w:pStyle w:val="Heading2"/>
        <w:rPr>
          <w:color w:val="000000" w:themeColor="text1"/>
        </w:rPr>
      </w:pPr>
    </w:p>
    <w:p w:rsidR="00B12AC1" w:rsidRDefault="00B12AC1">
      <w:pPr>
        <w:pStyle w:val="Heading2"/>
      </w:pPr>
    </w:p>
    <w:p w:rsidR="00CB5E86" w:rsidRDefault="00E4141F">
      <w:pPr>
        <w:pStyle w:val="Heading2"/>
      </w:pPr>
      <w:bookmarkStart w:id="142" w:name="_Toc239816020"/>
      <w:r>
        <w:t>12.4 KPIs and Control</w:t>
      </w:r>
      <w:bookmarkEnd w:id="142"/>
    </w:p>
    <w:p w:rsidR="00CB5E86" w:rsidRDefault="00E4141F">
      <w:pPr>
        <w:rPr>
          <w:b/>
          <w:bCs/>
        </w:rPr>
      </w:pPr>
      <w:r>
        <w:rPr>
          <w:b/>
          <w:bCs/>
        </w:rPr>
        <w:t>Table 28: A balanced KPI system should connect strategic objectives with operational control.</w:t>
      </w:r>
    </w:p>
    <w:sdt>
      <w:sdtPr>
        <w:tag w:val="goog_rdk_27"/>
        <w:id w:val="632834242"/>
        <w:lock w:val="contentLocked"/>
      </w:sdtPr>
      <w:sdtContent>
        <w:tbl>
          <w:tblPr>
            <w:tblStyle w:val="affffffffa"/>
            <w:tblW w:w="10860" w:type="dxa"/>
            <w:tblInd w:w="-740" w:type="dxa"/>
            <w:tblBorders>
              <w:top w:val="nil"/>
              <w:left w:val="nil"/>
              <w:bottom w:val="nil"/>
              <w:right w:val="nil"/>
              <w:insideH w:val="nil"/>
              <w:insideV w:val="nil"/>
            </w:tblBorders>
            <w:tblLayout w:type="fixed"/>
            <w:tblLook w:val="0600"/>
          </w:tblPr>
          <w:tblGrid>
            <w:gridCol w:w="2445"/>
            <w:gridCol w:w="4650"/>
            <w:gridCol w:w="3765"/>
          </w:tblGrid>
          <w:tr w:rsidR="00CB5E86">
            <w:trPr>
              <w:trHeight w:val="500"/>
            </w:trPr>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Dimension</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KPI</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jc w:val="center"/>
                </w:pPr>
                <w:r>
                  <w:rPr>
                    <w:b/>
                    <w:bCs/>
                  </w:rPr>
                  <w:t>Control purpose</w:t>
                </w:r>
              </w:p>
            </w:tc>
          </w:tr>
          <w:tr w:rsidR="00CB5E86">
            <w:trPr>
              <w:trHeight w:val="770"/>
            </w:trPr>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Financial</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Revenue, MRR, gross margin, break-even customers</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Test commercial sustainability and liquidity.</w:t>
                </w:r>
              </w:p>
            </w:tc>
          </w:tr>
          <w:tr w:rsidR="00CB5E86">
            <w:trPr>
              <w:trHeight w:val="770"/>
            </w:trPr>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Customer</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Acquisition, retention, satisfaction</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Assess market acceptance and relationship quality.</w:t>
                </w:r>
              </w:p>
            </w:tc>
          </w:tr>
          <w:tr w:rsidR="00CB5E86">
            <w:trPr>
              <w:trHeight w:val="770"/>
            </w:trPr>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Operational</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Collection reliability, cost per collection, processing efficiency (Handoyo et al., 2023)</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Control service quality and unit economics.</w:t>
                </w:r>
              </w:p>
            </w:tc>
          </w:tr>
          <w:tr w:rsidR="00CB5E86">
            <w:trPr>
              <w:trHeight w:val="770"/>
            </w:trPr>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Sustainability</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Waste diverted, reused materials, recycled materials, environmental impact (Recykal.com, 2025)</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B5E86" w:rsidRDefault="00E4141F">
                <w:pPr>
                  <w:spacing w:before="0" w:after="0"/>
                </w:pPr>
                <w:r>
                  <w:t>Verify circular outcomes and prevent unsupported claims.</w:t>
                </w:r>
              </w:p>
            </w:tc>
          </w:tr>
        </w:tbl>
      </w:sdtContent>
    </w:sdt>
    <w:p w:rsidR="00CB5E86" w:rsidRDefault="00B12AC1">
      <w:pPr>
        <w:rPr>
          <w:b/>
          <w:bCs/>
        </w:rPr>
      </w:pPr>
      <w:r>
        <w:rPr>
          <w:b/>
          <w:bCs/>
        </w:rPr>
        <w:t xml:space="preserve">                                         </w:t>
      </w:r>
      <w:r w:rsidR="00E4141F">
        <w:rPr>
          <w:b/>
          <w:bCs/>
        </w:rPr>
        <w:t xml:space="preserve">Source: Self-developed </w:t>
      </w:r>
    </w:p>
    <w:p w:rsidR="00CB5E86" w:rsidRDefault="00E4141F">
      <w:r>
        <w:t>There should be a monthly dashboard for management to review and analyze adverse trends. Consistently record sustainability measures for credible reporting. A break-even of about 60 customers should still be a target for financial achievement. Labour planning should take account of the National Living Wage rates and the schedule of increases for April 2026 is £12.71 per hour (Low Pay Commission, 2026). The detailed Gantt chart should be attached at the appendix. The steps of implementation should be: prepare, test, launch, measure &amp; scale, and then take corrective management action decisions at the appropriate time.</w:t>
      </w:r>
    </w:p>
    <w:p w:rsidR="00CB5E86" w:rsidRPr="00B12AC1" w:rsidRDefault="00E4141F">
      <w:pPr>
        <w:pStyle w:val="Heading2"/>
        <w:rPr>
          <w:color w:val="000000" w:themeColor="text1"/>
        </w:rPr>
      </w:pPr>
      <w:bookmarkStart w:id="143" w:name="_heading=h.vt7y4cqzw5gu" w:colFirst="0" w:colLast="0"/>
      <w:bookmarkStart w:id="144" w:name="_Toc239816021"/>
      <w:bookmarkEnd w:id="143"/>
      <w:r w:rsidRPr="00B12AC1">
        <w:rPr>
          <w:color w:val="000000" w:themeColor="text1"/>
        </w:rPr>
        <w:t>12.5 Change Management and Implementation Risks</w:t>
      </w:r>
      <w:bookmarkEnd w:id="144"/>
    </w:p>
    <w:p w:rsidR="00CB5E86" w:rsidRPr="00B12AC1" w:rsidRDefault="00E4141F">
      <w:pPr>
        <w:rPr>
          <w:color w:val="000000" w:themeColor="text1"/>
        </w:rPr>
      </w:pPr>
      <w:r w:rsidRPr="00B12AC1">
        <w:rPr>
          <w:color w:val="000000" w:themeColor="text1"/>
        </w:rPr>
        <w:t xml:space="preserve">Implementation risk is not only in the technical aspects but also in operational reliability and customer acceptance and scaling too early (Orellano and Gourc, 2024). Operational issues should be captured and addressed as early as possible prior to launch – the stage-gate process should be used for either proceeding or redesigning </w:t>
      </w:r>
      <w:r w:rsidRPr="00B12AC1">
        <w:rPr>
          <w:color w:val="000000" w:themeColor="text1"/>
        </w:rPr>
        <w:lastRenderedPageBreak/>
        <w:t>(Svensson Harari and Fundin, 2023). Service reliability must not be sacrificed for growth and economic and operational factors must be used to decide growth expansion. Defending against service distortions tends to be more important as part of the expansion process as contribution margins and service uniformity becomes more important than geographical expansion or bigger contracts as these will magnify service issues and hence require attention first.</w:t>
      </w:r>
    </w:p>
    <w:p w:rsidR="00CB5E86" w:rsidRPr="00B12AC1" w:rsidRDefault="00E4141F">
      <w:pPr>
        <w:pStyle w:val="Heading2"/>
        <w:rPr>
          <w:color w:val="000000" w:themeColor="text1"/>
        </w:rPr>
      </w:pPr>
      <w:bookmarkStart w:id="145" w:name="_heading=h.ucmo1zg0uwlv" w:colFirst="0" w:colLast="0"/>
      <w:bookmarkStart w:id="146" w:name="_Toc239816022"/>
      <w:bookmarkEnd w:id="145"/>
      <w:r w:rsidRPr="00B12AC1">
        <w:rPr>
          <w:color w:val="000000" w:themeColor="text1"/>
        </w:rPr>
        <w:t>12.6 Implementation Readiness Summary</w:t>
      </w:r>
      <w:bookmarkEnd w:id="146"/>
    </w:p>
    <w:p w:rsidR="00CB5E86" w:rsidRPr="00B12AC1" w:rsidRDefault="00E4141F">
      <w:pPr>
        <w:rPr>
          <w:color w:val="000000" w:themeColor="text1"/>
        </w:rPr>
      </w:pPr>
      <w:r w:rsidRPr="00B12AC1">
        <w:rPr>
          <w:color w:val="000000" w:themeColor="text1"/>
        </w:rPr>
        <w:t>Implementation readiness involves factors that must be met to make implementation successful—not presuming success. In preparation, it is important to get the organisations ready for generating significant investment. To minimise premature scaling, a pilot test to determine customer interest in paying along with operation reliability and commercial viability should be attempted. This can help with cash-flow protection and recurring orders, with resources being invested in stages based on evidence that they will scale.</w:t>
      </w:r>
    </w:p>
    <w:p w:rsidR="00754E7C" w:rsidRDefault="00754E7C">
      <w:pPr>
        <w:rPr>
          <w:b/>
          <w:bCs/>
          <w:sz w:val="28"/>
          <w:szCs w:val="28"/>
        </w:rPr>
      </w:pPr>
      <w:r>
        <w:br w:type="page"/>
      </w:r>
    </w:p>
    <w:p w:rsidR="00754E7C" w:rsidRDefault="00E4141F" w:rsidP="00754E7C">
      <w:pPr>
        <w:pStyle w:val="Heading1"/>
      </w:pPr>
      <w:bookmarkStart w:id="147" w:name="_Toc239816023"/>
      <w:r>
        <w:lastRenderedPageBreak/>
        <w:t>References</w:t>
      </w:r>
      <w:bookmarkEnd w:id="147"/>
    </w:p>
    <w:p w:rsidR="00754E7C" w:rsidRDefault="00754E7C">
      <w:pPr>
        <w:spacing w:before="0"/>
      </w:pPr>
      <w:r>
        <w:t xml:space="preserve">Ahmed, W.A.H. and MacCarthy, B.L. (2023). Blockchain-enabled supply chain traceability – How wide? How deep? </w:t>
      </w:r>
      <w:r>
        <w:rPr>
          <w:i/>
          <w:iCs/>
        </w:rPr>
        <w:t>International Journal of Production Economics</w:t>
      </w:r>
      <w:r>
        <w:t xml:space="preserve">, [online] 263, p.108963. Available at: </w:t>
      </w:r>
      <w:hyperlink r:id="rId20">
        <w:r>
          <w:rPr>
            <w:color w:val="1155CC"/>
            <w:u w:val="single"/>
          </w:rPr>
          <w:t>https://www.sciencedirect.com/science/article/pii/S0925527323001950</w:t>
        </w:r>
      </w:hyperlink>
      <w:r w:rsidR="007E2D03">
        <w:t xml:space="preserve">  [Accessed 4 Sep</w:t>
      </w:r>
      <w:r>
        <w:t>. 2026].</w:t>
      </w:r>
    </w:p>
    <w:p w:rsidR="00754E7C" w:rsidRDefault="00754E7C">
      <w:pPr>
        <w:widowControl w:val="0"/>
        <w:spacing w:before="0"/>
      </w:pPr>
      <w:r>
        <w:t xml:space="preserve">Akbar, U., Jain, A.A. and Bråthen, S. (2024). Sustainability assessment of inter-urban crowdshipping - A case study approach. </w:t>
      </w:r>
      <w:r>
        <w:rPr>
          <w:i/>
          <w:iCs/>
        </w:rPr>
        <w:t>Research in Transportation Economics</w:t>
      </w:r>
      <w:r>
        <w:t xml:space="preserve">, [online] 103, p.101409. </w:t>
      </w:r>
      <w:hyperlink r:id="rId21">
        <w:r>
          <w:rPr>
            <w:color w:val="1155CC"/>
            <w:u w:val="single"/>
          </w:rPr>
          <w:t>https://www.sciencedirect.com/journal/research-in-transportation-economics/vol/103/suppl/C</w:t>
        </w:r>
      </w:hyperlink>
    </w:p>
    <w:p w:rsidR="00754E7C" w:rsidRDefault="00754E7C">
      <w:r>
        <w:t>‌Alcayaga, A. and Hansen, E.G., 2025. Smart circular economy as a service business model: an activity system framework and research agenda. R&amp;D Management, 55(2), pp.508-530.</w:t>
      </w:r>
      <w:hyperlink r:id="rId22">
        <w:r>
          <w:rPr>
            <w:color w:val="1155CC"/>
            <w:u w:val="single"/>
          </w:rPr>
          <w:t>https://onlinelibrary.wiley.com/doi/pdf/10.1111/radm.12707</w:t>
        </w:r>
      </w:hyperlink>
    </w:p>
    <w:p w:rsidR="00754E7C" w:rsidRDefault="00754E7C">
      <w:pPr>
        <w:spacing w:before="0"/>
      </w:pPr>
      <w:r>
        <w:t xml:space="preserve">Alfieri, L., Mariotti, I. and Rossi, F. (2025). The twin transition and flexible work arrangements: A systematic literature review. </w:t>
      </w:r>
      <w:r>
        <w:rPr>
          <w:i/>
          <w:iCs/>
        </w:rPr>
        <w:t>Journal of Environmental Management</w:t>
      </w:r>
      <w:r>
        <w:t xml:space="preserve">, [online] 395, p.127988. Available at: </w:t>
      </w:r>
      <w:hyperlink r:id="rId23">
        <w:r>
          <w:rPr>
            <w:color w:val="1155CC"/>
            <w:u w:val="single"/>
          </w:rPr>
          <w:t>https://www.sciencedirect.com/science/article/pii/S0301479725039647?via%3Dihub</w:t>
        </w:r>
      </w:hyperlink>
      <w:r>
        <w:t>  [Accessed 21 Aug. 2026].</w:t>
      </w:r>
    </w:p>
    <w:p w:rsidR="00754E7C" w:rsidRDefault="00754E7C">
      <w:pPr>
        <w:spacing w:before="0"/>
      </w:pPr>
      <w:r>
        <w:t xml:space="preserve">Alfina, K.N., Ratnayake, C., Wibisono, D., Basri, M.H. and Mulyono, N.B. (2025). Enhancing resilience and sustainable healthcare supply chains: Integrating circular economy and dynamic barrier management. </w:t>
      </w:r>
      <w:r>
        <w:rPr>
          <w:i/>
          <w:iCs/>
        </w:rPr>
        <w:t>Discover Sustainability</w:t>
      </w:r>
      <w:r>
        <w:t xml:space="preserve">, [online] 6(1). Available at: </w:t>
      </w:r>
      <w:hyperlink r:id="rId24">
        <w:r>
          <w:rPr>
            <w:color w:val="1155CC"/>
            <w:u w:val="single"/>
          </w:rPr>
          <w:t>https://link.springer.com/article/10.1007/s43621-025-01270-1</w:t>
        </w:r>
      </w:hyperlink>
      <w:r>
        <w:t>  [Accessed 21 Aug. 2026].</w:t>
      </w:r>
    </w:p>
    <w:p w:rsidR="00754E7C" w:rsidRDefault="00754E7C">
      <w:pPr>
        <w:spacing w:before="0"/>
      </w:pPr>
      <w:r>
        <w:t xml:space="preserve">Amasino, D.R., Dolgin, J. and Huettel, S.A. (2023). Eyes on the account size: Interactions between attention and budget in consumer choice. </w:t>
      </w:r>
      <w:r>
        <w:rPr>
          <w:i/>
          <w:iCs/>
        </w:rPr>
        <w:t>Journal of Economic Psychology</w:t>
      </w:r>
      <w:r>
        <w:t xml:space="preserve">, [online] 97, pp.102632–102632. Available at: </w:t>
      </w:r>
      <w:hyperlink r:id="rId25">
        <w:r>
          <w:rPr>
            <w:color w:val="1155CC"/>
            <w:u w:val="single"/>
          </w:rPr>
          <w:t>https://www.sciencedirect.com/science/article/pii/S0167487023000338</w:t>
        </w:r>
      </w:hyperlink>
      <w:r>
        <w:t>  [Accessed 21 Aug. 2026].</w:t>
      </w:r>
    </w:p>
    <w:p w:rsidR="00754E7C" w:rsidRDefault="00754E7C">
      <w:pPr>
        <w:spacing w:before="0"/>
      </w:pPr>
      <w:r>
        <w:t xml:space="preserve">Andersen, B.S. and Kreye, M.E. (2023). Implementing a centralised procurement strategy for global supplier base management. [online] pp.1–13. Available at: </w:t>
      </w:r>
      <w:hyperlink r:id="rId26">
        <w:r>
          <w:rPr>
            <w:color w:val="0000FF"/>
            <w:u w:val="single"/>
          </w:rPr>
          <w:t>https://www.tandfonline.com/doi/full/10.1080/09537287.2023.2217489</w:t>
        </w:r>
      </w:hyperlink>
      <w:r w:rsidR="007E2D03">
        <w:t xml:space="preserve">  [Accessed 17</w:t>
      </w:r>
      <w:r>
        <w:t xml:space="preserve"> Aug. 2026].</w:t>
      </w:r>
    </w:p>
    <w:p w:rsidR="00754E7C" w:rsidRDefault="00754E7C">
      <w:pPr>
        <w:spacing w:before="0" w:after="160"/>
      </w:pPr>
      <w:r>
        <w:t>Baden, D. and Frei, R., 2021. Product returns: an opportunity to shift towards an access-based economy?. Sustainability, 14(1), p.410.</w:t>
      </w:r>
      <w:hyperlink r:id="rId27">
        <w:r>
          <w:rPr>
            <w:color w:val="1155CC"/>
            <w:u w:val="single"/>
          </w:rPr>
          <w:t>https://www.mdpi.com/2071-1050/14/1/410</w:t>
        </w:r>
      </w:hyperlink>
    </w:p>
    <w:p w:rsidR="00754E7C" w:rsidRDefault="00754E7C">
      <w:pPr>
        <w:spacing w:before="0"/>
      </w:pPr>
      <w:r>
        <w:t xml:space="preserve">Bals, L., Taylor, K.M., Rosca, E. and Ciulli, F. (2024). Toward a circular supply chain: The enabling role of information and financial flows in open and closed loop designs. </w:t>
      </w:r>
      <w:r>
        <w:rPr>
          <w:i/>
          <w:iCs/>
        </w:rPr>
        <w:t>Resources Conservation and Recycling</w:t>
      </w:r>
      <w:r>
        <w:t xml:space="preserve">, [online] 209, pp.107781–107781. Available at: </w:t>
      </w:r>
      <w:hyperlink r:id="rId28">
        <w:r>
          <w:rPr>
            <w:color w:val="1155CC"/>
            <w:u w:val="single"/>
          </w:rPr>
          <w:t>https://www.sciencedirect.com/science/article/pii/S0921344924003756</w:t>
        </w:r>
      </w:hyperlink>
      <w:r w:rsidR="00BF0C4B">
        <w:t xml:space="preserve">  [Accessed 31</w:t>
      </w:r>
      <w:r>
        <w:t xml:space="preserve"> Aug. 2026].</w:t>
      </w:r>
    </w:p>
    <w:p w:rsidR="00754E7C" w:rsidRDefault="00754E7C">
      <w:pPr>
        <w:widowControl w:val="0"/>
      </w:pPr>
      <w:r>
        <w:t xml:space="preserve">‌Bankofengland.co.uk. (2026). </w:t>
      </w:r>
      <w:r>
        <w:rPr>
          <w:i/>
          <w:iCs/>
        </w:rPr>
        <w:t>Monetary Policy Report - July 2026</w:t>
      </w:r>
      <w:r>
        <w:t>. [online] Available at: https://www.bankofengland.co.uk/monetary-policy-rep</w:t>
      </w:r>
      <w:r w:rsidR="00BF0C4B">
        <w:t xml:space="preserve">ort/2026/july-2026 [Accessed 30 </w:t>
      </w:r>
      <w:r>
        <w:t>Aug. 2026].</w:t>
      </w:r>
    </w:p>
    <w:p w:rsidR="00754E7C" w:rsidRDefault="00754E7C">
      <w:pPr>
        <w:spacing w:before="0" w:after="160"/>
      </w:pPr>
      <w:r>
        <w:t>Bennett, K. and Mayouf, M., 2021. Value management integration for whole life cycle: post COVID-19 strategy for the UK construction industry. Sustainability, 13(16), p.9274.</w:t>
      </w:r>
      <w:hyperlink r:id="rId29">
        <w:r>
          <w:rPr>
            <w:color w:val="1155CC"/>
            <w:u w:val="single"/>
          </w:rPr>
          <w:t>https://www.mdpi.com/2071-1050/13/16/9274</w:t>
        </w:r>
      </w:hyperlink>
    </w:p>
    <w:p w:rsidR="00754E7C" w:rsidRDefault="00754E7C">
      <w:pPr>
        <w:spacing w:before="0"/>
      </w:pPr>
      <w:r>
        <w:t xml:space="preserve">Biffa (2019). </w:t>
      </w:r>
      <w:r>
        <w:rPr>
          <w:i/>
          <w:iCs/>
        </w:rPr>
        <w:t>Welcome to Biffa – no.1 for business waste</w:t>
      </w:r>
      <w:r>
        <w:t xml:space="preserve">. [online] Biffa. Available at: </w:t>
      </w:r>
      <w:hyperlink r:id="rId30">
        <w:r>
          <w:rPr>
            <w:color w:val="1155CC"/>
            <w:u w:val="single"/>
          </w:rPr>
          <w:t>https://www.biffa.co.uk/</w:t>
        </w:r>
      </w:hyperlink>
      <w:r w:rsidR="007E2D03">
        <w:t xml:space="preserve">  [Accessed 2 Sep</w:t>
      </w:r>
      <w:r>
        <w:t>. 2026].</w:t>
      </w:r>
    </w:p>
    <w:p w:rsidR="00754E7C" w:rsidRDefault="00754E7C">
      <w:pPr>
        <w:spacing w:before="0"/>
      </w:pPr>
      <w:r>
        <w:t xml:space="preserve">Binyaseen, A.M.A. (2024). Office design features and future organizational change toward supporting sustainability. </w:t>
      </w:r>
      <w:r>
        <w:rPr>
          <w:i/>
          <w:iCs/>
        </w:rPr>
        <w:t>Buildings</w:t>
      </w:r>
      <w:r>
        <w:t xml:space="preserve">, [online] 14(1), p.260. Available at: </w:t>
      </w:r>
      <w:hyperlink r:id="rId31">
        <w:r>
          <w:rPr>
            <w:color w:val="1155CC"/>
            <w:u w:val="single"/>
          </w:rPr>
          <w:t>https://www.mdpi.com/2075-5309/14/1/260</w:t>
        </w:r>
      </w:hyperlink>
      <w:r w:rsidR="007E2D03">
        <w:t xml:space="preserve">  [Accessed 3 Sep</w:t>
      </w:r>
      <w:r>
        <w:t>. 2026].</w:t>
      </w:r>
    </w:p>
    <w:p w:rsidR="00754E7C" w:rsidRDefault="00754E7C">
      <w:pPr>
        <w:spacing w:before="0"/>
      </w:pPr>
      <w:r>
        <w:lastRenderedPageBreak/>
        <w:t xml:space="preserve">Bio-powder.com. (2023). </w:t>
      </w:r>
      <w:r>
        <w:rPr>
          <w:i/>
          <w:iCs/>
        </w:rPr>
        <w:t>Embracing Circular Economy: Profitable Sustainability for Modern Companies</w:t>
      </w:r>
      <w:r>
        <w:t>. [online] Available at: https://www.bio-powder.com/en/circular-economy/ [Accessed 18 Aug. 2026].</w:t>
      </w:r>
    </w:p>
    <w:p w:rsidR="00754E7C" w:rsidRDefault="00754E7C">
      <w:pPr>
        <w:spacing w:before="0"/>
      </w:pPr>
      <w:r>
        <w:t xml:space="preserve">Bone, M., Ehlinger, E.G. and Stephany, F. (2025). Skills or degree? The rise of skill-based hiring for AI and green jobs. </w:t>
      </w:r>
      <w:r>
        <w:rPr>
          <w:i/>
          <w:iCs/>
        </w:rPr>
        <w:t>Technological Forecasting and Social Change</w:t>
      </w:r>
      <w:r>
        <w:t xml:space="preserve">, [online] 214, p.124042. Available at: </w:t>
      </w:r>
      <w:hyperlink r:id="rId32">
        <w:r>
          <w:rPr>
            <w:color w:val="1155CC"/>
            <w:u w:val="single"/>
          </w:rPr>
          <w:t>https://www.sciencedirect.com/science/article/pii/S0040162525000733</w:t>
        </w:r>
      </w:hyperlink>
      <w:r w:rsidR="00BF0C4B">
        <w:t xml:space="preserve">  </w:t>
      </w:r>
    </w:p>
    <w:p w:rsidR="00754E7C" w:rsidRDefault="00754E7C">
      <w:pPr>
        <w:spacing w:before="0" w:after="160"/>
      </w:pPr>
      <w:r>
        <w:t>Böttcher, T.P., Empelmann, S., Weking, J., Hein, A. and Krcmar, H., 2024. Digital sustainable business models: Using digital technology to integrate ecological sustainability into the core of business models. Information Systems Journal, 34(3), pp.736-761.</w:t>
      </w:r>
      <w:hyperlink r:id="rId33">
        <w:r>
          <w:rPr>
            <w:color w:val="1155CC"/>
            <w:u w:val="single"/>
          </w:rPr>
          <w:t>https://onlinelibrary.wiley.com/doi/pdfdirect/10.1111/isj.12436</w:t>
        </w:r>
      </w:hyperlink>
    </w:p>
    <w:p w:rsidR="00754E7C" w:rsidRDefault="00754E7C">
      <w:pPr>
        <w:spacing w:before="0" w:after="160"/>
      </w:pPr>
      <w:r>
        <w:t>Bressanelli, G., Saccani, N. and Perona, M., 2022. Investigating business potential and users’ acceptance of circular economy: a survey and an evaluation model. Sustainability, 14(2), p.609.</w:t>
      </w:r>
      <w:hyperlink r:id="rId34">
        <w:r>
          <w:rPr>
            <w:color w:val="1155CC"/>
            <w:u w:val="single"/>
          </w:rPr>
          <w:t>https://www.mdpi.com/2071-1050/14/2/609</w:t>
        </w:r>
      </w:hyperlink>
    </w:p>
    <w:p w:rsidR="00754E7C" w:rsidRDefault="00754E7C">
      <w:r>
        <w:t xml:space="preserve">‌Briggs, C. (2023). </w:t>
      </w:r>
      <w:r>
        <w:rPr>
          <w:i/>
          <w:iCs/>
        </w:rPr>
        <w:t>A Sustainable Business Model - Sustainable X</w:t>
      </w:r>
      <w:r>
        <w:t xml:space="preserve">. [online] Sustainable X. Available at: </w:t>
      </w:r>
      <w:hyperlink r:id="rId35">
        <w:r>
          <w:rPr>
            <w:color w:val="1155CC"/>
            <w:u w:val="single"/>
          </w:rPr>
          <w:t>https://www.sustainablex.co.uk/sustainable-business-model/</w:t>
        </w:r>
      </w:hyperlink>
      <w:r>
        <w:t xml:space="preserve">  [Accessed 18 Aug. 2026].</w:t>
      </w:r>
    </w:p>
    <w:p w:rsidR="00754E7C" w:rsidRDefault="00754E7C">
      <w:pPr>
        <w:spacing w:before="0"/>
      </w:pPr>
      <w:r>
        <w:t xml:space="preserve">Buckley, D. (2023). </w:t>
      </w:r>
      <w:r>
        <w:rPr>
          <w:i/>
          <w:iCs/>
        </w:rPr>
        <w:t>UK small and medium-sized enterprises (SMEs) statistics | leyton</w:t>
      </w:r>
      <w:r>
        <w:t xml:space="preserve">. [online] United Kingdom. Available at: </w:t>
      </w:r>
      <w:hyperlink r:id="rId36">
        <w:r>
          <w:rPr>
            <w:color w:val="1155CC"/>
            <w:u w:val="single"/>
          </w:rPr>
          <w:t>https://leyton.com/uk/insights/articles/uk-sme-statistics/</w:t>
        </w:r>
      </w:hyperlink>
      <w:r w:rsidR="00BF0C4B">
        <w:t xml:space="preserve">   [Accessed 2 Sep</w:t>
      </w:r>
      <w:r>
        <w:t>. 2026].</w:t>
      </w:r>
    </w:p>
    <w:p w:rsidR="00754E7C" w:rsidRDefault="00754E7C">
      <w:pPr>
        <w:spacing w:before="0"/>
      </w:pPr>
      <w:r>
        <w:t xml:space="preserve">Budler, M., Quiroga, B.F. and Trkman, P. (2023). A review of supply chain transparency research: Antecedents, technologies, types, and outcomes. </w:t>
      </w:r>
      <w:r>
        <w:rPr>
          <w:i/>
          <w:iCs/>
        </w:rPr>
        <w:t>Journal of Business Logistics</w:t>
      </w:r>
      <w:r>
        <w:t xml:space="preserve">, [online] 45(1). Available at: </w:t>
      </w:r>
      <w:hyperlink r:id="rId37">
        <w:r>
          <w:rPr>
            <w:color w:val="1155CC"/>
            <w:u w:val="single"/>
          </w:rPr>
          <w:t>https://onlinelibrary.wiley.com/doi/10.1111/jbl.12368</w:t>
        </w:r>
      </w:hyperlink>
      <w:r>
        <w:t>  [Accessed 21 Aug. 2026].</w:t>
      </w:r>
    </w:p>
    <w:p w:rsidR="00754E7C" w:rsidRDefault="00754E7C">
      <w:pPr>
        <w:spacing w:before="0"/>
      </w:pPr>
      <w:r>
        <w:t xml:space="preserve">Business Registers Strategy and Outputs team (2025). </w:t>
      </w:r>
      <w:r>
        <w:rPr>
          <w:i/>
          <w:iCs/>
        </w:rPr>
        <w:t>UK business; activity, size and location</w:t>
      </w:r>
      <w:r>
        <w:t xml:space="preserve">. [online] Ons.gov.uk. Available at: </w:t>
      </w:r>
      <w:hyperlink r:id="rId38">
        <w:r>
          <w:rPr>
            <w:color w:val="1155CC"/>
            <w:u w:val="single"/>
          </w:rPr>
          <w:t>https://www.ons.gov.uk/businessindustryandtrade/business/activitysizeandlocation/bulletins/ukbusinessactivitysizeandlocation/2025</w:t>
        </w:r>
      </w:hyperlink>
      <w:r>
        <w:t xml:space="preserve">  [Accessed 18 Aug. 2026].</w:t>
      </w:r>
    </w:p>
    <w:p w:rsidR="00754E7C" w:rsidRDefault="00754E7C">
      <w:pPr>
        <w:spacing w:before="0"/>
      </w:pPr>
      <w:r>
        <w:t xml:space="preserve">Chen, R. and Perry, P. (2026). Configurational pathways for technology-enabled ESG value creation in global supply chains. </w:t>
      </w:r>
      <w:r>
        <w:rPr>
          <w:i/>
          <w:iCs/>
        </w:rPr>
        <w:t>Journal of Business Research</w:t>
      </w:r>
      <w:r>
        <w:t xml:space="preserve">, [online] 215, p.116356. Available at: </w:t>
      </w:r>
      <w:hyperlink r:id="rId39">
        <w:r>
          <w:rPr>
            <w:color w:val="1155CC"/>
            <w:u w:val="single"/>
          </w:rPr>
          <w:t>https://www.sciencedirect.com/science/article/pii/S0148296326003917</w:t>
        </w:r>
      </w:hyperlink>
      <w:r w:rsidR="00BF0C4B">
        <w:t xml:space="preserve">  [Accessed 20 </w:t>
      </w:r>
      <w:r>
        <w:t>Aug. 2026].</w:t>
      </w:r>
    </w:p>
    <w:p w:rsidR="00754E7C" w:rsidRDefault="00754E7C">
      <w:pPr>
        <w:spacing w:before="0"/>
      </w:pPr>
      <w:r>
        <w:t xml:space="preserve">Connor-Crabb, A., Hemingray, C. and Toms, S. (2026). Can digital technologies support sufficiency in fashion? Evidence from innovative UK fashion SMEs. </w:t>
      </w:r>
      <w:r>
        <w:rPr>
          <w:i/>
          <w:iCs/>
        </w:rPr>
        <w:t>Fashion Practice</w:t>
      </w:r>
      <w:r>
        <w:t xml:space="preserve">, [online] pp.1–26. Available at: </w:t>
      </w:r>
      <w:hyperlink r:id="rId40">
        <w:r>
          <w:rPr>
            <w:color w:val="1155CC"/>
            <w:u w:val="single"/>
          </w:rPr>
          <w:t>https://www.tandfonline.com/doi/full/10.1080/17569370.2026.2639755</w:t>
        </w:r>
      </w:hyperlink>
      <w:r>
        <w:t>  [Accessed 21 Aug. 2026].</w:t>
      </w:r>
    </w:p>
    <w:p w:rsidR="00754E7C" w:rsidRDefault="00754E7C">
      <w:pPr>
        <w:widowControl w:val="0"/>
      </w:pPr>
      <w:r>
        <w:t xml:space="preserve">Consultancy UK (2026) ‘London now world’s second most expensive office fit-out market’, </w:t>
      </w:r>
      <w:r>
        <w:rPr>
          <w:i/>
          <w:iCs/>
        </w:rPr>
        <w:t>Consultancy.uk</w:t>
      </w:r>
      <w:r>
        <w:t>, 2 June. Available at:</w:t>
      </w:r>
      <w:hyperlink r:id="rId41"/>
      <w:hyperlink r:id="rId42">
        <w:r>
          <w:rPr>
            <w:color w:val="1155CC"/>
            <w:u w:val="single"/>
          </w:rPr>
          <w:t>https://www.consultancy.uk/news/44287/london-now-worlds-second-most-expensive-office-fit-out-market</w:t>
        </w:r>
      </w:hyperlink>
      <w:r>
        <w:t xml:space="preserve">  (Accessed: 18 August 2026).</w:t>
      </w:r>
      <w:r>
        <w:rPr>
          <w:b/>
          <w:bCs/>
        </w:rPr>
        <w:br/>
      </w:r>
      <w:r>
        <w:t>Office for National Statistics (2025a) ‘UK business; activity, size and location: 2025’, 24 September. Available at:</w:t>
      </w:r>
      <w:hyperlink r:id="rId43"/>
      <w:hyperlink r:id="rId44">
        <w:r>
          <w:rPr>
            <w:color w:val="1155CC"/>
            <w:u w:val="single"/>
          </w:rPr>
          <w:t>https://www.ons.gov.uk/businessindustryandtrade/business/activitysizeandlocation/bulletins/ukbusinessactivitysizeandlocation/2025</w:t>
        </w:r>
      </w:hyperlink>
      <w:r w:rsidR="007E2D03">
        <w:t xml:space="preserve"> (Accessed: 19</w:t>
      </w:r>
      <w:r>
        <w:t xml:space="preserve"> August 2026).</w:t>
      </w:r>
      <w:r>
        <w:rPr>
          <w:b/>
          <w:bCs/>
        </w:rPr>
        <w:br/>
      </w:r>
      <w:r>
        <w:t>Office for National Statistics (2025b) ‘Who has access to hybrid work in Great Britain?’, 11 June. Available at:</w:t>
      </w:r>
      <w:hyperlink r:id="rId45"/>
      <w:hyperlink r:id="rId46">
        <w:r>
          <w:rPr>
            <w:color w:val="1155CC"/>
            <w:u w:val="single"/>
          </w:rPr>
          <w:t>https://www.ons.gov.uk/employmentandlabourmarket/peopleinwork/employmentandemployeetypes/articles/whohasaccesstohybridworkingreatbritain/latest</w:t>
        </w:r>
      </w:hyperlink>
      <w:r w:rsidR="007E2D03">
        <w:t xml:space="preserve"> (Accessed: 19</w:t>
      </w:r>
      <w:r>
        <w:t xml:space="preserve"> August 2026).</w:t>
      </w:r>
      <w:r>
        <w:rPr>
          <w:b/>
          <w:bCs/>
        </w:rPr>
        <w:br/>
      </w:r>
      <w:r>
        <w:t xml:space="preserve">Homes England (2025) </w:t>
      </w:r>
      <w:r>
        <w:rPr>
          <w:i/>
          <w:iCs/>
        </w:rPr>
        <w:t>Homes England annual report and accounts 2024 to 2025</w:t>
      </w:r>
      <w:r>
        <w:t>. Available at:</w:t>
      </w:r>
      <w:hyperlink r:id="rId47"/>
      <w:hyperlink r:id="rId48">
        <w:r>
          <w:rPr>
            <w:color w:val="1155CC"/>
            <w:u w:val="single"/>
          </w:rPr>
          <w:t>https://www.gov.uk/government/publications/homes-england-annual-report-and-accounts-2024-and-2025/homes-england-annual-report-2024-to-2025-chairs-foreword-and-performance-report-accessible-version</w:t>
        </w:r>
      </w:hyperlink>
      <w:r w:rsidR="007E2D03">
        <w:t xml:space="preserve"> (Accessed: 19 </w:t>
      </w:r>
      <w:r>
        <w:t>August 2026).</w:t>
      </w:r>
    </w:p>
    <w:p w:rsidR="00754E7C" w:rsidRDefault="00754E7C">
      <w:pPr>
        <w:widowControl w:val="0"/>
        <w:spacing w:before="0"/>
      </w:pPr>
      <w:r>
        <w:lastRenderedPageBreak/>
        <w:t xml:space="preserve">Cooper, M. (2024). Integrating Sustainability Into Procurement: Perspectives From Supply Chain Practitioners. </w:t>
      </w:r>
      <w:hyperlink r:id="rId49">
        <w:r>
          <w:rPr>
            <w:color w:val="1155CC"/>
            <w:u w:val="single"/>
          </w:rPr>
          <w:t>https://doi.org/10.20944/preprints202407.0614.v1</w:t>
        </w:r>
      </w:hyperlink>
    </w:p>
    <w:p w:rsidR="00754E7C" w:rsidRDefault="00754E7C">
      <w:pPr>
        <w:spacing w:before="0" w:after="160"/>
      </w:pPr>
      <w:r>
        <w:t>Daglio, L., Ginelli, E. and Vignati, G., 2023. Housing design: Furniture or fixtures? Accommodating change through technological and typological innovation. Buildings, 13(7), p.1862.</w:t>
      </w:r>
      <w:hyperlink r:id="rId50">
        <w:r>
          <w:rPr>
            <w:color w:val="1155CC"/>
            <w:u w:val="single"/>
          </w:rPr>
          <w:t>https://www.mdpi.com/2075-5309/13/7/1862</w:t>
        </w:r>
      </w:hyperlink>
    </w:p>
    <w:p w:rsidR="00754E7C" w:rsidRDefault="00754E7C">
      <w:r>
        <w:t xml:space="preserve">‌Dalton, L. (2025). </w:t>
      </w:r>
      <w:r>
        <w:rPr>
          <w:i/>
          <w:iCs/>
        </w:rPr>
        <w:t>Working from Home Statistics UK: The 2025 Report</w:t>
      </w:r>
      <w:r>
        <w:t xml:space="preserve">. [online] Working From Coffee Shops. Available at: </w:t>
      </w:r>
      <w:hyperlink r:id="rId51">
        <w:r>
          <w:rPr>
            <w:color w:val="1155CC"/>
            <w:u w:val="single"/>
          </w:rPr>
          <w:t>https://www.workingfromcoffeeshops.co.uk/blog/working-from-home-statistics-uk</w:t>
        </w:r>
      </w:hyperlink>
      <w:r w:rsidR="007E2D03">
        <w:t xml:space="preserve">  [Accessed </w:t>
      </w:r>
      <w:r w:rsidR="001F13E0">
        <w:t>18</w:t>
      </w:r>
      <w:r>
        <w:t xml:space="preserve"> Aug. 2026].</w:t>
      </w:r>
    </w:p>
    <w:p w:rsidR="00754E7C" w:rsidRDefault="00754E7C">
      <w:pPr>
        <w:spacing w:before="0"/>
      </w:pPr>
      <w:r>
        <w:t xml:space="preserve">Dao, T., Cooper, T. and Watkins, M. (2026). Examining the ‘consumer repair journey’ and business intervention opportunities to enhance customer experience and satisfaction. </w:t>
      </w:r>
      <w:r>
        <w:rPr>
          <w:i/>
          <w:iCs/>
        </w:rPr>
        <w:t>Circular Economy and Sustainability</w:t>
      </w:r>
      <w:r>
        <w:t xml:space="preserve">, [online] 6(2). Available at: </w:t>
      </w:r>
      <w:hyperlink r:id="rId52">
        <w:r>
          <w:rPr>
            <w:color w:val="1155CC"/>
            <w:u w:val="single"/>
          </w:rPr>
          <w:t>https://link.springer.com/article/10.1007/s43615-026-00773-x</w:t>
        </w:r>
      </w:hyperlink>
      <w:r>
        <w:t>  [Accessed 21 Aug. 2026].</w:t>
      </w:r>
    </w:p>
    <w:p w:rsidR="00754E7C" w:rsidRDefault="00754E7C">
      <w:pPr>
        <w:spacing w:before="0"/>
      </w:pPr>
      <w:r>
        <w:t xml:space="preserve">Das, A.K., Hossain, M.F., Khan, B.U., Rahman, M.M., Asad, Z. and Akter, M. (2025). Circular economy: A sustainable model for waste reduction and wealth creation in the textile supply chain. </w:t>
      </w:r>
      <w:r>
        <w:rPr>
          <w:i/>
          <w:iCs/>
        </w:rPr>
        <w:t>SPE Polymers</w:t>
      </w:r>
      <w:r>
        <w:t xml:space="preserve">, [online] 6(1). Available at: </w:t>
      </w:r>
      <w:hyperlink r:id="rId53">
        <w:r>
          <w:rPr>
            <w:color w:val="1155CC"/>
            <w:u w:val="single"/>
          </w:rPr>
          <w:t>https://4spepublications.onlinelibrary.wiley.com/doi/10.1002/pls2.10171</w:t>
        </w:r>
      </w:hyperlink>
      <w:r>
        <w:t>  [A</w:t>
      </w:r>
      <w:r w:rsidR="007E2D03">
        <w:t xml:space="preserve">ccessed 22 </w:t>
      </w:r>
      <w:r>
        <w:t>Aug. 2026].</w:t>
      </w:r>
    </w:p>
    <w:p w:rsidR="00754E7C" w:rsidRDefault="00754E7C">
      <w:pPr>
        <w:spacing w:before="0"/>
      </w:pPr>
      <w:r>
        <w:t xml:space="preserve">Dauerer, A. (2025). A systematic literature review of performance measurement systems and the integration of ESG factors. </w:t>
      </w:r>
      <w:r>
        <w:rPr>
          <w:i/>
          <w:iCs/>
        </w:rPr>
        <w:t>Environmental and Sustainability Indicators</w:t>
      </w:r>
      <w:r>
        <w:t xml:space="preserve">, [online] 27, p.100746. </w:t>
      </w:r>
      <w:hyperlink r:id="rId54">
        <w:r>
          <w:rPr>
            <w:color w:val="1155CC"/>
            <w:u w:val="single"/>
          </w:rPr>
          <w:t>https://doi.org/10.1016/j.indic.2025.100746</w:t>
        </w:r>
      </w:hyperlink>
    </w:p>
    <w:p w:rsidR="00754E7C" w:rsidRDefault="00754E7C">
      <w:pPr>
        <w:spacing w:before="0"/>
      </w:pPr>
      <w:r>
        <w:t xml:space="preserve">Davis, T. and Charter, M. (2025). Creative Industries and the circular economy: A reality check across global policy, practice, and research. </w:t>
      </w:r>
      <w:r>
        <w:rPr>
          <w:i/>
          <w:iCs/>
        </w:rPr>
        <w:t>Sustainability</w:t>
      </w:r>
      <w:r>
        <w:t xml:space="preserve">, [online] 17(23), p.10460. Available at: </w:t>
      </w:r>
      <w:hyperlink r:id="rId55">
        <w:r>
          <w:rPr>
            <w:color w:val="1155CC"/>
            <w:u w:val="single"/>
          </w:rPr>
          <w:t>https://www.mdpi.com/2071-1050/17/23/10460</w:t>
        </w:r>
      </w:hyperlink>
      <w:r>
        <w:t>  [Accessed 21 Aug. 2026].</w:t>
      </w:r>
    </w:p>
    <w:p w:rsidR="00754E7C" w:rsidRDefault="00754E7C">
      <w:pPr>
        <w:widowControl w:val="0"/>
        <w:spacing w:before="0"/>
      </w:pPr>
      <w:r>
        <w:t xml:space="preserve">Delta-esourcing.com. (2026). </w:t>
      </w:r>
      <w:r>
        <w:rPr>
          <w:i/>
          <w:iCs/>
        </w:rPr>
        <w:t>View Notice | NEUPC Procurement Portal</w:t>
      </w:r>
      <w:r>
        <w:t>. [online] Available at: https://neupc.delta-</w:t>
      </w:r>
      <w:r>
        <w:lastRenderedPageBreak/>
        <w:t>esourcing.com/commonNoticeSearch/viewNotice.html?display</w:t>
      </w:r>
      <w:r w:rsidR="00BF0C4B">
        <w:t>NoticeId=1043636322 [Accessed 30</w:t>
      </w:r>
      <w:r>
        <w:t xml:space="preserve"> Aug. 2026].</w:t>
      </w:r>
    </w:p>
    <w:p w:rsidR="00754E7C" w:rsidRDefault="00754E7C">
      <w:pPr>
        <w:widowControl w:val="0"/>
        <w:spacing w:before="0"/>
      </w:pPr>
      <w:r>
        <w:t xml:space="preserve">Department for Environment, Food &amp; Rural Affairs (2022). </w:t>
      </w:r>
      <w:r>
        <w:rPr>
          <w:i/>
          <w:iCs/>
        </w:rPr>
        <w:t>UK statistics on waste</w:t>
      </w:r>
      <w:r>
        <w:t>. [online] GOV.UK. Available at: https://www.gov.uk/government/statistics/uk-waste-data/uk-</w:t>
      </w:r>
      <w:r w:rsidR="00BF0C4B">
        <w:t>statistics-on-waste [Accessed 30</w:t>
      </w:r>
      <w:r>
        <w:t xml:space="preserve"> Aug. 2026].</w:t>
      </w:r>
    </w:p>
    <w:p w:rsidR="00754E7C" w:rsidRDefault="00754E7C">
      <w:pPr>
        <w:widowControl w:val="0"/>
        <w:spacing w:before="0" w:after="0"/>
      </w:pPr>
      <w:r>
        <w:t xml:space="preserve">Department for Environment, Food &amp; Rural Affairs (2025) </w:t>
      </w:r>
      <w:r>
        <w:rPr>
          <w:i/>
          <w:iCs/>
        </w:rPr>
        <w:t>UK statistics on waste</w:t>
      </w:r>
      <w:r>
        <w:t>. GOV.UK. Available at:</w:t>
      </w:r>
      <w:hyperlink r:id="rId56"/>
      <w:hyperlink r:id="rId57">
        <w:r>
          <w:rPr>
            <w:color w:val="1155CC"/>
            <w:u w:val="single"/>
          </w:rPr>
          <w:t>https://www.gov.uk/government/statistics/uk-waste-data/uk-statistics-on-waste</w:t>
        </w:r>
      </w:hyperlink>
      <w:r>
        <w:t xml:space="preserve"> </w:t>
      </w:r>
    </w:p>
    <w:p w:rsidR="00754E7C" w:rsidRDefault="00754E7C">
      <w:pPr>
        <w:widowControl w:val="0"/>
      </w:pPr>
      <w:r>
        <w:t xml:space="preserve">Department for Environment, Food and Rural Affairs (2023) </w:t>
      </w:r>
      <w:r>
        <w:rPr>
          <w:i/>
          <w:iCs/>
        </w:rPr>
        <w:t>Maximising resources, minimising waste: a circular economy approach to resource and waste management in England</w:t>
      </w:r>
      <w:r>
        <w:t xml:space="preserve">. Available at: </w:t>
      </w:r>
      <w:hyperlink r:id="rId58">
        <w:r>
          <w:rPr>
            <w:color w:val="1155CC"/>
            <w:u w:val="single"/>
          </w:rPr>
          <w:t>https://www.gov.uk/government/publications/waste-prevention-programme-for-england-maximising-resources-minimising-waste/the-waste-prevention-programme-for-england-maximising-resources-minimising-waste</w:t>
        </w:r>
      </w:hyperlink>
      <w:r w:rsidR="00BF3748">
        <w:t xml:space="preserve"> (Accessed: 17</w:t>
      </w:r>
      <w:r>
        <w:t xml:space="preserve"> August 2026).</w:t>
      </w:r>
    </w:p>
    <w:p w:rsidR="00754E7C" w:rsidRDefault="00754E7C">
      <w:pPr>
        <w:spacing w:before="0"/>
      </w:pPr>
      <w:r>
        <w:t xml:space="preserve">Elarabi, H.A.O. and Khalifa, W. (2025). Impact of sustainable finance on business financial performance: Insight from London Stock Exchange firms. </w:t>
      </w:r>
      <w:r>
        <w:rPr>
          <w:i/>
          <w:iCs/>
        </w:rPr>
        <w:t>Sustainability</w:t>
      </w:r>
      <w:r>
        <w:t xml:space="preserve">, [online] 17(11), p.4898. Available at: </w:t>
      </w:r>
      <w:hyperlink r:id="rId59">
        <w:r>
          <w:rPr>
            <w:color w:val="1155CC"/>
            <w:u w:val="single"/>
          </w:rPr>
          <w:t>https://www.mdpi.com/2071-1050/17/11/4898</w:t>
        </w:r>
      </w:hyperlink>
      <w:r>
        <w:t>  [Accessed 21 Aug. 2026].</w:t>
      </w:r>
    </w:p>
    <w:p w:rsidR="00754E7C" w:rsidRDefault="00754E7C">
      <w:pPr>
        <w:spacing w:before="0"/>
      </w:pPr>
      <w:r>
        <w:t xml:space="preserve">Eslamipoor, R. (2026). Digital Technology’s role in circular waste management: A systematic review. </w:t>
      </w:r>
      <w:r>
        <w:rPr>
          <w:i/>
          <w:iCs/>
        </w:rPr>
        <w:t>Business Strategy and the Environment</w:t>
      </w:r>
      <w:r>
        <w:t xml:space="preserve">. [online] Available at: </w:t>
      </w:r>
      <w:hyperlink r:id="rId60">
        <w:r>
          <w:rPr>
            <w:color w:val="1155CC"/>
            <w:u w:val="single"/>
          </w:rPr>
          <w:t>https://onlinelibrary.wiley.com/doi/full/10.1002/bse.70943</w:t>
        </w:r>
      </w:hyperlink>
      <w:r w:rsidR="00BF3748">
        <w:t xml:space="preserve">  [Accessed 31</w:t>
      </w:r>
      <w:r>
        <w:t xml:space="preserve"> Aug. 2026].</w:t>
      </w:r>
    </w:p>
    <w:p w:rsidR="00754E7C" w:rsidRDefault="00754E7C">
      <w:pPr>
        <w:spacing w:before="0"/>
      </w:pPr>
      <w:r>
        <w:t xml:space="preserve">European Commission (2026). </w:t>
      </w:r>
      <w:r>
        <w:rPr>
          <w:i/>
          <w:iCs/>
        </w:rPr>
        <w:t>Documents download module</w:t>
      </w:r>
      <w:r>
        <w:t xml:space="preserve">. [online] Europa.eu. Available at: </w:t>
      </w:r>
      <w:hyperlink r:id="rId61">
        <w:r>
          <w:rPr>
            <w:color w:val="1155CC"/>
            <w:u w:val="single"/>
          </w:rPr>
          <w:t>https://ec.europa.eu/research/participants/documents/downloadPublic?documentIds=080166e51297820f&amp;appId=PPGMS</w:t>
        </w:r>
      </w:hyperlink>
      <w:r w:rsidR="00BF3748">
        <w:t xml:space="preserve">  [Accessed 31</w:t>
      </w:r>
      <w:r>
        <w:t xml:space="preserve"> Aug. 2026].</w:t>
      </w:r>
    </w:p>
    <w:p w:rsidR="00754E7C" w:rsidRDefault="00754E7C">
      <w:pPr>
        <w:widowControl w:val="0"/>
      </w:pPr>
      <w:r>
        <w:t xml:space="preserve">Find a Tender (2025) </w:t>
      </w:r>
      <w:r>
        <w:rPr>
          <w:i/>
          <w:iCs/>
        </w:rPr>
        <w:t>Sustainable Furniture Solutions</w:t>
      </w:r>
      <w:r>
        <w:t>. Available at:</w:t>
      </w:r>
      <w:hyperlink r:id="rId62"/>
      <w:hyperlink r:id="rId63">
        <w:r>
          <w:rPr>
            <w:color w:val="1155CC"/>
            <w:u w:val="single"/>
          </w:rPr>
          <w:t>https://www.find-tender.service.gov.uk/Notice/051565-2025</w:t>
        </w:r>
      </w:hyperlink>
      <w:r>
        <w:t>(Accessed: 18 August 2026).</w:t>
      </w:r>
    </w:p>
    <w:p w:rsidR="00754E7C" w:rsidRDefault="00754E7C">
      <w:pPr>
        <w:widowControl w:val="0"/>
        <w:spacing w:before="0"/>
      </w:pPr>
      <w:r>
        <w:lastRenderedPageBreak/>
        <w:t xml:space="preserve">Franzè, C., Paolucci, E. and Pessot, E. (2024). Sustained value creation driven by digital connectivity: A multiple case study in the mechanical components industry. </w:t>
      </w:r>
      <w:r>
        <w:rPr>
          <w:i/>
          <w:iCs/>
        </w:rPr>
        <w:t>Technovation</w:t>
      </w:r>
      <w:r>
        <w:t xml:space="preserve">, [online] 129, p.102918. </w:t>
      </w:r>
      <w:hyperlink r:id="rId64">
        <w:r>
          <w:rPr>
            <w:color w:val="1155CC"/>
            <w:u w:val="single"/>
          </w:rPr>
          <w:t>https://www.sciencedirect.com/journal/technovation/vol/129/suppl/C</w:t>
        </w:r>
      </w:hyperlink>
    </w:p>
    <w:p w:rsidR="00754E7C" w:rsidRDefault="00754E7C">
      <w:pPr>
        <w:spacing w:before="0"/>
      </w:pPr>
      <w:r>
        <w:t xml:space="preserve">Fredriksson, A., Eriksson, L., Janné, M. and Lundberg, K. (2026). Breaking barriers to circularity: Understanding multi-actor misalignment in planning practices. </w:t>
      </w:r>
      <w:r>
        <w:rPr>
          <w:i/>
          <w:iCs/>
        </w:rPr>
        <w:t>Circular Economy and Sustainability</w:t>
      </w:r>
      <w:r>
        <w:t xml:space="preserve">, [online] 6(2). Available at: </w:t>
      </w:r>
      <w:hyperlink r:id="rId65">
        <w:r>
          <w:rPr>
            <w:color w:val="1155CC"/>
            <w:u w:val="single"/>
          </w:rPr>
          <w:t>https://link.springer.com/article/10.1007/s43615-026-00775-9</w:t>
        </w:r>
      </w:hyperlink>
      <w:r w:rsidR="00BF3748">
        <w:t xml:space="preserve">  [Accessed 3 Sep</w:t>
      </w:r>
      <w:r>
        <w:t>. 2026].</w:t>
      </w:r>
    </w:p>
    <w:p w:rsidR="00754E7C" w:rsidRDefault="00754E7C">
      <w:pPr>
        <w:spacing w:before="0"/>
      </w:pPr>
      <w:r>
        <w:t xml:space="preserve">Fu, Q., Nicholson, G.L. and Easton, J.M. (2024). Understanding data quality in a data-driven industry context: Insights from the fundamentals. </w:t>
      </w:r>
      <w:r>
        <w:rPr>
          <w:i/>
          <w:iCs/>
        </w:rPr>
        <w:t>Journal of Industrial Information Integration</w:t>
      </w:r>
      <w:r>
        <w:t xml:space="preserve">, [online] 42, p.100729. </w:t>
      </w:r>
      <w:hyperlink r:id="rId66">
        <w:r>
          <w:rPr>
            <w:color w:val="1155CC"/>
            <w:u w:val="single"/>
          </w:rPr>
          <w:t>https://www.sciencedirect.com/journal/journal-of-industrial-information-integration/vol/42/suppl/C</w:t>
        </w:r>
      </w:hyperlink>
    </w:p>
    <w:p w:rsidR="00754E7C" w:rsidRDefault="00754E7C">
      <w:pPr>
        <w:spacing w:before="0"/>
      </w:pPr>
      <w:r>
        <w:t xml:space="preserve">Fu, Y., Li, Y. and Li, X. (2023). Coexisting or coworking? The reconfigured office spaces in two emerging global cities. </w:t>
      </w:r>
      <w:r>
        <w:rPr>
          <w:i/>
          <w:iCs/>
        </w:rPr>
        <w:t>Journal of Urban Affairs</w:t>
      </w:r>
      <w:r>
        <w:t xml:space="preserve">, [online] pp.1–18. Available at: </w:t>
      </w:r>
      <w:hyperlink r:id="rId67">
        <w:r>
          <w:rPr>
            <w:color w:val="1155CC"/>
            <w:u w:val="single"/>
          </w:rPr>
          <w:t>https://www.researchgate.net/publication/373599608_Coexisting_or_coworking_The_reconfigured_office_spaces_in_two_emerging_global_citie</w:t>
        </w:r>
      </w:hyperlink>
      <w:r w:rsidR="00BF3748">
        <w:t xml:space="preserve"> s [Accessed 20</w:t>
      </w:r>
      <w:r>
        <w:t xml:space="preserve"> Aug. 2026].</w:t>
      </w:r>
    </w:p>
    <w:p w:rsidR="00754E7C" w:rsidRDefault="00754E7C">
      <w:pPr>
        <w:spacing w:before="0"/>
      </w:pPr>
      <w:r>
        <w:t xml:space="preserve">Global Trash Solutions (2026). </w:t>
      </w:r>
      <w:r>
        <w:rPr>
          <w:i/>
          <w:iCs/>
        </w:rPr>
        <w:t>Page restricted</w:t>
      </w:r>
      <w:r>
        <w:t xml:space="preserve">. [online] Globaltrashsolutions.com. Available at: </w:t>
      </w:r>
      <w:hyperlink r:id="rId68">
        <w:r>
          <w:rPr>
            <w:color w:val="1155CC"/>
            <w:u w:val="single"/>
          </w:rPr>
          <w:t>https://globaltrashsolutions.com/blog/waste-reduction-strategies-for-retail-chains</w:t>
        </w:r>
      </w:hyperlink>
      <w:r w:rsidR="00BF3748">
        <w:t xml:space="preserve">  [Accessed 4 Sep</w:t>
      </w:r>
      <w:r>
        <w:t>. 2026].</w:t>
      </w:r>
    </w:p>
    <w:p w:rsidR="00754E7C" w:rsidRDefault="00754E7C">
      <w:pPr>
        <w:spacing w:before="0"/>
      </w:pPr>
      <w:r>
        <w:t xml:space="preserve">Gorecka, I. (2025). </w:t>
      </w:r>
      <w:r>
        <w:rPr>
          <w:i/>
          <w:iCs/>
        </w:rPr>
        <w:t>Beyond recycling: The role of office furniture in a truly sustainable economy</w:t>
      </w:r>
      <w:r>
        <w:t xml:space="preserve">. [online] Coggin-sos.co.uk. Available at: </w:t>
      </w:r>
      <w:hyperlink r:id="rId69">
        <w:r>
          <w:rPr>
            <w:color w:val="1155CC"/>
            <w:u w:val="single"/>
          </w:rPr>
          <w:t>https://www.coggin-sos.co.uk/beyond-recycling-the-role-of-office-furniture-in-a-truly-sustainable-econom</w:t>
        </w:r>
      </w:hyperlink>
      <w:r w:rsidR="00BF3748">
        <w:t xml:space="preserve"> y [Accessed 20</w:t>
      </w:r>
      <w:r>
        <w:t xml:space="preserve"> Aug. 2026].</w:t>
      </w:r>
    </w:p>
    <w:p w:rsidR="00754E7C" w:rsidRDefault="00754E7C">
      <w:pPr>
        <w:spacing w:before="0"/>
      </w:pPr>
      <w:r>
        <w:t xml:space="preserve">Government of UK (2023). </w:t>
      </w:r>
      <w:r>
        <w:rPr>
          <w:i/>
          <w:iCs/>
        </w:rPr>
        <w:t>Dispose of business or commercial waste</w:t>
      </w:r>
      <w:r>
        <w:t xml:space="preserve">. [online] GOV.UK. Available at: </w:t>
      </w:r>
      <w:hyperlink r:id="rId70">
        <w:r>
          <w:rPr>
            <w:color w:val="1155CC"/>
            <w:u w:val="single"/>
          </w:rPr>
          <w:t>https://www.gov.uk/dispose-business-commercial-waste</w:t>
        </w:r>
      </w:hyperlink>
      <w:r w:rsidR="00455477">
        <w:t xml:space="preserve">  [Accessed 4 Sep</w:t>
      </w:r>
      <w:r>
        <w:t>. 2026].</w:t>
      </w:r>
    </w:p>
    <w:p w:rsidR="00754E7C" w:rsidRDefault="00754E7C">
      <w:pPr>
        <w:spacing w:before="0"/>
      </w:pPr>
      <w:r>
        <w:lastRenderedPageBreak/>
        <w:t xml:space="preserve">Government of UK (2024a). </w:t>
      </w:r>
      <w:r>
        <w:rPr>
          <w:i/>
          <w:iCs/>
        </w:rPr>
        <w:t>Estimates of Residual Waste and Municipal Residual Waste in England</w:t>
      </w:r>
      <w:r>
        <w:t xml:space="preserve">. [online] GOV.UK. Available at: </w:t>
      </w:r>
      <w:hyperlink r:id="rId71">
        <w:r>
          <w:rPr>
            <w:color w:val="1155CC"/>
            <w:u w:val="single"/>
          </w:rPr>
          <w:t>https://www.gov.uk/government/statistics/estimates-of-residual-waste-and-municipal-residual-waste-in-england/estimates-of-residual-waste-excluding-major-mineral-wastes-and-municipal-residual-waste-in-england</w:t>
        </w:r>
      </w:hyperlink>
      <w:r w:rsidR="00455477">
        <w:t xml:space="preserve">  [Accessed 31</w:t>
      </w:r>
      <w:r>
        <w:t xml:space="preserve"> Aug. 2026].</w:t>
      </w:r>
    </w:p>
    <w:p w:rsidR="00754E7C" w:rsidRDefault="00754E7C">
      <w:pPr>
        <w:spacing w:before="0"/>
      </w:pPr>
      <w:r>
        <w:t xml:space="preserve">Government of UK (2024b). </w:t>
      </w:r>
      <w:r>
        <w:rPr>
          <w:i/>
          <w:iCs/>
        </w:rPr>
        <w:t>Supplementary information: Small and medium-sized enterprises definition (HTML)</w:t>
      </w:r>
      <w:r>
        <w:t xml:space="preserve">. [online] GOV.UK. Available at: </w:t>
      </w:r>
      <w:hyperlink r:id="rId72">
        <w:r>
          <w:rPr>
            <w:color w:val="1155CC"/>
            <w:u w:val="single"/>
          </w:rPr>
          <w:t>https://www.gov.uk/government/publications/procurement-act-2023-short-guides/supplementary-information-small-and-medium-sized-enterprises-definition-html</w:t>
        </w:r>
      </w:hyperlink>
      <w:r w:rsidR="00455477">
        <w:t xml:space="preserve">  [Accessed 3 Sep</w:t>
      </w:r>
      <w:r>
        <w:t>. 2026].</w:t>
      </w:r>
    </w:p>
    <w:p w:rsidR="00754E7C" w:rsidRDefault="00754E7C">
      <w:pPr>
        <w:spacing w:before="0"/>
      </w:pPr>
      <w:r>
        <w:t xml:space="preserve">Government of UK (2024c). </w:t>
      </w:r>
      <w:r>
        <w:rPr>
          <w:i/>
          <w:iCs/>
        </w:rPr>
        <w:t>UK Statistics on Waste</w:t>
      </w:r>
      <w:r>
        <w:t xml:space="preserve">. [online] GOV.UK. Available at: </w:t>
      </w:r>
      <w:hyperlink r:id="rId73">
        <w:r>
          <w:rPr>
            <w:color w:val="1155CC"/>
            <w:u w:val="single"/>
          </w:rPr>
          <w:t>https://www.gov.uk/government/statistics/uk-waste-data/uk-statistics-on-waste</w:t>
        </w:r>
      </w:hyperlink>
      <w:r w:rsidR="00FE74EC">
        <w:t xml:space="preserve">  [Accessed 31</w:t>
      </w:r>
      <w:r>
        <w:t xml:space="preserve"> Aug. 2026].</w:t>
      </w:r>
    </w:p>
    <w:p w:rsidR="00754E7C" w:rsidRDefault="00754E7C">
      <w:pPr>
        <w:spacing w:before="0"/>
      </w:pPr>
      <w:r>
        <w:t xml:space="preserve">Government of UK (2025). </w:t>
      </w:r>
      <w:r>
        <w:rPr>
          <w:i/>
          <w:iCs/>
        </w:rPr>
        <w:t>UK business; activity, size and location</w:t>
      </w:r>
      <w:r>
        <w:t xml:space="preserve">. [online] Ons.gov.uk. Available at: </w:t>
      </w:r>
      <w:hyperlink r:id="rId74">
        <w:r>
          <w:rPr>
            <w:color w:val="1155CC"/>
            <w:u w:val="single"/>
          </w:rPr>
          <w:t>https://www.ons.gov.uk/businessindustryandtrade/business/activitysizeandlocation/bulletins/ukbusinessactivitysizeandlocation/2025</w:t>
        </w:r>
      </w:hyperlink>
      <w:r>
        <w:t>  [Accessed 21 Aug. 2026].</w:t>
      </w:r>
    </w:p>
    <w:p w:rsidR="00754E7C" w:rsidRDefault="00754E7C">
      <w:pPr>
        <w:spacing w:before="0"/>
      </w:pPr>
      <w:r>
        <w:t xml:space="preserve">Government of UK (2026a). </w:t>
      </w:r>
      <w:r>
        <w:rPr>
          <w:i/>
          <w:iCs/>
        </w:rPr>
        <w:t>Backing your business: Our plan for small and medium sized businesses (web version)</w:t>
      </w:r>
      <w:r>
        <w:t xml:space="preserve">. [online] GOV.UK. Available at: </w:t>
      </w:r>
      <w:hyperlink r:id="rId75">
        <w:r>
          <w:rPr>
            <w:color w:val="1155CC"/>
            <w:u w:val="single"/>
          </w:rPr>
          <w:t>https://www.gov.uk/government/publications/backing-your-business-our-plan-for-small-and-medium-sized-businesses/backing-your-business-our-plan-for-small-and-medium-sized-businesses-web-version</w:t>
        </w:r>
      </w:hyperlink>
      <w:r w:rsidR="002E4BCF">
        <w:t xml:space="preserve">  [Accessed 3 Sep</w:t>
      </w:r>
      <w:r>
        <w:t>. 2026].</w:t>
      </w:r>
    </w:p>
    <w:p w:rsidR="00754E7C" w:rsidRDefault="00754E7C">
      <w:pPr>
        <w:spacing w:before="0"/>
      </w:pPr>
      <w:r>
        <w:t xml:space="preserve">Government of UK (2026b). </w:t>
      </w:r>
      <w:r>
        <w:rPr>
          <w:i/>
          <w:iCs/>
        </w:rPr>
        <w:t>National Living Wage increases to £12.71 per hour</w:t>
      </w:r>
      <w:r>
        <w:t xml:space="preserve">. [online] GOV.UK. Available at: </w:t>
      </w:r>
      <w:hyperlink r:id="rId76">
        <w:r>
          <w:rPr>
            <w:color w:val="1155CC"/>
            <w:u w:val="single"/>
          </w:rPr>
          <w:t>https://www.gov.uk/government/news/national-living-wage-increases-to-1271-per-hour</w:t>
        </w:r>
      </w:hyperlink>
      <w:r w:rsidR="002E4BCF">
        <w:t xml:space="preserve">  [Accessed 3 Sep</w:t>
      </w:r>
      <w:r>
        <w:t>. 2026].</w:t>
      </w:r>
    </w:p>
    <w:p w:rsidR="00754E7C" w:rsidRDefault="00754E7C">
      <w:pPr>
        <w:spacing w:before="0"/>
      </w:pPr>
      <w:r>
        <w:lastRenderedPageBreak/>
        <w:t xml:space="preserve">Grand View Research (2024). </w:t>
      </w:r>
      <w:r>
        <w:rPr>
          <w:i/>
          <w:iCs/>
        </w:rPr>
        <w:t>UK Eco-friendly Furniture Market Size &amp; Outlook, 2030</w:t>
      </w:r>
      <w:r>
        <w:t xml:space="preserve">. [online] </w:t>
      </w:r>
      <w:r>
        <w:rPr>
          <w:i/>
          <w:iCs/>
        </w:rPr>
        <w:t>Grandviewresearch.com</w:t>
      </w:r>
      <w:r>
        <w:t xml:space="preserve">. Available at: </w:t>
      </w:r>
      <w:hyperlink r:id="rId77">
        <w:r>
          <w:rPr>
            <w:color w:val="1155CC"/>
            <w:u w:val="single"/>
          </w:rPr>
          <w:t>https://www.grandviewresearch.com/horizon/outlook/eco-friendly-furniture-market/uk</w:t>
        </w:r>
      </w:hyperlink>
      <w:r>
        <w:t xml:space="preserve">. </w:t>
      </w:r>
    </w:p>
    <w:p w:rsidR="00754E7C" w:rsidRDefault="00754E7C">
      <w:pPr>
        <w:spacing w:before="0"/>
      </w:pPr>
      <w:r>
        <w:t xml:space="preserve">Green Space Innovations (2025). </w:t>
      </w:r>
      <w:r>
        <w:rPr>
          <w:i/>
          <w:iCs/>
        </w:rPr>
        <w:t>Blocked</w:t>
      </w:r>
      <w:r>
        <w:t xml:space="preserve">. [online] Greenspaceinnovations.co.uk. Available at: </w:t>
      </w:r>
      <w:hyperlink r:id="rId78">
        <w:r>
          <w:rPr>
            <w:color w:val="1155CC"/>
            <w:u w:val="single"/>
          </w:rPr>
          <w:t>https://greenspaceinnovations.co.uk/uk-recycling-rate-rises-to-44-6-as-waste-to-landfill-falls/</w:t>
        </w:r>
      </w:hyperlink>
      <w:r w:rsidR="002E4BCF">
        <w:t xml:space="preserve"> [Accessed 31</w:t>
      </w:r>
      <w:r>
        <w:t xml:space="preserve"> Aug. 2026].</w:t>
      </w:r>
    </w:p>
    <w:p w:rsidR="00754E7C" w:rsidRDefault="00754E7C">
      <w:pPr>
        <w:spacing w:before="0"/>
      </w:pPr>
      <w:r>
        <w:t xml:space="preserve">Grundon (2026). </w:t>
      </w:r>
      <w:r>
        <w:rPr>
          <w:i/>
          <w:iCs/>
        </w:rPr>
        <w:t>UK Waste Disposal &amp; Waste Management Services</w:t>
      </w:r>
      <w:r>
        <w:t xml:space="preserve">. [online] Grundon. Available at: </w:t>
      </w:r>
      <w:hyperlink r:id="rId79">
        <w:r>
          <w:rPr>
            <w:color w:val="1155CC"/>
            <w:u w:val="single"/>
          </w:rPr>
          <w:t>https://www.grundon.com/</w:t>
        </w:r>
      </w:hyperlink>
      <w:r w:rsidR="002E4BCF">
        <w:t xml:space="preserve">  [Accessed 2 Sep</w:t>
      </w:r>
      <w:r>
        <w:t>. 2026].</w:t>
      </w:r>
    </w:p>
    <w:p w:rsidR="00754E7C" w:rsidRDefault="00754E7C">
      <w:pPr>
        <w:spacing w:before="0"/>
      </w:pPr>
      <w:r>
        <w:t xml:space="preserve">Guerreiro, R. and Amaral, J.V. (2018). Cost-based price and value-based price: Are they conflicting approaches? </w:t>
      </w:r>
      <w:r>
        <w:rPr>
          <w:i/>
          <w:iCs/>
        </w:rPr>
        <w:t>Journal of Business &amp; Industrial Marketing</w:t>
      </w:r>
      <w:r>
        <w:t xml:space="preserve">, [online] 33(3), pp.00–00. Available at: </w:t>
      </w:r>
      <w:hyperlink r:id="rId80">
        <w:r>
          <w:rPr>
            <w:color w:val="1155CC"/>
            <w:u w:val="single"/>
          </w:rPr>
          <w:t>https://www.researchgate.net/publication/323082261_Cost-based_price_and_value-based_price_are_they_conflicting_approaches</w:t>
        </w:r>
      </w:hyperlink>
      <w:r w:rsidR="002E4BCF">
        <w:t xml:space="preserve">  [Accessed 2 Sep</w:t>
      </w:r>
      <w:r>
        <w:t>. 2026].</w:t>
      </w:r>
    </w:p>
    <w:p w:rsidR="00754E7C" w:rsidRDefault="00754E7C">
      <w:pPr>
        <w:spacing w:before="0" w:after="160"/>
      </w:pPr>
      <w:r>
        <w:t>Halat, K., Childe, S., Golding, N. and Summerscales, J., 2026. Scope 3 Carbon Emissions Assessment for Manufacturing SMEs. Corporate Social Responsibility and Environmental Management.</w:t>
      </w:r>
      <w:hyperlink r:id="rId81">
        <w:r>
          <w:rPr>
            <w:color w:val="1155CC"/>
            <w:u w:val="single"/>
          </w:rPr>
          <w:t>https://onlinelibrary.wiley.com/doi/pdf/10.1002/csr.70489</w:t>
        </w:r>
      </w:hyperlink>
    </w:p>
    <w:p w:rsidR="00754E7C" w:rsidRDefault="00754E7C">
      <w:pPr>
        <w:widowControl w:val="0"/>
      </w:pPr>
      <w:r>
        <w:t xml:space="preserve">‌Handoyo, S., Suharman, H., Ghani, E.K. and Soedarsono, S. (2023). A business strategy, operational efficiency, ownership structure, and manufacturing performance: The moderating role of market uncertainty and competition intensity and its implication on open innovation. </w:t>
      </w:r>
      <w:r>
        <w:rPr>
          <w:i/>
          <w:iCs/>
        </w:rPr>
        <w:t>Journal of Open Innovation: Technology, Market, and Complexity</w:t>
      </w:r>
      <w:r>
        <w:t xml:space="preserve">, [online] 9(2), p.100039. </w:t>
      </w:r>
      <w:hyperlink r:id="rId82">
        <w:r>
          <w:rPr>
            <w:color w:val="1155CC"/>
            <w:u w:val="single"/>
          </w:rPr>
          <w:t>https://doi.org/10.1016/j.joitmc.2023.100039</w:t>
        </w:r>
      </w:hyperlink>
    </w:p>
    <w:p w:rsidR="00754E7C" w:rsidRDefault="00754E7C">
      <w:pPr>
        <w:widowControl w:val="0"/>
        <w:spacing w:before="0"/>
      </w:pPr>
      <w:r>
        <w:t xml:space="preserve">Helo, P. and Thai, V.V. (2024). Logistics 4.0 – digital transformation with smart connected tracking and tracing devices. </w:t>
      </w:r>
      <w:r>
        <w:rPr>
          <w:i/>
          <w:iCs/>
        </w:rPr>
        <w:t>International Journal of Production Economics</w:t>
      </w:r>
      <w:r>
        <w:t xml:space="preserve">, [online] 275, p.109336. </w:t>
      </w:r>
      <w:hyperlink r:id="rId83">
        <w:r>
          <w:rPr>
            <w:color w:val="1155CC"/>
            <w:u w:val="single"/>
          </w:rPr>
          <w:t>https://www.sciencedirect.com/journal/international-journal-of-production-economics/vol/275/suppl/C</w:t>
        </w:r>
      </w:hyperlink>
    </w:p>
    <w:p w:rsidR="00754E7C" w:rsidRDefault="00754E7C">
      <w:pPr>
        <w:spacing w:before="0" w:after="160"/>
      </w:pPr>
      <w:r>
        <w:t xml:space="preserve">Hidalgo-Crespo, J., Riel, A., Duberg, J.V., Bunodiere, A. and Golinska-Dawson, P., 2024. An exploratory study for product-as-a-service (PaaS) offers development for </w:t>
      </w:r>
      <w:r>
        <w:lastRenderedPageBreak/>
        <w:t>electrical and electronic equipment. Procedia CIRP, 122, pp.521-526.</w:t>
      </w:r>
      <w:hyperlink r:id="rId84">
        <w:r>
          <w:rPr>
            <w:color w:val="1155CC"/>
            <w:u w:val="single"/>
          </w:rPr>
          <w:t>https://www.sciencedirect.com/science/article/pii/S2212827124000933/pdf?md5=eef925a01737505493cc025e4f44a238&amp;pid=1-s2.0-S2212827124000933-main.pdf</w:t>
        </w:r>
      </w:hyperlink>
    </w:p>
    <w:p w:rsidR="00754E7C" w:rsidRDefault="00754E7C">
      <w:pPr>
        <w:spacing w:before="0"/>
      </w:pPr>
      <w:r>
        <w:t xml:space="preserve">Hokmabadi, H., Rezvani, S.M.H.S. and de Matos, C.A. (2024). Business resilience for small and medium enterprises and startups by digital transformation and the role of marketing capabilities—A systematic review. </w:t>
      </w:r>
      <w:r>
        <w:rPr>
          <w:i/>
          <w:iCs/>
        </w:rPr>
        <w:t>Systems</w:t>
      </w:r>
      <w:r>
        <w:t xml:space="preserve">, [online] 12(6), p.220. Available at: </w:t>
      </w:r>
      <w:hyperlink r:id="rId85">
        <w:r>
          <w:rPr>
            <w:color w:val="1155CC"/>
            <w:u w:val="single"/>
          </w:rPr>
          <w:t>https://www.mdpi.com/2079-8954/12/6/220</w:t>
        </w:r>
      </w:hyperlink>
      <w:r w:rsidR="002E4BCF">
        <w:t>  [Accessed 20</w:t>
      </w:r>
      <w:r>
        <w:t xml:space="preserve"> Aug. 2026].</w:t>
      </w:r>
    </w:p>
    <w:p w:rsidR="00754E7C" w:rsidRDefault="00754E7C">
      <w:pPr>
        <w:spacing w:before="0"/>
      </w:pPr>
      <w:r>
        <w:t xml:space="preserve">Holman, D., Davis, M., Escaffi-Schwarz, M. and Ono, M. (2026). The hybrid workspace: Testing an activity-based model of hybrid workspace design. </w:t>
      </w:r>
      <w:r>
        <w:rPr>
          <w:i/>
          <w:iCs/>
        </w:rPr>
        <w:t>European Journal of Work and Organizational Psychology</w:t>
      </w:r>
      <w:r>
        <w:t xml:space="preserve">, [online] pp.1–21. Available at: </w:t>
      </w:r>
      <w:hyperlink r:id="rId86">
        <w:r>
          <w:rPr>
            <w:color w:val="1155CC"/>
            <w:u w:val="single"/>
          </w:rPr>
          <w:t>https://www.tandfonline.com/doi/full/10.1080/1359432X.2026.2648294</w:t>
        </w:r>
      </w:hyperlink>
      <w:r w:rsidR="002E4BCF">
        <w:t>  [Accessed 20</w:t>
      </w:r>
      <w:r>
        <w:t xml:space="preserve"> Aug. 2026].</w:t>
      </w:r>
    </w:p>
    <w:p w:rsidR="00754E7C" w:rsidRDefault="00754E7C">
      <w:pPr>
        <w:widowControl w:val="0"/>
      </w:pPr>
      <w:r>
        <w:t xml:space="preserve">Huis, C., Vallaster, C. and Müller, J.M. (2026) ‘The difficulties in finding value in waste: linking institutional dynamics and circular business model development’, </w:t>
      </w:r>
      <w:r>
        <w:rPr>
          <w:i/>
          <w:iCs/>
        </w:rPr>
        <w:t>Review of Managerial Science</w:t>
      </w:r>
      <w:r>
        <w:t xml:space="preserve">. </w:t>
      </w:r>
      <w:hyperlink r:id="rId87">
        <w:r>
          <w:rPr>
            <w:color w:val="1155CC"/>
            <w:u w:val="single"/>
          </w:rPr>
          <w:t>https://doi.org/10.1007/s11846-026-00971-9?urlappend=%3Futm_source%3Dresearchgate.net%26utm_medium%3Darticle</w:t>
        </w:r>
      </w:hyperlink>
    </w:p>
    <w:p w:rsidR="00754E7C" w:rsidRDefault="00754E7C">
      <w:pPr>
        <w:widowControl w:val="0"/>
        <w:spacing w:before="0"/>
      </w:pPr>
      <w:r>
        <w:t xml:space="preserve">Ignatius, T., Nwabekee, S., Ebele, E. and Abdul-Azeez, O.Y. (2024). The impact of customer relationship management (CRM) tools on sales growth and customer loyalty in emerging markets. </w:t>
      </w:r>
      <w:r>
        <w:rPr>
          <w:i/>
          <w:iCs/>
        </w:rPr>
        <w:t>International Journal of Management &amp; Entrepreneurship Research</w:t>
      </w:r>
      <w:r>
        <w:t xml:space="preserve">, [online] 6(9), pp.2964–2988. </w:t>
      </w:r>
      <w:hyperlink r:id="rId88">
        <w:r>
          <w:rPr>
            <w:color w:val="1155CC"/>
            <w:u w:val="single"/>
          </w:rPr>
          <w:t>https://doi.org/10.51594/ijmer.v6i9.1533</w:t>
        </w:r>
      </w:hyperlink>
    </w:p>
    <w:p w:rsidR="00754E7C" w:rsidRDefault="00754E7C">
      <w:pPr>
        <w:widowControl w:val="0"/>
        <w:spacing w:before="0"/>
      </w:pPr>
      <w:r>
        <w:t xml:space="preserve">Jenkins, A. (2024). </w:t>
      </w:r>
      <w:r>
        <w:rPr>
          <w:i/>
          <w:iCs/>
        </w:rPr>
        <w:t>13 Reverse Logistics Challenges &amp; How to Overcome Them</w:t>
      </w:r>
      <w:r>
        <w:t>. [online] Oracle NetSuite. Available at: https://www.netsuite.com/portal/resource/articles/inventory-management/reverse-logisti</w:t>
      </w:r>
      <w:r w:rsidR="002E4BCF">
        <w:t>cs-challenges.shtml [Accessed 31</w:t>
      </w:r>
      <w:r>
        <w:t xml:space="preserve"> Aug. 2026].</w:t>
      </w:r>
    </w:p>
    <w:p w:rsidR="00754E7C" w:rsidRDefault="00754E7C">
      <w:pPr>
        <w:spacing w:before="0"/>
      </w:pPr>
      <w:r>
        <w:t xml:space="preserve">Kalbach, J., Wermuth, Y., Duda, S. and Florin Ciontu (2024). Jobs-to-be-done at scale: Disrupting the status quo with customer focus. </w:t>
      </w:r>
      <w:r>
        <w:rPr>
          <w:i/>
          <w:iCs/>
        </w:rPr>
        <w:t>Journal of digital &amp; social media marketing.</w:t>
      </w:r>
      <w:r>
        <w:t xml:space="preserve">, [online] 12(3), pp.262–262. </w:t>
      </w:r>
      <w:hyperlink r:id="rId89">
        <w:r>
          <w:rPr>
            <w:color w:val="1155CC"/>
            <w:u w:val="single"/>
          </w:rPr>
          <w:t>https://doi.org/10.69554/NJQQ4314</w:t>
        </w:r>
      </w:hyperlink>
    </w:p>
    <w:p w:rsidR="00754E7C" w:rsidRDefault="00754E7C">
      <w:pPr>
        <w:spacing w:before="0"/>
      </w:pPr>
      <w:r>
        <w:lastRenderedPageBreak/>
        <w:t xml:space="preserve">Kaluvilla, B.B., Mulla, T. and Zahidi, F. (2025). Driving sustainable choices through understanding consumer behaviour and underlying factors that influence the purchasing intention of refurbished furniture. </w:t>
      </w:r>
      <w:r>
        <w:rPr>
          <w:i/>
          <w:iCs/>
        </w:rPr>
        <w:t>Discover Sustainability</w:t>
      </w:r>
      <w:r>
        <w:t xml:space="preserve">, [online] 6(1). Available at: </w:t>
      </w:r>
      <w:hyperlink r:id="rId90">
        <w:r>
          <w:rPr>
            <w:color w:val="1155CC"/>
            <w:u w:val="single"/>
          </w:rPr>
          <w:t>https://link.springer.com/article/10.1007/s43621-025-01497-y</w:t>
        </w:r>
      </w:hyperlink>
      <w:r w:rsidR="002E4BCF">
        <w:t xml:space="preserve">  [Accessed 19 </w:t>
      </w:r>
      <w:r>
        <w:t>Aug. 2026].</w:t>
      </w:r>
    </w:p>
    <w:p w:rsidR="00754E7C" w:rsidRDefault="00754E7C">
      <w:pPr>
        <w:spacing w:before="0"/>
      </w:pPr>
      <w:r>
        <w:t xml:space="preserve">Kam, B., Ahsan, K., Deng, H. and Duan, S. (2026). Digital platforms in supply chain and logistics management: A systematic literature review. </w:t>
      </w:r>
      <w:r>
        <w:rPr>
          <w:i/>
          <w:iCs/>
        </w:rPr>
        <w:t>Transportation Research Part E: Logistics and Transportation Review</w:t>
      </w:r>
      <w:r>
        <w:t xml:space="preserve">, [online] 209, p.104737. Available at: </w:t>
      </w:r>
      <w:hyperlink r:id="rId91">
        <w:r>
          <w:rPr>
            <w:color w:val="1155CC"/>
            <w:u w:val="single"/>
          </w:rPr>
          <w:t>https://www.sciencedirect.com/science/article/pii/S1366554526000773</w:t>
        </w:r>
      </w:hyperlink>
      <w:r w:rsidR="002E4BCF">
        <w:t xml:space="preserve">  [Accessed 31</w:t>
      </w:r>
      <w:r>
        <w:t xml:space="preserve"> Aug. 2026].</w:t>
      </w:r>
    </w:p>
    <w:p w:rsidR="00754E7C" w:rsidRDefault="00754E7C">
      <w:pPr>
        <w:widowControl w:val="0"/>
        <w:spacing w:before="0"/>
      </w:pPr>
      <w:r>
        <w:t xml:space="preserve">Kanda, W., Klofsten, M., Bienkowska, D., Henry, M. and Hjelm, O. (2024). Challenges of circular new ventures: An empirical analysis of 70 cases. </w:t>
      </w:r>
      <w:r>
        <w:rPr>
          <w:i/>
          <w:iCs/>
        </w:rPr>
        <w:t>Journal of Cleaner Production</w:t>
      </w:r>
      <w:r>
        <w:t xml:space="preserve">, [online] 442, p.141103. </w:t>
      </w:r>
      <w:hyperlink r:id="rId92">
        <w:r>
          <w:rPr>
            <w:color w:val="1155CC"/>
            <w:u w:val="single"/>
          </w:rPr>
          <w:t>https://www.sciencedirect.com/journal/journal-of-cleaner-production/vol/442/suppl/C</w:t>
        </w:r>
      </w:hyperlink>
    </w:p>
    <w:p w:rsidR="00754E7C" w:rsidRDefault="00754E7C">
      <w:pPr>
        <w:spacing w:before="0" w:after="160"/>
      </w:pPr>
      <w:r>
        <w:t>Kans, Mirka, ChamirangikaMadushaniHettiArachchige, and Dan Paulin. "Circular Strategies in the Swedish Furniture Industry–A Business Modelling Approach." In Sustainable Production through Advanced Manufacturing, Intelligent Automation and Work Integrated Learning: Proceedings of the 11th Swedish Production Symposium (SPS2024), pp. 552-563. 1 Oliver's Yard, 55 City Road, London, EC1Y 1SP: SAGE Publications, 2024.</w:t>
      </w:r>
      <w:hyperlink r:id="rId93">
        <w:r>
          <w:rPr>
            <w:color w:val="1155CC"/>
            <w:u w:val="single"/>
          </w:rPr>
          <w:t>https://journals.sagepub.com/doi/pdf/10.3233/ATDE240197</w:t>
        </w:r>
      </w:hyperlink>
    </w:p>
    <w:p w:rsidR="00754E7C" w:rsidRDefault="00754E7C">
      <w:pPr>
        <w:widowControl w:val="0"/>
      </w:pPr>
      <w:r>
        <w:t xml:space="preserve">‌Khan, M., Parvaiz, G.S., Dedahanov, A.T., Abdurazzakov, O.S. and Rakhmonov, D.A. (2022). The Impact of Technologies of Traceability and Transparency in Supply Chains. </w:t>
      </w:r>
      <w:r>
        <w:rPr>
          <w:i/>
          <w:iCs/>
        </w:rPr>
        <w:t>Sustainability</w:t>
      </w:r>
      <w:r>
        <w:t xml:space="preserve">, [online] 14(24), p.16336. </w:t>
      </w:r>
      <w:hyperlink r:id="rId94">
        <w:r>
          <w:rPr>
            <w:color w:val="1155CC"/>
            <w:u w:val="single"/>
          </w:rPr>
          <w:t>https://doi.org/10.3390/su142416336</w:t>
        </w:r>
      </w:hyperlink>
    </w:p>
    <w:p w:rsidR="00754E7C" w:rsidRDefault="00754E7C">
      <w:pPr>
        <w:spacing w:before="0"/>
      </w:pPr>
      <w:r>
        <w:t xml:space="preserve">Kowalkowski, C. and Ulaga, W. (2024). Subscription offers in business-to-business markets: Conceptualization, taxonomy, and framework for growth. </w:t>
      </w:r>
      <w:r>
        <w:rPr>
          <w:i/>
          <w:iCs/>
        </w:rPr>
        <w:t>Industrial Marketing Management</w:t>
      </w:r>
      <w:r>
        <w:t xml:space="preserve">, [online] 117, pp.440–456. Available at: </w:t>
      </w:r>
      <w:hyperlink r:id="rId95">
        <w:r>
          <w:rPr>
            <w:color w:val="1155CC"/>
            <w:u w:val="single"/>
          </w:rPr>
          <w:t>https://www.sciencedirect.com/science/article/pii/S0019850124000142</w:t>
        </w:r>
      </w:hyperlink>
      <w:r>
        <w:t>  [Accessed 21 Aug. 2026].</w:t>
      </w:r>
    </w:p>
    <w:p w:rsidR="00754E7C" w:rsidRDefault="00754E7C">
      <w:pPr>
        <w:spacing w:before="0"/>
      </w:pPr>
      <w:r>
        <w:lastRenderedPageBreak/>
        <w:t xml:space="preserve">Kudrenko, I., Mukhametov, A. and Aslanov, E.S. (2025). Structural modification of supply chains in the imperatives of circular economy. </w:t>
      </w:r>
      <w:r>
        <w:rPr>
          <w:i/>
          <w:iCs/>
        </w:rPr>
        <w:t>Journal of Innovation and Entrepreneurship</w:t>
      </w:r>
      <w:r>
        <w:t xml:space="preserve">, [online] 14(1). Available at: </w:t>
      </w:r>
      <w:hyperlink r:id="rId96">
        <w:r>
          <w:rPr>
            <w:color w:val="1155CC"/>
            <w:u w:val="single"/>
          </w:rPr>
          <w:t>https://link.springer.com/article/10.1186/s13731-025-00515-7</w:t>
        </w:r>
      </w:hyperlink>
      <w:r>
        <w:t>  [Accessed 21 Aug. 2026].</w:t>
      </w:r>
    </w:p>
    <w:p w:rsidR="00754E7C" w:rsidRDefault="00754E7C">
      <w:pPr>
        <w:spacing w:before="0" w:after="160"/>
      </w:pPr>
      <w:r>
        <w:t>Kusumo, F., Mahlia, T.M.I., Pradhan, S., Ong, H.C., Silitonga, A.S., Fattah, I.R., Nghiem, L.D. and Mofijur, M., 2022. A framework to assess indicators of the circular economy in biological systems. Environmental Technology &amp; Innovation, 28, p.102945.</w:t>
      </w:r>
      <w:hyperlink r:id="rId97">
        <w:r>
          <w:rPr>
            <w:color w:val="1155CC"/>
            <w:u w:val="single"/>
          </w:rPr>
          <w:t>https://www.sciencedirect.com/science/article/pii/S2352186422003686</w:t>
        </w:r>
      </w:hyperlink>
    </w:p>
    <w:p w:rsidR="00754E7C" w:rsidRDefault="00754E7C">
      <w:pPr>
        <w:spacing w:before="0"/>
      </w:pPr>
      <w:r>
        <w:t xml:space="preserve">Lamichhane, B.D., Lama, P.B. and Lopchan, L. (2024). Cost-volume analysis and its impact on profitability: An evidence from Nepal. </w:t>
      </w:r>
      <w:r>
        <w:rPr>
          <w:i/>
          <w:iCs/>
        </w:rPr>
        <w:t>International Journal of Religion</w:t>
      </w:r>
      <w:r>
        <w:t xml:space="preserve">, [online] 5(12), pp.2007–2018. Available at: </w:t>
      </w:r>
      <w:hyperlink r:id="rId98">
        <w:r>
          <w:rPr>
            <w:color w:val="1155CC"/>
            <w:u w:val="single"/>
          </w:rPr>
          <w:t>https://www.researchgate.net/publication/387473297_Cost-Volume_Analysis_and_its_Impact_on_Profitability_An_Evidence_from_Nepal</w:t>
        </w:r>
      </w:hyperlink>
      <w:r>
        <w:t xml:space="preserve">  </w:t>
      </w:r>
    </w:p>
    <w:p w:rsidR="00754E7C" w:rsidRDefault="00754E7C">
      <w:r>
        <w:t xml:space="preserve">‌Liu, Q., Wang, R., Pareti, M., Castellini, A., Viaggi, D. and Canavari, M. (2026). Big data in consumer behavior research: a systematic review of data sources, analytical methods, and research questions. </w:t>
      </w:r>
      <w:r>
        <w:rPr>
          <w:i/>
          <w:iCs/>
        </w:rPr>
        <w:t>Journal of Marketing Analytics</w:t>
      </w:r>
      <w:r>
        <w:t xml:space="preserve">. [online] </w:t>
      </w:r>
      <w:hyperlink r:id="rId99" w:anchor="citeas">
        <w:r>
          <w:rPr>
            <w:color w:val="1155CC"/>
            <w:u w:val="single"/>
          </w:rPr>
          <w:t>https://link.springer.com/article/10.1057/s41270-026-00470-6#citeas</w:t>
        </w:r>
      </w:hyperlink>
    </w:p>
    <w:p w:rsidR="00754E7C" w:rsidRDefault="00754E7C">
      <w:pPr>
        <w:spacing w:before="0"/>
      </w:pPr>
      <w:r>
        <w:t xml:space="preserve">Liu, X., Zhou, B., Qi, W., Li, Z. and Wang, J. (2025). Value-added service pricing strategies considering customer stickiness: A freemium perspective. </w:t>
      </w:r>
      <w:r>
        <w:rPr>
          <w:i/>
          <w:iCs/>
        </w:rPr>
        <w:t>Journal of theoretical and applied electronic commerce research</w:t>
      </w:r>
      <w:r>
        <w:t xml:space="preserve">, [online] 20(3), pp.201–201. Available at: </w:t>
      </w:r>
      <w:hyperlink r:id="rId100">
        <w:r>
          <w:rPr>
            <w:color w:val="1155CC"/>
            <w:u w:val="single"/>
          </w:rPr>
          <w:t>https://www.mdpi.com/0718-1876/20/3/201</w:t>
        </w:r>
      </w:hyperlink>
      <w:r w:rsidR="002E4BCF">
        <w:t>  [Accessed 20</w:t>
      </w:r>
      <w:r>
        <w:t xml:space="preserve"> Aug. 2026].</w:t>
      </w:r>
    </w:p>
    <w:p w:rsidR="00754E7C" w:rsidRDefault="00754E7C">
      <w:pPr>
        <w:widowControl w:val="0"/>
        <w:spacing w:before="0"/>
      </w:pPr>
      <w:r>
        <w:t xml:space="preserve">Low Pay Commission (2026). </w:t>
      </w:r>
      <w:r>
        <w:rPr>
          <w:i/>
          <w:iCs/>
        </w:rPr>
        <w:t>National Living Wage increases to £12.71 per hour</w:t>
      </w:r>
      <w:r>
        <w:t xml:space="preserve">. [online] GOV.UK. Available at: </w:t>
      </w:r>
      <w:hyperlink r:id="rId101">
        <w:r>
          <w:rPr>
            <w:color w:val="1155CC"/>
            <w:u w:val="single"/>
          </w:rPr>
          <w:t>https://www.gov.uk/government/news/national-living-wage-increases-to-1271-per-hour</w:t>
        </w:r>
      </w:hyperlink>
      <w:r w:rsidR="00973D9C">
        <w:t xml:space="preserve"> </w:t>
      </w:r>
    </w:p>
    <w:p w:rsidR="00754E7C" w:rsidRDefault="00754E7C">
      <w:pPr>
        <w:spacing w:before="0"/>
      </w:pPr>
      <w:r>
        <w:t xml:space="preserve">Ma, C.-C. and Chang, H.-P. (2024). The perception of consumer behaviors in subscription platforms for surplus food restaurants—An analytical view of the </w:t>
      </w:r>
      <w:r>
        <w:lastRenderedPageBreak/>
        <w:t xml:space="preserve">technology acceptance model. </w:t>
      </w:r>
      <w:r>
        <w:rPr>
          <w:i/>
          <w:iCs/>
        </w:rPr>
        <w:t>Foods</w:t>
      </w:r>
      <w:r>
        <w:t xml:space="preserve">, [online] 13(19), pp.3045–3045. Available at: </w:t>
      </w:r>
      <w:hyperlink r:id="rId102">
        <w:r>
          <w:rPr>
            <w:color w:val="1155CC"/>
            <w:u w:val="single"/>
          </w:rPr>
          <w:t>https://www.mdpi.com/2304-8158/13/19/3045</w:t>
        </w:r>
      </w:hyperlink>
      <w:r>
        <w:t>  [Accessed 21 Aug. 2026].</w:t>
      </w:r>
    </w:p>
    <w:p w:rsidR="00754E7C" w:rsidRDefault="00754E7C">
      <w:pPr>
        <w:spacing w:before="0"/>
      </w:pPr>
      <w:r>
        <w:t xml:space="preserve">Market Data Forecast (2024). </w:t>
      </w:r>
      <w:r>
        <w:rPr>
          <w:i/>
          <w:iCs/>
        </w:rPr>
        <w:t>UK waste management market report</w:t>
      </w:r>
      <w:r>
        <w:t xml:space="preserve">. [online] Market Data Forecast. Available at: </w:t>
      </w:r>
      <w:hyperlink r:id="rId103">
        <w:r>
          <w:rPr>
            <w:color w:val="1155CC"/>
            <w:u w:val="single"/>
          </w:rPr>
          <w:t>https://www.marketdataforecast.com/market-reports/united-kingdom-waste-management-market</w:t>
        </w:r>
      </w:hyperlink>
      <w:r w:rsidR="00973D9C">
        <w:t xml:space="preserve">  [Accessed 2 Sep</w:t>
      </w:r>
      <w:r>
        <w:t>. 2026].</w:t>
      </w:r>
    </w:p>
    <w:p w:rsidR="00754E7C" w:rsidRDefault="00754E7C">
      <w:pPr>
        <w:spacing w:before="0"/>
      </w:pPr>
      <w:r>
        <w:t xml:space="preserve">Markiewicz, E. and Ziobrowska-Sztuczka, J. (2026). Subscription economy as a tool for promoting sustainable consumption in Poland. </w:t>
      </w:r>
      <w:r>
        <w:rPr>
          <w:i/>
          <w:iCs/>
        </w:rPr>
        <w:t>Sustainability</w:t>
      </w:r>
      <w:r>
        <w:t xml:space="preserve">, [online] 18(3), p.1484. Available at: </w:t>
      </w:r>
      <w:hyperlink r:id="rId104">
        <w:r>
          <w:rPr>
            <w:color w:val="1155CC"/>
            <w:u w:val="single"/>
          </w:rPr>
          <w:t>https://www.mdpi.com/2071-1050/18/3/1484</w:t>
        </w:r>
      </w:hyperlink>
      <w:r>
        <w:t xml:space="preserve"> [Accessed 21 Aug. 2026].</w:t>
      </w:r>
    </w:p>
    <w:p w:rsidR="00754E7C" w:rsidRDefault="00754E7C">
      <w:pPr>
        <w:spacing w:before="0" w:after="160"/>
      </w:pPr>
      <w:r>
        <w:t xml:space="preserve">McAllister, P. and Nase, I., 2023. Minimum energy efficiency standards in the commercial real estate sector: A critical review of policy regimes. Journal of Cleaner Production, 393, p.136342. </w:t>
      </w:r>
      <w:hyperlink r:id="rId105">
        <w:r>
          <w:rPr>
            <w:color w:val="1155CC"/>
            <w:u w:val="single"/>
          </w:rPr>
          <w:t>https://www.sciencedirect.com/science/article/pii/S0959652623005000</w:t>
        </w:r>
      </w:hyperlink>
    </w:p>
    <w:p w:rsidR="00754E7C" w:rsidRDefault="00754E7C">
      <w:pPr>
        <w:widowControl w:val="0"/>
        <w:spacing w:before="0"/>
      </w:pPr>
      <w:r>
        <w:t xml:space="preserve">Mehran, J. and Kristensson, P. (2025) ‘B2B Service Innovation: How Business Customers Perceive Firm Innovativeness’, in Witell, L. (ed.) </w:t>
      </w:r>
      <w:r>
        <w:rPr>
          <w:i/>
          <w:iCs/>
        </w:rPr>
        <w:t>Service Innovation and Management: Digitalization, Service Infusion and Customer Experience</w:t>
      </w:r>
      <w:r>
        <w:t xml:space="preserve">. Cham: Springer, pp. 157–172. </w:t>
      </w:r>
      <w:hyperlink r:id="rId106">
        <w:r>
          <w:rPr>
            <w:color w:val="1155CC"/>
            <w:u w:val="single"/>
          </w:rPr>
          <w:t>https://doi.org/10.1007/978-3-031-76560-5_12</w:t>
        </w:r>
      </w:hyperlink>
    </w:p>
    <w:p w:rsidR="00754E7C" w:rsidRDefault="00754E7C">
      <w:pPr>
        <w:spacing w:before="0"/>
      </w:pPr>
      <w:r>
        <w:t xml:space="preserve">Merchant Savvy (2022). </w:t>
      </w:r>
      <w:r>
        <w:rPr>
          <w:i/>
          <w:iCs/>
        </w:rPr>
        <w:t>UK SME data, statistics &amp; brilliant charts. Updated nov 2018.</w:t>
      </w:r>
      <w:r>
        <w:t xml:space="preserve"> [online] Merchant Savvy. Available at: </w:t>
      </w:r>
      <w:hyperlink r:id="rId107">
        <w:r>
          <w:rPr>
            <w:color w:val="1155CC"/>
            <w:u w:val="single"/>
          </w:rPr>
          <w:t>https://www.merchantsavvy.co.uk/uk-sme-data-stats-charts/</w:t>
        </w:r>
      </w:hyperlink>
      <w:r w:rsidR="00973D9C">
        <w:t xml:space="preserve">  [Accessed 3 Sep</w:t>
      </w:r>
      <w:r>
        <w:t>. 2026].</w:t>
      </w:r>
    </w:p>
    <w:p w:rsidR="00754E7C" w:rsidRDefault="00754E7C">
      <w:pPr>
        <w:spacing w:before="0" w:after="160"/>
      </w:pPr>
      <w:r>
        <w:t xml:space="preserve">Mignon, I. and Bankel, A., 2023. Sustainable business models and innovation strategies to realize them: A review of 87 empirical cases. Business Strategy and the Environment, 32(4), pp.1357-1372. </w:t>
      </w:r>
      <w:hyperlink r:id="rId108">
        <w:r>
          <w:rPr>
            <w:color w:val="1155CC"/>
            <w:u w:val="single"/>
          </w:rPr>
          <w:t>https://onlinelibrary.wiley.com/doi/pdf/10.1002/bse.3192</w:t>
        </w:r>
      </w:hyperlink>
    </w:p>
    <w:p w:rsidR="00754E7C" w:rsidRDefault="00754E7C">
      <w:pPr>
        <w:spacing w:before="0" w:after="160"/>
      </w:pPr>
      <w:r>
        <w:t>Milios, L., 2021. Overarching policy framework for product life extension in a circular economy—A bottom</w:t>
      </w:r>
      <w:r>
        <w:rPr>
          <w:rFonts w:ascii="Cambria Math" w:eastAsia="Cambria Math" w:hAnsi="Cambria Math" w:cs="Cambria Math"/>
        </w:rPr>
        <w:t>‐</w:t>
      </w:r>
      <w:r>
        <w:t>up business perspective. Environmental Policy and Governance, 31(4), pp.330-346.</w:t>
      </w:r>
      <w:hyperlink r:id="rId109">
        <w:r>
          <w:rPr>
            <w:color w:val="1155CC"/>
            <w:u w:val="single"/>
          </w:rPr>
          <w:t>https://onlinelibrary.wiley.com/doi/pdf/10.1002/eet.1927</w:t>
        </w:r>
      </w:hyperlink>
    </w:p>
    <w:p w:rsidR="00754E7C" w:rsidRDefault="00754E7C">
      <w:pPr>
        <w:spacing w:before="0"/>
      </w:pPr>
      <w:r>
        <w:lastRenderedPageBreak/>
        <w:t xml:space="preserve">Mohri, S.S., Ghaderi, H., Woensel, T. Van, Mohammadi, M., Nassir, N. and Thompson, R.G. (2024). Contextualizing alternative delivery points in last mile delivery. </w:t>
      </w:r>
      <w:r>
        <w:rPr>
          <w:i/>
          <w:iCs/>
        </w:rPr>
        <w:t>Transportation Research Part E: Logistics and Transportation Review</w:t>
      </w:r>
      <w:r>
        <w:t xml:space="preserve">, [online] 192, p.103787. Available at: </w:t>
      </w:r>
      <w:hyperlink r:id="rId110">
        <w:r>
          <w:rPr>
            <w:color w:val="1155CC"/>
            <w:u w:val="single"/>
          </w:rPr>
          <w:t>https://www.sciencedirect.com/science/article/pii/S1366554524003788</w:t>
        </w:r>
      </w:hyperlink>
      <w:r>
        <w:t>  [Accessed 21 Aug. 2026].</w:t>
      </w:r>
    </w:p>
    <w:p w:rsidR="00754E7C" w:rsidRDefault="00754E7C">
      <w:pPr>
        <w:spacing w:before="0"/>
      </w:pPr>
      <w:r>
        <w:t xml:space="preserve">Mokhtar, N.S., Xifeng, N.C. and Wenming, N.Z. (2025). Modular system of cabinets for mass-customized furniture. </w:t>
      </w:r>
      <w:r>
        <w:rPr>
          <w:i/>
          <w:iCs/>
        </w:rPr>
        <w:t>Environment-Behaviour Proceedings Journal</w:t>
      </w:r>
      <w:r>
        <w:t xml:space="preserve">, [online] 10(SI29), pp.67–73. Available at: </w:t>
      </w:r>
      <w:hyperlink r:id="rId111">
        <w:r>
          <w:rPr>
            <w:color w:val="1155CC"/>
            <w:u w:val="single"/>
          </w:rPr>
          <w:t>https://www.researchgate.net/publication/394186609_Modular_System_of_Cabinets_for_Mass-Customized_Furniture</w:t>
        </w:r>
      </w:hyperlink>
      <w:r>
        <w:t>  [Accessed 21 Aug. 2026].</w:t>
      </w:r>
    </w:p>
    <w:p w:rsidR="00754E7C" w:rsidRDefault="00754E7C">
      <w:pPr>
        <w:spacing w:before="0" w:after="160"/>
      </w:pPr>
      <w:r>
        <w:t>Morseletto, P., 2023. Sometimes linear, sometimes circular: States of the economy and transitions to the future. Journal of Cleaner Production, 390, p.136138.</w:t>
      </w:r>
      <w:hyperlink r:id="rId112">
        <w:r>
          <w:rPr>
            <w:color w:val="1155CC"/>
            <w:u w:val="single"/>
          </w:rPr>
          <w:t>https://www.sciencedirect.com/science/article/pii/S0959652623002962</w:t>
        </w:r>
      </w:hyperlink>
    </w:p>
    <w:p w:rsidR="00754E7C" w:rsidRDefault="00754E7C">
      <w:pPr>
        <w:spacing w:before="0"/>
      </w:pPr>
      <w:r>
        <w:t xml:space="preserve">Mostafa, A., Moustafa, K. and Elshaer, R. (2023). Impact of fixed cost increase on the optimization of two-stage sustainable supply chain networks. </w:t>
      </w:r>
      <w:r>
        <w:rPr>
          <w:i/>
          <w:iCs/>
        </w:rPr>
        <w:t>Sustainability</w:t>
      </w:r>
      <w:r>
        <w:t xml:space="preserve">, [online] 15(18), pp.13949–13949. Available at: </w:t>
      </w:r>
      <w:hyperlink r:id="rId113">
        <w:r>
          <w:rPr>
            <w:color w:val="1155CC"/>
            <w:u w:val="single"/>
          </w:rPr>
          <w:t>https://www.mdpi.com/2071-1050/15/18/13949</w:t>
        </w:r>
      </w:hyperlink>
      <w:r w:rsidR="00973D9C">
        <w:t xml:space="preserve">  [Accessed 31</w:t>
      </w:r>
      <w:r>
        <w:t xml:space="preserve"> Aug. 2026].</w:t>
      </w:r>
    </w:p>
    <w:p w:rsidR="00754E7C" w:rsidRDefault="00754E7C">
      <w:pPr>
        <w:spacing w:before="0"/>
      </w:pPr>
      <w:r>
        <w:t xml:space="preserve">Netseva-Porcheva, T. (2011). </w:t>
      </w:r>
      <w:r>
        <w:rPr>
          <w:i/>
          <w:iCs/>
        </w:rPr>
        <w:t>Value-based pricing: A success factor in the competitive struggle</w:t>
      </w:r>
      <w:r>
        <w:t xml:space="preserve">. [online] ResearchGate. Available at: </w:t>
      </w:r>
      <w:hyperlink r:id="rId114">
        <w:r>
          <w:rPr>
            <w:color w:val="1155CC"/>
            <w:u w:val="single"/>
          </w:rPr>
          <w:t>https://www.researchgate.net/publication/276228917_Value-based_pricing_A_success_factor_in_the_competitive_struggle</w:t>
        </w:r>
      </w:hyperlink>
      <w:r w:rsidR="00973D9C">
        <w:t xml:space="preserve">  [Accessed 3 Sep</w:t>
      </w:r>
      <w:r>
        <w:t>. 2026].</w:t>
      </w:r>
    </w:p>
    <w:p w:rsidR="00754E7C" w:rsidRDefault="00754E7C">
      <w:pPr>
        <w:spacing w:before="0"/>
      </w:pPr>
      <w:r>
        <w:t xml:space="preserve">NjølstadSlotsvik, T., Arne Pettersen Gould, K. and Hayes, J. (2025). Adapting to the rhythm of the procurement cycle. Organizational reliability implications of change processes in procured critical services. </w:t>
      </w:r>
      <w:r>
        <w:rPr>
          <w:i/>
          <w:iCs/>
        </w:rPr>
        <w:t>Safety Science</w:t>
      </w:r>
      <w:r>
        <w:t xml:space="preserve">, [online] 181, p.106672. Available at: </w:t>
      </w:r>
      <w:hyperlink r:id="rId115">
        <w:r>
          <w:rPr>
            <w:color w:val="1155CC"/>
            <w:u w:val="single"/>
          </w:rPr>
          <w:t>https://www.sciencedirect.com/science/article/pii/S0925753524002625</w:t>
        </w:r>
      </w:hyperlink>
      <w:r w:rsidR="00CC54A9">
        <w:t xml:space="preserve">  [Accessed 17</w:t>
      </w:r>
      <w:r>
        <w:t xml:space="preserve"> Aug. 2026].</w:t>
      </w:r>
    </w:p>
    <w:p w:rsidR="00754E7C" w:rsidRDefault="00754E7C">
      <w:pPr>
        <w:spacing w:before="0"/>
      </w:pPr>
      <w:r>
        <w:lastRenderedPageBreak/>
        <w:t xml:space="preserve">OECD (2025). </w:t>
      </w:r>
      <w:r>
        <w:rPr>
          <w:i/>
          <w:iCs/>
        </w:rPr>
        <w:t>OECD employment outlook 2025: Navigating the golden years: Making the labour market work for older workers</w:t>
      </w:r>
      <w:r>
        <w:t xml:space="preserve">. [online] OECD. Available at: </w:t>
      </w:r>
      <w:hyperlink r:id="rId116">
        <w:r>
          <w:rPr>
            <w:color w:val="1155CC"/>
            <w:u w:val="single"/>
          </w:rPr>
          <w:t>https://www.oecd.org/en/publications/oecd-employment-outlook-2025_194a947b-en/full-report/navigating-the-golden-years-making-the-labour-market-work-for-older-workers_2bc681ed.html</w:t>
        </w:r>
      </w:hyperlink>
      <w:r w:rsidR="00973D9C">
        <w:t xml:space="preserve">  [Accessed 3 Sep</w:t>
      </w:r>
      <w:r>
        <w:t>. 2026].</w:t>
      </w:r>
    </w:p>
    <w:p w:rsidR="00754E7C" w:rsidRDefault="00754E7C">
      <w:pPr>
        <w:spacing w:before="0"/>
      </w:pPr>
      <w:r>
        <w:t xml:space="preserve">OECD (2026). </w:t>
      </w:r>
      <w:r>
        <w:rPr>
          <w:i/>
          <w:iCs/>
        </w:rPr>
        <w:t>The twin transition of retail SMEs: Local retail, global trends</w:t>
      </w:r>
      <w:r>
        <w:t xml:space="preserve">. [online] OECD. Available at: </w:t>
      </w:r>
      <w:hyperlink r:id="rId117">
        <w:r>
          <w:rPr>
            <w:color w:val="1155CC"/>
            <w:u w:val="single"/>
          </w:rPr>
          <w:t>https://www.oecd.org/en/publications/local-retail-global-trends_55e2edec-en/full-report/the-twin-transition-of-retail-smes_e9ff5378.html</w:t>
        </w:r>
      </w:hyperlink>
      <w:r w:rsidR="00973D9C">
        <w:t xml:space="preserve">  [Accessed 31</w:t>
      </w:r>
      <w:r>
        <w:t xml:space="preserve"> Aug. 2026].</w:t>
      </w:r>
    </w:p>
    <w:p w:rsidR="00754E7C" w:rsidRDefault="00754E7C">
      <w:pPr>
        <w:widowControl w:val="0"/>
      </w:pPr>
      <w:r>
        <w:t>Office for National Statistics (2025) ‘Who has access to hybrid work in Great Britain?’, 11 June. Available at:</w:t>
      </w:r>
      <w:hyperlink r:id="rId118"/>
      <w:hyperlink r:id="rId119">
        <w:r>
          <w:rPr>
            <w:color w:val="1155CC"/>
            <w:u w:val="single"/>
          </w:rPr>
          <w:t>https://www.ons.gov.uk/employmentandlabourmarket/peopleinwork/employmentandemployeetypes/articles/whohasaccesstohybridworkingreatbritain/latest</w:t>
        </w:r>
      </w:hyperlink>
      <w:r>
        <w:t xml:space="preserve"> (Accessed: 18 August 2026).</w:t>
      </w:r>
    </w:p>
    <w:p w:rsidR="00754E7C" w:rsidRDefault="00754E7C">
      <w:pPr>
        <w:widowControl w:val="0"/>
        <w:spacing w:before="0" w:after="0"/>
      </w:pPr>
      <w:r>
        <w:t xml:space="preserve">Office for National Statistics (2025) </w:t>
      </w:r>
      <w:r>
        <w:rPr>
          <w:i/>
          <w:iCs/>
        </w:rPr>
        <w:t>UK business; activity, size and location: 2025</w:t>
      </w:r>
      <w:r>
        <w:t>. Available at:</w:t>
      </w:r>
      <w:hyperlink r:id="rId120"/>
      <w:hyperlink r:id="rId121">
        <w:r>
          <w:rPr>
            <w:color w:val="1155CC"/>
            <w:u w:val="single"/>
          </w:rPr>
          <w:t>https://www.ons.gov.uk/businessindustryandtrade/business/activitysizeandlocation/bulletins/ukbusinessactivitysizeandlocation/2025</w:t>
        </w:r>
      </w:hyperlink>
    </w:p>
    <w:p w:rsidR="00607014" w:rsidRDefault="00607014">
      <w:pPr>
        <w:widowControl w:val="0"/>
        <w:spacing w:before="0" w:after="0"/>
      </w:pPr>
    </w:p>
    <w:p w:rsidR="00754E7C" w:rsidRDefault="00754E7C">
      <w:pPr>
        <w:spacing w:before="0"/>
      </w:pPr>
      <w:r>
        <w:t xml:space="preserve">Office for National Statistics (2026). </w:t>
      </w:r>
      <w:r>
        <w:rPr>
          <w:i/>
          <w:iCs/>
        </w:rPr>
        <w:t>Consumer price inflation, UK</w:t>
      </w:r>
      <w:r>
        <w:t xml:space="preserve">. [online] Ons.gov.uk. Available at: </w:t>
      </w:r>
      <w:hyperlink r:id="rId122">
        <w:r>
          <w:rPr>
            <w:color w:val="1155CC"/>
            <w:u w:val="single"/>
          </w:rPr>
          <w:t>https://www.ons.gov.uk/economy/inflationandpriceindices/bulletins/consumerpriceinflation/june2026</w:t>
        </w:r>
      </w:hyperlink>
      <w:r w:rsidR="00607014">
        <w:t xml:space="preserve">  [Accessed 30</w:t>
      </w:r>
      <w:r>
        <w:t xml:space="preserve"> Aug. 2026].</w:t>
      </w:r>
    </w:p>
    <w:p w:rsidR="00754E7C" w:rsidRDefault="00754E7C">
      <w:pPr>
        <w:widowControl w:val="0"/>
        <w:spacing w:before="0"/>
      </w:pPr>
      <w:r>
        <w:t xml:space="preserve">Ogiemwonyi, O. (2025). A conceptual review of circular economy position from a marketing perspective. </w:t>
      </w:r>
      <w:r>
        <w:rPr>
          <w:i/>
          <w:iCs/>
        </w:rPr>
        <w:t>Innovation and Green Development</w:t>
      </w:r>
      <w:r>
        <w:t xml:space="preserve">, [online] 4(4), p.100258. </w:t>
      </w:r>
      <w:hyperlink r:id="rId123">
        <w:r>
          <w:rPr>
            <w:color w:val="1155CC"/>
            <w:u w:val="single"/>
          </w:rPr>
          <w:t>https://doi.org/10.1016/j.igd.2025.100258</w:t>
        </w:r>
      </w:hyperlink>
    </w:p>
    <w:p w:rsidR="00754E7C" w:rsidRDefault="00754E7C">
      <w:pPr>
        <w:spacing w:before="0"/>
      </w:pPr>
      <w:r>
        <w:lastRenderedPageBreak/>
        <w:t xml:space="preserve">Ogwu, M.C. and Kosoe, E.A. (2025). Innovative approaches to recycling, upcycling, and downcycling for sustainable waste management. </w:t>
      </w:r>
      <w:r>
        <w:rPr>
          <w:i/>
          <w:iCs/>
        </w:rPr>
        <w:t>CleanMat</w:t>
      </w:r>
      <w:r>
        <w:t xml:space="preserve">, [online] 2(3), pp.242–261. Available at: </w:t>
      </w:r>
      <w:hyperlink r:id="rId124">
        <w:r>
          <w:rPr>
            <w:color w:val="1155CC"/>
            <w:u w:val="single"/>
          </w:rPr>
          <w:t>https://onlinelibrary.wiley.com/doi/10.1002/clem.70013</w:t>
        </w:r>
      </w:hyperlink>
      <w:r w:rsidR="00607014">
        <w:t xml:space="preserve">  </w:t>
      </w:r>
    </w:p>
    <w:p w:rsidR="00754E7C" w:rsidRDefault="00754E7C">
      <w:pPr>
        <w:spacing w:before="0"/>
      </w:pPr>
      <w:r>
        <w:t xml:space="preserve">Öngel, F.S., Gonçalves, J. and da Silva, F.N. (2025). Industrial Relocation and Urban Restructuring: Between Decline and Global Connectivity in Setúbal. </w:t>
      </w:r>
      <w:r>
        <w:rPr>
          <w:i/>
          <w:iCs/>
        </w:rPr>
        <w:t>Urban Science</w:t>
      </w:r>
      <w:r>
        <w:t xml:space="preserve">, [online] 9(5), p.167. Available at: </w:t>
      </w:r>
      <w:hyperlink r:id="rId125">
        <w:r>
          <w:rPr>
            <w:color w:val="1155CC"/>
            <w:u w:val="single"/>
          </w:rPr>
          <w:t>https://www.mdpi.com/2413-8851/9/5/167</w:t>
        </w:r>
      </w:hyperlink>
      <w:r>
        <w:t>  [Accessed 21 Aug. 2026].</w:t>
      </w:r>
    </w:p>
    <w:p w:rsidR="00754E7C" w:rsidRDefault="00754E7C">
      <w:pPr>
        <w:spacing w:before="0"/>
      </w:pPr>
      <w:r>
        <w:t xml:space="preserve">Orellano, M. and Gourc, D. (2024). What typology of risks and methods for risk management in innovation projects?: A systematic literature review. </w:t>
      </w:r>
      <w:r>
        <w:rPr>
          <w:i/>
          <w:iCs/>
        </w:rPr>
        <w:t>International Journal of Innovation Studies</w:t>
      </w:r>
      <w:r>
        <w:t xml:space="preserve">. [online] Available at: </w:t>
      </w:r>
      <w:hyperlink r:id="rId126">
        <w:r>
          <w:rPr>
            <w:color w:val="1155CC"/>
            <w:u w:val="single"/>
          </w:rPr>
          <w:t>https://www.sciencedirect.com/science/article/pii/S2096248724000456</w:t>
        </w:r>
      </w:hyperlink>
      <w:r>
        <w:t xml:space="preserve">  [Accessed 7 Sept. 2026].</w:t>
      </w:r>
    </w:p>
    <w:p w:rsidR="00754E7C" w:rsidRDefault="00754E7C">
      <w:pPr>
        <w:spacing w:before="0"/>
      </w:pPr>
      <w:r>
        <w:t xml:space="preserve">Pascucci, F., Savelli, E. and Gistri, G. (2023). How digital technologies reshape marketing: Evidence from a qualitative investigation. </w:t>
      </w:r>
      <w:r>
        <w:rPr>
          <w:i/>
          <w:iCs/>
        </w:rPr>
        <w:t>Italian Journal of Marketing</w:t>
      </w:r>
      <w:r>
        <w:t xml:space="preserve">, [online] 2023(1), pp.27–58. Available at: </w:t>
      </w:r>
      <w:hyperlink r:id="rId127">
        <w:r>
          <w:rPr>
            <w:color w:val="1155CC"/>
            <w:u w:val="single"/>
          </w:rPr>
          <w:t>https://link.springer.com/article/10.1007/s43039-023-00063-6</w:t>
        </w:r>
      </w:hyperlink>
      <w:r w:rsidR="00607014">
        <w:t xml:space="preserve">  [Accessed 3 Sep</w:t>
      </w:r>
      <w:r>
        <w:t>. 2026].</w:t>
      </w:r>
    </w:p>
    <w:p w:rsidR="00754E7C" w:rsidRDefault="00754E7C">
      <w:pPr>
        <w:spacing w:before="0"/>
      </w:pPr>
      <w:r>
        <w:t xml:space="preserve">PECB (2025). </w:t>
      </w:r>
      <w:r>
        <w:rPr>
          <w:i/>
          <w:iCs/>
        </w:rPr>
        <w:t>The Importance of Occupational Health and Safety - PECB</w:t>
      </w:r>
      <w:r>
        <w:t xml:space="preserve">. [online] PECB. Available at: </w:t>
      </w:r>
      <w:hyperlink r:id="rId128">
        <w:r>
          <w:rPr>
            <w:color w:val="1155CC"/>
            <w:u w:val="single"/>
          </w:rPr>
          <w:t>https://pecb.com/en/article/the-importance-of-occupational-health-and-safety</w:t>
        </w:r>
      </w:hyperlink>
      <w:r>
        <w:t xml:space="preserve">  [Acce</w:t>
      </w:r>
      <w:r w:rsidR="00607014">
        <w:t>ssed 3 Sep</w:t>
      </w:r>
      <w:r>
        <w:t>. 2026].</w:t>
      </w:r>
    </w:p>
    <w:p w:rsidR="00754E7C" w:rsidRDefault="00754E7C">
      <w:pPr>
        <w:spacing w:before="0"/>
      </w:pPr>
      <w:r>
        <w:t xml:space="preserve">Pei, X., Italia, M. and Melazzini, M. (2024). Enhancing circular economy practices in the furniture industry through circular design strategies. </w:t>
      </w:r>
      <w:r>
        <w:rPr>
          <w:i/>
          <w:iCs/>
        </w:rPr>
        <w:t>Sustainability</w:t>
      </w:r>
      <w:r>
        <w:t xml:space="preserve">, [online] 16(15), pp.6544–6544. Available at: </w:t>
      </w:r>
      <w:hyperlink r:id="rId129">
        <w:r>
          <w:rPr>
            <w:color w:val="0000FF"/>
            <w:u w:val="single"/>
          </w:rPr>
          <w:t>https://www.mdpi.com/2071-1050/16/15/6544</w:t>
        </w:r>
      </w:hyperlink>
      <w:r w:rsidR="00CC54A9">
        <w:t xml:space="preserve">  [Accessed 17</w:t>
      </w:r>
      <w:r>
        <w:t xml:space="preserve"> Aug. 2026].</w:t>
      </w:r>
    </w:p>
    <w:p w:rsidR="00754E7C" w:rsidRDefault="00754E7C">
      <w:pPr>
        <w:spacing w:before="0"/>
      </w:pPr>
      <w:r>
        <w:t xml:space="preserve">Pérez-Sánchez, L.À., Velasco-Fernández, R. and Giampietro, M. (2022). Factors and actions for the sustainability of the residential sector. The nexus of energy, materials, space, and time use. </w:t>
      </w:r>
      <w:r>
        <w:rPr>
          <w:i/>
          <w:iCs/>
        </w:rPr>
        <w:t>Renewable and Sustainable Energy Reviews</w:t>
      </w:r>
      <w:r>
        <w:t xml:space="preserve">, [online] 161, p.112388. Available at: </w:t>
      </w:r>
      <w:hyperlink r:id="rId130">
        <w:r>
          <w:rPr>
            <w:color w:val="1155CC"/>
            <w:u w:val="single"/>
          </w:rPr>
          <w:t>https://www.sciencedirect.com/science/article/pii/S1364032122002982</w:t>
        </w:r>
      </w:hyperlink>
      <w:r>
        <w:t>  [Accessed 21 Aug. 2026].</w:t>
      </w:r>
    </w:p>
    <w:p w:rsidR="00754E7C" w:rsidRDefault="00754E7C">
      <w:pPr>
        <w:widowControl w:val="0"/>
      </w:pPr>
      <w:r>
        <w:t xml:space="preserve">‌Pesce, D. and Neirotti, P. (2023). The impact of IT–business strategic alignment on firm performance: The evolving role of IT in industries. </w:t>
      </w:r>
      <w:r>
        <w:rPr>
          <w:i/>
          <w:iCs/>
        </w:rPr>
        <w:t>Information &amp; Management</w:t>
      </w:r>
      <w:r>
        <w:t xml:space="preserve">, [online] 60(5), p.103800. </w:t>
      </w:r>
      <w:hyperlink r:id="rId131">
        <w:r>
          <w:rPr>
            <w:color w:val="1155CC"/>
            <w:u w:val="single"/>
          </w:rPr>
          <w:t>https://www.sciencedirect.com/journal/information-and-management/vol/60/issue/5</w:t>
        </w:r>
      </w:hyperlink>
    </w:p>
    <w:p w:rsidR="00754E7C" w:rsidRDefault="00754E7C">
      <w:pPr>
        <w:spacing w:before="0"/>
      </w:pPr>
      <w:r>
        <w:t xml:space="preserve">Petropoulos, F., Akkermans, H., Aksin, O.Z., Ali, I., Babai, M.Z., Barbosa-Povoa, A., Battaïa, O., Besiou, M., Boysen, N., Brammer, S., Brandon-Jones, A., Briskorn, D., Browning, T.R., Buijs, P., Centobelli, P., Chiarini, A., Cousins, P., Cudney, E.A., Davies, A., Day, S.J., de Koster, R., Dekker, R., Denicol, J., Despeisse, M., Disney, S.M., Dolgui, A., Duong, L., El-Qallali, M., Fahimnia, B., Fakhredin, F., Gershwin, S.B., Ghamat, S., Giannikas, V., Glock, C.H., Godsell, J., Govindan, K., Hannibal, C., Haug, A., Hernaus, T., Hsuan, J., Ivanov, D., Jahre, M., Johansson, B., Kalidoss, M.S., Kanellopoulos, A., Kannan, D., Karul, E., Katsikopoulos, K.V., BegümKilic-Ararat, A., Kolisch, R., Koppenberg, M., Kumar, M., Kuo, Y.-H., Kusiak, A., Lewis, M.A., Lim, S.F.W.T., Limère, V., Liu, J., Maghazei, O., Marić, M., Meissner, J., Meuwissen, M., Micheli, P., Nanayakkara, S., NurÖzdemir, B., Papadopoulos, T., Pavelin, S., Perera, S., Phillips, W., Prak, D., Pun, H., Qazi, S.A., Ramanathan, U., Reiner, G., Reitsma, E., Roehrich, J.K., Sanders, N.R., Sarkis, J., André Schmid, N., Schmidt, C.G., Schroeder, A., Selviaridis, K., Seuring, S., Shi, C., Son, B.-G., Spring, M., Squire, B., der Valk, W. van, van Donk, D.P., van Houtum, G.-J., Wilhelm, M., Wynstra, F. and Zheng, T. (2025). Operations &amp;amp; supply chain management: Principles and practice. </w:t>
      </w:r>
      <w:r>
        <w:rPr>
          <w:i/>
          <w:iCs/>
        </w:rPr>
        <w:t>International Journal of Production Research</w:t>
      </w:r>
      <w:r>
        <w:t xml:space="preserve">, [online] pp.1–184. Available at: </w:t>
      </w:r>
      <w:hyperlink r:id="rId132">
        <w:r>
          <w:rPr>
            <w:color w:val="1155CC"/>
            <w:u w:val="single"/>
          </w:rPr>
          <w:t>https://www.tandfonline.com/doi/full/10.1080/00207543.2025.2555531</w:t>
        </w:r>
      </w:hyperlink>
      <w:r w:rsidR="004D6730">
        <w:t xml:space="preserve">  [Accessed 31 </w:t>
      </w:r>
      <w:r>
        <w:t>Aug. 2026].</w:t>
      </w:r>
    </w:p>
    <w:p w:rsidR="00754E7C" w:rsidRDefault="00754E7C">
      <w:pPr>
        <w:spacing w:before="0" w:after="160"/>
      </w:pPr>
      <w:r>
        <w:t>Poldner, K., Overdiek, A. and Evangelista, A., 2022. Fashion-as-a-service: Circular business model innovation in retail. Sustainability, 14(20), p.13273.</w:t>
      </w:r>
      <w:hyperlink r:id="rId133">
        <w:r>
          <w:rPr>
            <w:color w:val="1155CC"/>
            <w:u w:val="single"/>
          </w:rPr>
          <w:t>https://www.mdpi.com/2071-1050/14/20/13273</w:t>
        </w:r>
      </w:hyperlink>
    </w:p>
    <w:p w:rsidR="00754E7C" w:rsidRDefault="00754E7C">
      <w:pPr>
        <w:spacing w:before="0"/>
      </w:pPr>
      <w:r>
        <w:lastRenderedPageBreak/>
        <w:t xml:space="preserve">Pourrahimian, P., Seyedzadeh, S., Arabi, B., Kahani, D. and Lotfian, S. (2026). Digital enablers of the circular economy: A systematic review of applications, barriers, and future directions. </w:t>
      </w:r>
      <w:r>
        <w:rPr>
          <w:i/>
          <w:iCs/>
        </w:rPr>
        <w:t>Journal of Manufacturing and Materials Processing</w:t>
      </w:r>
      <w:r>
        <w:t xml:space="preserve">, [online] 10(4). Available at: </w:t>
      </w:r>
      <w:hyperlink r:id="rId134">
        <w:r>
          <w:rPr>
            <w:color w:val="1155CC"/>
            <w:u w:val="single"/>
          </w:rPr>
          <w:t>https://www.mdpi.com/2504-4494/10/4/112</w:t>
        </w:r>
      </w:hyperlink>
      <w:r>
        <w:t>  [Accessed 21 Aug. 2026].</w:t>
      </w:r>
    </w:p>
    <w:p w:rsidR="00754E7C" w:rsidRDefault="00754E7C">
      <w:pPr>
        <w:spacing w:before="0"/>
      </w:pPr>
      <w:r>
        <w:t xml:space="preserve">Pratiwi, I., Elizabeth, R., Fatari, N., Basrowi, N. and Nuryanto, U.W. (2025). Assessing pricing, distribution, and warehousing strategies in influencing consumer demand and purchase decisions: Evidence from Indonesia. </w:t>
      </w:r>
      <w:r>
        <w:rPr>
          <w:i/>
          <w:iCs/>
        </w:rPr>
        <w:t>Social Sciences &amp; Humanities Open</w:t>
      </w:r>
      <w:r>
        <w:t xml:space="preserve">, [online] 12, pp.101688–101688. Available at: </w:t>
      </w:r>
      <w:hyperlink r:id="rId135">
        <w:r>
          <w:rPr>
            <w:color w:val="0000FF"/>
            <w:u w:val="single"/>
          </w:rPr>
          <w:t>https://www.sciencedirect.com/science/article/pii/S2590291125004164</w:t>
        </w:r>
      </w:hyperlink>
      <w:r w:rsidR="00CC54A9">
        <w:t xml:space="preserve">  [Accessed 17</w:t>
      </w:r>
      <w:r>
        <w:t xml:space="preserve"> Aug. 2026].</w:t>
      </w:r>
    </w:p>
    <w:p w:rsidR="00754E7C" w:rsidRDefault="00754E7C">
      <w:pPr>
        <w:spacing w:before="0"/>
      </w:pPr>
      <w:r>
        <w:t xml:space="preserve">Pratt, K. (2025). UK website statistics. </w:t>
      </w:r>
      <w:r>
        <w:rPr>
          <w:i/>
          <w:iCs/>
        </w:rPr>
        <w:t>Forbes</w:t>
      </w:r>
      <w:r>
        <w:t xml:space="preserve">. [online] Available at: </w:t>
      </w:r>
      <w:hyperlink r:id="rId136">
        <w:r>
          <w:rPr>
            <w:color w:val="1155CC"/>
            <w:u w:val="single"/>
          </w:rPr>
          <w:t>https://www.forbes.com/advisor/uk/business/software/website-statistics/</w:t>
        </w:r>
      </w:hyperlink>
      <w:r w:rsidR="004D6730">
        <w:t xml:space="preserve">  [Accessed 3 Sep</w:t>
      </w:r>
      <w:r>
        <w:t>. 2026].</w:t>
      </w:r>
    </w:p>
    <w:p w:rsidR="00754E7C" w:rsidRDefault="00754E7C">
      <w:pPr>
        <w:widowControl w:val="0"/>
      </w:pPr>
      <w:r>
        <w:t xml:space="preserve">‌Public Policy and Economic Insights team (2025). </w:t>
      </w:r>
      <w:r>
        <w:rPr>
          <w:i/>
          <w:iCs/>
        </w:rPr>
        <w:t>Who has access to hybrid work in Great Britain?</w:t>
      </w:r>
      <w:r>
        <w:t xml:space="preserve"> [online] Ons.gov.uk. Available at: https://www.ons.gov.uk/employmentandlabourmarket/peopleinwork/employmentandemployeetypes/articles/whohasaccesstohybridworkingreat</w:t>
      </w:r>
      <w:r w:rsidR="004D6730">
        <w:t xml:space="preserve">britain/2025-06-11 [Accessed 30 </w:t>
      </w:r>
      <w:r>
        <w:t>Aug. 2026].</w:t>
      </w:r>
    </w:p>
    <w:p w:rsidR="00754E7C" w:rsidRDefault="00754E7C">
      <w:pPr>
        <w:spacing w:before="0"/>
      </w:pPr>
      <w:r>
        <w:t xml:space="preserve">PwC (2025). </w:t>
      </w:r>
      <w:r>
        <w:rPr>
          <w:i/>
          <w:iCs/>
        </w:rPr>
        <w:t>2025 AI business predictions</w:t>
      </w:r>
      <w:r>
        <w:t xml:space="preserve">. [online] PwC. Available at: </w:t>
      </w:r>
      <w:hyperlink r:id="rId137">
        <w:r>
          <w:rPr>
            <w:color w:val="1155CC"/>
            <w:u w:val="single"/>
          </w:rPr>
          <w:t>https://www.pwc.com/us/en/tech-effect/ai-analytics/ai-predictions.html</w:t>
        </w:r>
      </w:hyperlink>
      <w:r w:rsidR="00CF64D2">
        <w:t xml:space="preserve"> </w:t>
      </w:r>
    </w:p>
    <w:p w:rsidR="00754E7C" w:rsidRDefault="00754E7C">
      <w:pPr>
        <w:widowControl w:val="0"/>
        <w:spacing w:before="0"/>
      </w:pPr>
      <w:r>
        <w:t xml:space="preserve">Recykal.com. (2025). </w:t>
      </w:r>
      <w:r>
        <w:rPr>
          <w:i/>
          <w:iCs/>
        </w:rPr>
        <w:t>Environmental Impact of Landfills and Waste Diversion in 2025 - Recykal | Sustainable Circularity</w:t>
      </w:r>
      <w:r>
        <w:t xml:space="preserve">. [online] Available at: </w:t>
      </w:r>
      <w:hyperlink r:id="rId138">
        <w:r>
          <w:rPr>
            <w:color w:val="1155CC"/>
            <w:u w:val="single"/>
          </w:rPr>
          <w:t>https://www.recykal.com/trending-blog/environmental-impact-of-landfills-and-waste-diversion-in-2025</w:t>
        </w:r>
      </w:hyperlink>
      <w:r w:rsidR="00CF64D2">
        <w:t xml:space="preserve"> </w:t>
      </w:r>
    </w:p>
    <w:p w:rsidR="00754E7C" w:rsidRDefault="00754E7C">
      <w:pPr>
        <w:spacing w:before="0"/>
      </w:pPr>
      <w:r>
        <w:t xml:space="preserve">Sahoo, S. (2021). Lean practices and operational performance: The role of organizational culture. </w:t>
      </w:r>
      <w:r>
        <w:rPr>
          <w:i/>
          <w:iCs/>
        </w:rPr>
        <w:t>International Journal of Quality &amp; Reliability Management</w:t>
      </w:r>
      <w:r>
        <w:t xml:space="preserve">, [online] ahead-of-print(ahead-of-print). Available at: </w:t>
      </w:r>
      <w:hyperlink r:id="rId139">
        <w:r>
          <w:rPr>
            <w:color w:val="1155CC"/>
            <w:u w:val="single"/>
          </w:rPr>
          <w:t>https://www.emerald.com/ijqrm/article/39/2/428/314305/Lean-practices-and-operational-performance-the</w:t>
        </w:r>
      </w:hyperlink>
      <w:r w:rsidR="00CF64D2">
        <w:t xml:space="preserve">  [Accessed 3 Sep</w:t>
      </w:r>
      <w:r>
        <w:t>. 2026].</w:t>
      </w:r>
    </w:p>
    <w:p w:rsidR="00754E7C" w:rsidRDefault="00754E7C">
      <w:pPr>
        <w:widowControl w:val="0"/>
      </w:pPr>
      <w:r>
        <w:t xml:space="preserve">‌Sala-Garrido, R., Mocholi-Arce, M., Maziotis, A. and Molinos-Senante, M. (2024). Eco-efficiency approach in sustainable waste management: An uncertainty analysis for Chile. </w:t>
      </w:r>
      <w:r>
        <w:rPr>
          <w:i/>
          <w:iCs/>
        </w:rPr>
        <w:t>Environmental Science &amp; Policy</w:t>
      </w:r>
      <w:r>
        <w:t xml:space="preserve">, [online] 160, p.103859. </w:t>
      </w:r>
      <w:hyperlink r:id="rId140">
        <w:r>
          <w:rPr>
            <w:color w:val="1155CC"/>
            <w:u w:val="single"/>
          </w:rPr>
          <w:t>https://doi.org/10.1016/j.envsci.2024.103859</w:t>
        </w:r>
      </w:hyperlink>
    </w:p>
    <w:p w:rsidR="00754E7C" w:rsidRDefault="00754E7C">
      <w:pPr>
        <w:spacing w:before="0"/>
      </w:pPr>
      <w:r>
        <w:t xml:space="preserve">Sharabati, A.-A.A., Ali, A., Allahham, M.I., Hussein, A.A., Alheet, A.F. and Mohammad, A.S. (2024). The impact of digital marketing on the performance of SMEs: An analytical study in light of modern digital transformations. </w:t>
      </w:r>
      <w:r>
        <w:rPr>
          <w:i/>
          <w:iCs/>
        </w:rPr>
        <w:t>Sustainability</w:t>
      </w:r>
      <w:r>
        <w:t xml:space="preserve">, [online] 16(19). Available at: </w:t>
      </w:r>
      <w:hyperlink r:id="rId141">
        <w:r>
          <w:rPr>
            <w:color w:val="1155CC"/>
            <w:u w:val="single"/>
          </w:rPr>
          <w:t>https://www.mdpi.com/2071-1050/16/19/8667</w:t>
        </w:r>
      </w:hyperlink>
      <w:r w:rsidR="00CF64D2">
        <w:t xml:space="preserve">  [Accessed 3 Sep</w:t>
      </w:r>
      <w:r>
        <w:t>. 2026].</w:t>
      </w:r>
    </w:p>
    <w:p w:rsidR="00754E7C" w:rsidRDefault="00754E7C">
      <w:pPr>
        <w:spacing w:before="0"/>
      </w:pPr>
      <w:r>
        <w:t xml:space="preserve">Shonubi, O.A. (2025). The role of digital B2B platforms with industry 4.0 technological ecosystems(integration of cloud computing, artificial intelligence and internet of things) as a growth lever. </w:t>
      </w:r>
      <w:r>
        <w:rPr>
          <w:i/>
          <w:iCs/>
        </w:rPr>
        <w:t>Sustainable Futures</w:t>
      </w:r>
      <w:r>
        <w:t xml:space="preserve">, [online] 10, p.101041. Available at: </w:t>
      </w:r>
      <w:hyperlink r:id="rId142">
        <w:r>
          <w:rPr>
            <w:color w:val="1155CC"/>
            <w:u w:val="single"/>
          </w:rPr>
          <w:t>https://www.sciencedirect.com/science/article/pii/S2666188825006057</w:t>
        </w:r>
      </w:hyperlink>
      <w:r>
        <w:t xml:space="preserve">  [Accesse</w:t>
      </w:r>
      <w:r w:rsidR="00CF64D2">
        <w:t>d 31</w:t>
      </w:r>
      <w:r>
        <w:t xml:space="preserve"> Aug. 2026].</w:t>
      </w:r>
    </w:p>
    <w:p w:rsidR="00754E7C" w:rsidRDefault="00754E7C">
      <w:pPr>
        <w:spacing w:before="0" w:after="160"/>
      </w:pPr>
      <w:r>
        <w:t>Sinkovics, N., Gunaratne, D., Sinkovics, R.R. and Molina-Castillo, F.J., 2021. Sustainable business model innovation: An umbrella review. Sustainability, 13(13), p.7266.</w:t>
      </w:r>
      <w:hyperlink r:id="rId143">
        <w:r>
          <w:rPr>
            <w:color w:val="1155CC"/>
            <w:u w:val="single"/>
          </w:rPr>
          <w:t>https://www.mdpi.com/2071-1050/13/13/7266</w:t>
        </w:r>
      </w:hyperlink>
    </w:p>
    <w:p w:rsidR="00754E7C" w:rsidRDefault="00754E7C">
      <w:pPr>
        <w:spacing w:before="0" w:after="160"/>
      </w:pPr>
      <w:r>
        <w:t>Snihur, Y. and Bocken, N., 2022. A call for action: The impact of business model innovation on business ecosystems, society and planet. Long Range Planning, 55(6), p.102182.</w:t>
      </w:r>
      <w:hyperlink r:id="rId144">
        <w:r>
          <w:rPr>
            <w:color w:val="1155CC"/>
            <w:u w:val="single"/>
          </w:rPr>
          <w:t>https://www.sciencedirect.com/science/article/pii/S0024630122000012</w:t>
        </w:r>
      </w:hyperlink>
    </w:p>
    <w:p w:rsidR="00754E7C" w:rsidRDefault="00754E7C">
      <w:pPr>
        <w:spacing w:before="0"/>
      </w:pPr>
      <w:r>
        <w:t xml:space="preserve">Sohoo, I., Mahapatra, K., Lindbäck, E.A. and Poudel, B.C. (2025). Sustainable materials and waste management in office renovations: A Swedish case study. </w:t>
      </w:r>
      <w:r>
        <w:rPr>
          <w:i/>
          <w:iCs/>
        </w:rPr>
        <w:t>Cleaner Waste Systems</w:t>
      </w:r>
      <w:r>
        <w:t xml:space="preserve">, [online] 12, p.100431. Available at: </w:t>
      </w:r>
      <w:hyperlink r:id="rId145">
        <w:r>
          <w:rPr>
            <w:color w:val="1155CC"/>
            <w:u w:val="single"/>
          </w:rPr>
          <w:t>https://www.sciencedirect.com/science/article/pii/S2772912525002295</w:t>
        </w:r>
      </w:hyperlink>
      <w:r w:rsidR="008F4889">
        <w:t xml:space="preserve">  </w:t>
      </w:r>
    </w:p>
    <w:p w:rsidR="00754E7C" w:rsidRDefault="00754E7C">
      <w:pPr>
        <w:spacing w:before="0"/>
      </w:pPr>
      <w:r>
        <w:t xml:space="preserve">Stabler, D., Hakala, H., Huikkola, T. and Mention, A.-L. (2024). Aligning servitization and circularity: The role of institutional confluence in sustainable business models. </w:t>
      </w:r>
      <w:r>
        <w:rPr>
          <w:i/>
          <w:iCs/>
        </w:rPr>
        <w:lastRenderedPageBreak/>
        <w:t>Journal of Cleaner Production</w:t>
      </w:r>
      <w:r>
        <w:t>, [online] 462, p.142666. doi:10.1016/j.jclepro.2024.142666.</w:t>
      </w:r>
    </w:p>
    <w:p w:rsidR="00754E7C" w:rsidRDefault="00754E7C">
      <w:pPr>
        <w:spacing w:before="0" w:after="160"/>
      </w:pPr>
      <w:r>
        <w:t>Su, H., Petrecca, A.C.C. and Vezzoli, C., 2025. Designing Environmentally Sustainable Product–Service Systems for Smart Mobile Devices: A Conceptual Framework and Archetypes. Sustainability, 17(19), p.8524.</w:t>
      </w:r>
      <w:hyperlink r:id="rId146">
        <w:r>
          <w:rPr>
            <w:color w:val="1155CC"/>
            <w:u w:val="single"/>
          </w:rPr>
          <w:t>https://onlinelibrary.wiley.com/doi/pdfdirect/10.1002/bse.3297</w:t>
        </w:r>
      </w:hyperlink>
    </w:p>
    <w:p w:rsidR="00754E7C" w:rsidRDefault="00754E7C">
      <w:pPr>
        <w:spacing w:before="0" w:after="160"/>
      </w:pPr>
      <w:r>
        <w:t xml:space="preserve">Surma, M.J., Nunes, R.J., Rook, C. and Loder, A., 2021. Assessing employee engagement in a post-COVID-19 workplace ecosystem. Sustainability, 13(20), p.11443. </w:t>
      </w:r>
      <w:hyperlink r:id="rId147">
        <w:r>
          <w:rPr>
            <w:color w:val="1155CC"/>
            <w:u w:val="single"/>
          </w:rPr>
          <w:t>https://www.mdpi.com/2071-1050/13/20/11443</w:t>
        </w:r>
      </w:hyperlink>
    </w:p>
    <w:p w:rsidR="00754E7C" w:rsidRDefault="00754E7C">
      <w:pPr>
        <w:spacing w:before="0"/>
      </w:pPr>
      <w:r>
        <w:t xml:space="preserve">Svensson Harari, N. and Fundin, A. (2023). An early-phase design process to enable long-term flexibility in assembly systems. </w:t>
      </w:r>
      <w:r>
        <w:rPr>
          <w:i/>
          <w:iCs/>
        </w:rPr>
        <w:t>Research in Engineering Design</w:t>
      </w:r>
      <w:r>
        <w:t xml:space="preserve">, [online] 34(2), pp.257–283. Available at: </w:t>
      </w:r>
      <w:hyperlink r:id="rId148">
        <w:r>
          <w:rPr>
            <w:color w:val="1155CC"/>
            <w:u w:val="single"/>
          </w:rPr>
          <w:t>https://link.springer.com/article/10.1007/s00163-022-00404-0</w:t>
        </w:r>
      </w:hyperlink>
      <w:r>
        <w:t xml:space="preserve">  [Accessed 7 Sept. 2026].</w:t>
      </w:r>
    </w:p>
    <w:p w:rsidR="00754E7C" w:rsidRDefault="00754E7C">
      <w:pPr>
        <w:spacing w:before="0"/>
      </w:pPr>
      <w:r>
        <w:t xml:space="preserve">Telukdarie, A. and Nyathi, M.H.L. (2026). ESG and circular business models: Towards a sector-specific circular–ESG integration framework. </w:t>
      </w:r>
      <w:r>
        <w:rPr>
          <w:i/>
          <w:iCs/>
        </w:rPr>
        <w:t>Sustainability</w:t>
      </w:r>
      <w:r>
        <w:t xml:space="preserve">, [online] 18(8), p.4006. Available at: </w:t>
      </w:r>
      <w:hyperlink r:id="rId149">
        <w:r>
          <w:rPr>
            <w:color w:val="1155CC"/>
            <w:u w:val="single"/>
          </w:rPr>
          <w:t>https://www.mdpi.com/2071-1050/18/8/4006</w:t>
        </w:r>
      </w:hyperlink>
      <w:r>
        <w:t>  [Accessed 21 Aug. 2026].</w:t>
      </w:r>
    </w:p>
    <w:p w:rsidR="00754E7C" w:rsidRDefault="00754E7C">
      <w:pPr>
        <w:spacing w:before="0"/>
      </w:pPr>
      <w:r>
        <w:t xml:space="preserve">Torkki, P., Rotinen, L., SuvituuliaTaponen, S., Tella, S., Grönman, K., Deviatkin, I., Pitkänen, L.J., Venesoja, A., Koljonen, K., Repo, E. and Laatikainen, K. (2024). Increasing the role of sustainability in public procurement of personal protective equipment. </w:t>
      </w:r>
      <w:r>
        <w:rPr>
          <w:i/>
          <w:iCs/>
        </w:rPr>
        <w:t>Journal of cleaner production</w:t>
      </w:r>
      <w:r>
        <w:t xml:space="preserve">, [online] pp.142335–142335. Available at: </w:t>
      </w:r>
      <w:hyperlink r:id="rId150">
        <w:r>
          <w:rPr>
            <w:color w:val="1155CC"/>
            <w:u w:val="single"/>
          </w:rPr>
          <w:t>https://www.sciencedirect.com/science/article/abs/pii/S0959652624017839</w:t>
        </w:r>
      </w:hyperlink>
      <w:r>
        <w:t>  [Accessed 21 Aug. 2026].</w:t>
      </w:r>
    </w:p>
    <w:p w:rsidR="00754E7C" w:rsidRDefault="00754E7C">
      <w:pPr>
        <w:widowControl w:val="0"/>
      </w:pPr>
      <w:r>
        <w:t xml:space="preserve">‌Udvaros, J., Forman, N., Tašić, J. and Szabó, L. (2024) ‘The Application of QR Codes in the Field of E-Business in the Case of Order Tracking and Logistics’, </w:t>
      </w:r>
      <w:r>
        <w:rPr>
          <w:i/>
          <w:iCs/>
        </w:rPr>
        <w:t>14th International Symposium Engineering Management and Competitiveness (EMC 2024)</w:t>
      </w:r>
      <w:r>
        <w:t xml:space="preserve">, Zrenjanin, Serbia. </w:t>
      </w:r>
      <w:hyperlink r:id="rId151">
        <w:r>
          <w:rPr>
            <w:color w:val="1155CC"/>
            <w:u w:val="single"/>
          </w:rPr>
          <w:t>https://www.researchgate.net/publication/381663947_The_Application_of_QR_Codes_i</w:t>
        </w:r>
        <w:r>
          <w:rPr>
            <w:color w:val="1155CC"/>
            <w:u w:val="single"/>
          </w:rPr>
          <w:lastRenderedPageBreak/>
          <w:t>n_the_Field_of_E-Business_in_the_Case_of_Order_Tracking_and_Logistics</w:t>
        </w:r>
      </w:hyperlink>
    </w:p>
    <w:p w:rsidR="00754E7C" w:rsidRDefault="00754E7C">
      <w:pPr>
        <w:spacing w:before="0"/>
      </w:pPr>
      <w:r>
        <w:t xml:space="preserve">Veolia (2023). </w:t>
      </w:r>
      <w:r>
        <w:rPr>
          <w:i/>
          <w:iCs/>
        </w:rPr>
        <w:t>Waste management</w:t>
      </w:r>
      <w:r>
        <w:t xml:space="preserve">. [online] Veolia. Available at: </w:t>
      </w:r>
      <w:hyperlink r:id="rId152">
        <w:r>
          <w:rPr>
            <w:color w:val="1155CC"/>
            <w:u w:val="single"/>
          </w:rPr>
          <w:t>https://www.veolia.com/en/veolia-group/profile/business-activities/waste-management</w:t>
        </w:r>
      </w:hyperlink>
      <w:r w:rsidR="008F4889">
        <w:t xml:space="preserve">  [Accessed 2 Sep</w:t>
      </w:r>
      <w:r>
        <w:t>. 2026].</w:t>
      </w:r>
    </w:p>
    <w:p w:rsidR="00754E7C" w:rsidRDefault="00754E7C">
      <w:pPr>
        <w:widowControl w:val="0"/>
        <w:spacing w:before="0"/>
      </w:pPr>
      <w:r>
        <w:t xml:space="preserve">Wang, Y., Wang, D.D. and Liu, R. (2025). Impact of Digital Technology Adoption on the Similarity of Sustainability Reports. </w:t>
      </w:r>
      <w:r>
        <w:rPr>
          <w:i/>
          <w:iCs/>
        </w:rPr>
        <w:t>Sustainability</w:t>
      </w:r>
      <w:r>
        <w:t xml:space="preserve">, [online] 17(8), p.3728. </w:t>
      </w:r>
      <w:hyperlink r:id="rId153">
        <w:r>
          <w:rPr>
            <w:color w:val="1155CC"/>
            <w:u w:val="single"/>
          </w:rPr>
          <w:t>https://doi.org/10.3390/su17083728</w:t>
        </w:r>
      </w:hyperlink>
    </w:p>
    <w:p w:rsidR="00754E7C" w:rsidRDefault="00754E7C">
      <w:pPr>
        <w:spacing w:before="0"/>
      </w:pPr>
      <w:r>
        <w:t xml:space="preserve">Winter, K., Cats, O., Martens, K. and van Arem, B. (2021). Parking space for shared automated vehicles: How less can be more. </w:t>
      </w:r>
      <w:r>
        <w:rPr>
          <w:i/>
          <w:iCs/>
        </w:rPr>
        <w:t>Transportation Research Part A: Policy and Practice</w:t>
      </w:r>
      <w:r>
        <w:t xml:space="preserve">, [online] 143, pp.61–77. Available at: </w:t>
      </w:r>
      <w:hyperlink r:id="rId154">
        <w:r>
          <w:rPr>
            <w:color w:val="1155CC"/>
            <w:u w:val="single"/>
          </w:rPr>
          <w:t>https://www.sciencedirect.com/science/article/pii/S0965856420307734</w:t>
        </w:r>
      </w:hyperlink>
      <w:r>
        <w:t xml:space="preserve">  </w:t>
      </w:r>
    </w:p>
    <w:p w:rsidR="00754E7C" w:rsidRDefault="00754E7C">
      <w:pPr>
        <w:widowControl w:val="0"/>
      </w:pPr>
      <w:r>
        <w:t>WRAP (2025) ‘Crown Workspace Ltd: Leading the way in office furniture reuse’, 16 October. Available at:</w:t>
      </w:r>
      <w:hyperlink r:id="rId155"/>
      <w:hyperlink r:id="rId156">
        <w:r>
          <w:rPr>
            <w:color w:val="1155CC"/>
            <w:u w:val="single"/>
          </w:rPr>
          <w:t>https://www.wrap.ngo/resources/case-study/crown-workspace-ltd-leading-way-office-furniture-reuse</w:t>
        </w:r>
      </w:hyperlink>
      <w:r>
        <w:t xml:space="preserve"> (Accessed: 18 August 2026).</w:t>
      </w:r>
    </w:p>
    <w:p w:rsidR="00754E7C" w:rsidRDefault="00754E7C">
      <w:pPr>
        <w:widowControl w:val="0"/>
        <w:spacing w:before="0"/>
      </w:pPr>
      <w:r>
        <w:t xml:space="preserve">Xu, M., Tse, Y.K., Geng, R., Liu, Z. and Potter, A. (2025). Greenwashing and market value of firms: An empirical study. </w:t>
      </w:r>
      <w:r>
        <w:rPr>
          <w:i/>
          <w:iCs/>
        </w:rPr>
        <w:t>International Journal of Production Economics</w:t>
      </w:r>
      <w:r>
        <w:t xml:space="preserve">, [online] 284, p.109606. </w:t>
      </w:r>
      <w:hyperlink r:id="rId157">
        <w:r>
          <w:rPr>
            <w:color w:val="1155CC"/>
            <w:u w:val="single"/>
          </w:rPr>
          <w:t>https://www.sciencedirect.com/science/article/pii/S092552732500091X</w:t>
        </w:r>
      </w:hyperlink>
    </w:p>
    <w:p w:rsidR="00754E7C" w:rsidRDefault="00754E7C">
      <w:pPr>
        <w:spacing w:before="0"/>
      </w:pPr>
      <w:r>
        <w:t xml:space="preserve">Zahari, A.I., Manan, A., Razali, F.M., Zolkaflil, S. and Said, J.B. (2023). Exploring the viability of remote work for SME. </w:t>
      </w:r>
      <w:r>
        <w:rPr>
          <w:i/>
          <w:iCs/>
        </w:rPr>
        <w:t>Journal of Open Innovation: Technology, Market, and Complexity</w:t>
      </w:r>
      <w:r>
        <w:t xml:space="preserve">, [online] 10(1), pp.100182–100182. Available at: </w:t>
      </w:r>
      <w:hyperlink r:id="rId158">
        <w:r>
          <w:rPr>
            <w:color w:val="1155CC"/>
            <w:u w:val="single"/>
          </w:rPr>
          <w:t>https://www.sciencedirect.com/science/article/pii/S2199853123002846</w:t>
        </w:r>
      </w:hyperlink>
      <w:r w:rsidR="003948FB">
        <w:t>  [Accessed 22</w:t>
      </w:r>
      <w:r>
        <w:t xml:space="preserve"> Aug. 2026].‌</w:t>
      </w:r>
    </w:p>
    <w:sectPr w:rsidR="00754E7C" w:rsidSect="00F10721">
      <w:footerReference w:type="default" r:id="rId159"/>
      <w:pgSz w:w="12240" w:h="15840"/>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C324C" w:rsidRDefault="00CC324C">
      <w:pPr>
        <w:spacing w:before="0" w:after="0" w:line="240" w:lineRule="auto"/>
      </w:pPr>
      <w:r>
        <w:separator/>
      </w:r>
    </w:p>
  </w:endnote>
  <w:endnote w:type="continuationSeparator" w:id="1">
    <w:p w:rsidR="00CC324C" w:rsidRDefault="00CC324C">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E3635398-0CF2-41BC-9190-3707A716949D}"/>
  </w:font>
  <w:font w:name="Tahoma">
    <w:panose1 w:val="020B0604030504040204"/>
    <w:charset w:val="00"/>
    <w:family w:val="swiss"/>
    <w:pitch w:val="variable"/>
    <w:sig w:usb0="E1002EFF" w:usb1="C000605B" w:usb2="00000029" w:usb3="00000000" w:csb0="000101FF" w:csb1="00000000"/>
    <w:embedRegular r:id="rId2" w:fontKey="{810BFE24-4DBA-46E4-A2BE-0DAB113C2963}"/>
  </w:font>
  <w:font w:name="Calibri">
    <w:panose1 w:val="020F0502020204030204"/>
    <w:charset w:val="00"/>
    <w:family w:val="swiss"/>
    <w:pitch w:val="variable"/>
    <w:sig w:usb0="E4002EFF" w:usb1="C200247B" w:usb2="00000009" w:usb3="00000000" w:csb0="000001FF" w:csb1="00000000"/>
    <w:embedRegular r:id="rId3" w:fontKey="{1F466324-A190-4F7F-BDBB-4E09EA5D7BA0}"/>
    <w:embedBold r:id="rId4" w:fontKey="{09546E13-8432-4C35-ADA3-22E066D4619B}"/>
  </w:font>
  <w:font w:name="Arial Unicode MS">
    <w:panose1 w:val="020B0604020202020204"/>
    <w:charset w:val="80"/>
    <w:family w:val="swiss"/>
    <w:pitch w:val="variable"/>
    <w:sig w:usb0="F7FFAFFF" w:usb1="E9DFFFFF" w:usb2="0000003F" w:usb3="00000000" w:csb0="003F01FF" w:csb1="00000000"/>
    <w:embedRegular r:id="rId5" w:subsetted="1" w:fontKey="{3D3A0FC7-0743-446B-A544-4DD215E52ACD}"/>
    <w:embedBold r:id="rId6" w:subsetted="1" w:fontKey="{CA62ECF2-5C95-4D86-9E16-706A06AA9D9E}"/>
  </w:font>
  <w:font w:name="Cambria Math">
    <w:panose1 w:val="02040503050406030204"/>
    <w:charset w:val="00"/>
    <w:family w:val="roman"/>
    <w:pitch w:val="variable"/>
    <w:sig w:usb0="E00006FF" w:usb1="420024FF" w:usb2="02000000" w:usb3="00000000" w:csb0="0000019F" w:csb1="00000000"/>
    <w:embedRegular r:id="rId7" w:fontKey="{4BBF8AC8-3752-4F72-9197-1A991860332F}"/>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C54A9" w:rsidRDefault="00CC54A9">
    <w:pPr>
      <w:jc w:val="right"/>
    </w:pPr>
    <w:fldSimple w:instr="PAGE">
      <w:r w:rsidR="00C0660D">
        <w:rPr>
          <w:noProof/>
        </w:rPr>
        <w:t>1</w:t>
      </w:r>
    </w:fldSimple>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C324C" w:rsidRDefault="00CC324C">
      <w:pPr>
        <w:spacing w:before="0" w:after="0" w:line="240" w:lineRule="auto"/>
      </w:pPr>
      <w:r>
        <w:separator/>
      </w:r>
    </w:p>
  </w:footnote>
  <w:footnote w:type="continuationSeparator" w:id="1">
    <w:p w:rsidR="00CC324C" w:rsidRDefault="00CC324C">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926A76"/>
    <w:multiLevelType w:val="multilevel"/>
    <w:tmpl w:val="14185D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9275F9C"/>
    <w:multiLevelType w:val="multilevel"/>
    <w:tmpl w:val="745EA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1D847F6"/>
    <w:multiLevelType w:val="multilevel"/>
    <w:tmpl w:val="D3B207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7A101A6"/>
    <w:multiLevelType w:val="multilevel"/>
    <w:tmpl w:val="ECDEA8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98F14E2"/>
    <w:multiLevelType w:val="multilevel"/>
    <w:tmpl w:val="B1941F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EAA7754"/>
    <w:multiLevelType w:val="multilevel"/>
    <w:tmpl w:val="458A2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01F4D27"/>
    <w:multiLevelType w:val="multilevel"/>
    <w:tmpl w:val="2EE0B8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A6247C0"/>
    <w:multiLevelType w:val="multilevel"/>
    <w:tmpl w:val="CDBE69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7824119"/>
    <w:multiLevelType w:val="multilevel"/>
    <w:tmpl w:val="2CA07A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AE22467"/>
    <w:multiLevelType w:val="multilevel"/>
    <w:tmpl w:val="5DFC21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C846545"/>
    <w:multiLevelType w:val="multilevel"/>
    <w:tmpl w:val="8F1CCF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AD2188A"/>
    <w:multiLevelType w:val="multilevel"/>
    <w:tmpl w:val="3AA2ED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C1D34AC"/>
    <w:multiLevelType w:val="multilevel"/>
    <w:tmpl w:val="C85E50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0"/>
  </w:num>
  <w:num w:numId="3">
    <w:abstractNumId w:val="4"/>
  </w:num>
  <w:num w:numId="4">
    <w:abstractNumId w:val="8"/>
  </w:num>
  <w:num w:numId="5">
    <w:abstractNumId w:val="5"/>
  </w:num>
  <w:num w:numId="6">
    <w:abstractNumId w:val="2"/>
  </w:num>
  <w:num w:numId="7">
    <w:abstractNumId w:val="11"/>
  </w:num>
  <w:num w:numId="8">
    <w:abstractNumId w:val="12"/>
  </w:num>
  <w:num w:numId="9">
    <w:abstractNumId w:val="6"/>
  </w:num>
  <w:num w:numId="10">
    <w:abstractNumId w:val="1"/>
  </w:num>
  <w:num w:numId="11">
    <w:abstractNumId w:val="7"/>
  </w:num>
  <w:num w:numId="12">
    <w:abstractNumId w:val="3"/>
  </w:num>
  <w:num w:numId="1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CB5E86"/>
    <w:rsid w:val="00047D11"/>
    <w:rsid w:val="000C3AD6"/>
    <w:rsid w:val="001F13E0"/>
    <w:rsid w:val="002C72D7"/>
    <w:rsid w:val="002E4BCF"/>
    <w:rsid w:val="003948FB"/>
    <w:rsid w:val="00455477"/>
    <w:rsid w:val="004C5CB5"/>
    <w:rsid w:val="004D3DAB"/>
    <w:rsid w:val="004D6730"/>
    <w:rsid w:val="00523722"/>
    <w:rsid w:val="00607014"/>
    <w:rsid w:val="00627066"/>
    <w:rsid w:val="00754E7C"/>
    <w:rsid w:val="007E2D03"/>
    <w:rsid w:val="008570EC"/>
    <w:rsid w:val="008E4949"/>
    <w:rsid w:val="008F4889"/>
    <w:rsid w:val="00973D9C"/>
    <w:rsid w:val="00986C9D"/>
    <w:rsid w:val="00B12AC1"/>
    <w:rsid w:val="00BF0C4B"/>
    <w:rsid w:val="00BF3748"/>
    <w:rsid w:val="00C0660D"/>
    <w:rsid w:val="00C14F0C"/>
    <w:rsid w:val="00CB5E86"/>
    <w:rsid w:val="00CC324C"/>
    <w:rsid w:val="00CC54A9"/>
    <w:rsid w:val="00CF64D2"/>
    <w:rsid w:val="00E4141F"/>
    <w:rsid w:val="00E606E5"/>
    <w:rsid w:val="00F10721"/>
    <w:rsid w:val="00F72BC7"/>
    <w:rsid w:val="00FE74E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US" w:eastAsia="en-IN"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10721"/>
  </w:style>
  <w:style w:type="paragraph" w:styleId="Heading1">
    <w:name w:val="heading 1"/>
    <w:basedOn w:val="Normal"/>
    <w:next w:val="Normal"/>
    <w:rsid w:val="00F10721"/>
    <w:pPr>
      <w:keepNext/>
      <w:keepLines/>
      <w:spacing w:before="360" w:after="80"/>
      <w:outlineLvl w:val="0"/>
    </w:pPr>
    <w:rPr>
      <w:b/>
      <w:bCs/>
      <w:sz w:val="28"/>
      <w:szCs w:val="28"/>
    </w:rPr>
  </w:style>
  <w:style w:type="paragraph" w:styleId="Heading2">
    <w:name w:val="heading 2"/>
    <w:basedOn w:val="Normal"/>
    <w:next w:val="Normal"/>
    <w:rsid w:val="00F10721"/>
    <w:pPr>
      <w:keepNext/>
      <w:keepLines/>
      <w:spacing w:before="280" w:after="80"/>
      <w:outlineLvl w:val="1"/>
    </w:pPr>
    <w:rPr>
      <w:b/>
      <w:bCs/>
      <w:sz w:val="26"/>
      <w:szCs w:val="26"/>
    </w:rPr>
  </w:style>
  <w:style w:type="paragraph" w:styleId="Heading3">
    <w:name w:val="heading 3"/>
    <w:basedOn w:val="Normal"/>
    <w:next w:val="Normal"/>
    <w:rsid w:val="00F10721"/>
    <w:pPr>
      <w:keepNext/>
      <w:keepLines/>
      <w:spacing w:after="40"/>
      <w:outlineLvl w:val="2"/>
    </w:pPr>
    <w:rPr>
      <w:b/>
      <w:bCs/>
    </w:rPr>
  </w:style>
  <w:style w:type="paragraph" w:styleId="Heading4">
    <w:name w:val="heading 4"/>
    <w:basedOn w:val="Normal"/>
    <w:next w:val="Normal"/>
    <w:rsid w:val="00F10721"/>
    <w:pPr>
      <w:keepNext/>
      <w:keepLines/>
      <w:spacing w:before="280" w:after="80"/>
      <w:outlineLvl w:val="3"/>
    </w:pPr>
    <w:rPr>
      <w:color w:val="666666"/>
    </w:rPr>
  </w:style>
  <w:style w:type="paragraph" w:styleId="Heading5">
    <w:name w:val="heading 5"/>
    <w:basedOn w:val="Normal"/>
    <w:next w:val="Normal"/>
    <w:rsid w:val="00F10721"/>
    <w:pPr>
      <w:keepNext/>
      <w:keepLines/>
      <w:spacing w:after="80"/>
      <w:outlineLvl w:val="4"/>
    </w:pPr>
    <w:rPr>
      <w:color w:val="666666"/>
      <w:sz w:val="22"/>
      <w:szCs w:val="22"/>
    </w:rPr>
  </w:style>
  <w:style w:type="paragraph" w:styleId="Heading6">
    <w:name w:val="heading 6"/>
    <w:basedOn w:val="Normal"/>
    <w:next w:val="Normal"/>
    <w:rsid w:val="00F10721"/>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F10721"/>
    <w:tblPr>
      <w:tblCellMar>
        <w:top w:w="100" w:type="dxa"/>
        <w:left w:w="100" w:type="dxa"/>
        <w:bottom w:w="100" w:type="dxa"/>
        <w:right w:w="100" w:type="dxa"/>
      </w:tblCellMar>
    </w:tblPr>
  </w:style>
  <w:style w:type="paragraph" w:styleId="Title">
    <w:name w:val="Title"/>
    <w:basedOn w:val="Normal"/>
    <w:next w:val="Normal"/>
    <w:rsid w:val="00F10721"/>
    <w:pPr>
      <w:keepNext/>
      <w:keepLines/>
      <w:spacing w:before="0" w:after="60"/>
    </w:pPr>
    <w:rPr>
      <w:sz w:val="52"/>
      <w:szCs w:val="52"/>
    </w:rPr>
  </w:style>
  <w:style w:type="table" w:customStyle="1" w:styleId="TableNormal1">
    <w:name w:val="TableNormal"/>
    <w:rsid w:val="00F10721"/>
    <w:tblPr>
      <w:tblCellMar>
        <w:top w:w="100" w:type="dxa"/>
        <w:left w:w="100" w:type="dxa"/>
        <w:bottom w:w="100" w:type="dxa"/>
        <w:right w:w="100" w:type="dxa"/>
      </w:tblCellMar>
    </w:tblPr>
  </w:style>
  <w:style w:type="table" w:customStyle="1" w:styleId="TableNormal2">
    <w:name w:val="TableNormal"/>
    <w:rsid w:val="00F10721"/>
    <w:tblPr>
      <w:tblCellMar>
        <w:top w:w="100" w:type="dxa"/>
        <w:left w:w="100" w:type="dxa"/>
        <w:bottom w:w="100" w:type="dxa"/>
        <w:right w:w="100" w:type="dxa"/>
      </w:tblCellMar>
    </w:tblPr>
  </w:style>
  <w:style w:type="table" w:customStyle="1" w:styleId="TableNormal3">
    <w:name w:val="TableNormal"/>
    <w:rsid w:val="00F10721"/>
    <w:tblPr>
      <w:tblCellMar>
        <w:top w:w="100" w:type="dxa"/>
        <w:left w:w="100" w:type="dxa"/>
        <w:bottom w:w="100" w:type="dxa"/>
        <w:right w:w="100" w:type="dxa"/>
      </w:tblCellMar>
    </w:tblPr>
  </w:style>
  <w:style w:type="table" w:customStyle="1" w:styleId="TableNormal4">
    <w:name w:val="TableNormal"/>
    <w:rsid w:val="00F10721"/>
    <w:tblPr>
      <w:tblCellMar>
        <w:top w:w="100" w:type="dxa"/>
        <w:left w:w="100" w:type="dxa"/>
        <w:bottom w:w="100" w:type="dxa"/>
        <w:right w:w="100" w:type="dxa"/>
      </w:tblCellMar>
    </w:tblPr>
  </w:style>
  <w:style w:type="table" w:customStyle="1" w:styleId="TableNormal5">
    <w:name w:val="TableNormal"/>
    <w:rsid w:val="00F10721"/>
    <w:tblPr>
      <w:tblCellMar>
        <w:top w:w="100" w:type="dxa"/>
        <w:left w:w="100" w:type="dxa"/>
        <w:bottom w:w="100" w:type="dxa"/>
        <w:right w:w="100" w:type="dxa"/>
      </w:tblCellMar>
    </w:tblPr>
  </w:style>
  <w:style w:type="table" w:customStyle="1" w:styleId="TableNormal6">
    <w:name w:val="TableNormal"/>
    <w:rsid w:val="00F10721"/>
    <w:tblPr>
      <w:tblCellMar>
        <w:top w:w="100" w:type="dxa"/>
        <w:left w:w="100" w:type="dxa"/>
        <w:bottom w:w="100" w:type="dxa"/>
        <w:right w:w="100" w:type="dxa"/>
      </w:tblCellMar>
    </w:tblPr>
  </w:style>
  <w:style w:type="table" w:customStyle="1" w:styleId="TableNormal7">
    <w:name w:val="TableNormal"/>
    <w:rsid w:val="00F10721"/>
    <w:tblPr>
      <w:tblCellMar>
        <w:top w:w="100" w:type="dxa"/>
        <w:left w:w="100" w:type="dxa"/>
        <w:bottom w:w="100" w:type="dxa"/>
        <w:right w:w="100" w:type="dxa"/>
      </w:tblCellMar>
    </w:tblPr>
  </w:style>
  <w:style w:type="table" w:customStyle="1" w:styleId="a">
    <w:basedOn w:val="TableNormal7"/>
    <w:rsid w:val="00F10721"/>
    <w:tblPr>
      <w:tblStyleRowBandSize w:val="1"/>
      <w:tblStyleColBandSize w:val="1"/>
      <w:tblCellMar>
        <w:top w:w="100" w:type="dxa"/>
        <w:left w:w="100" w:type="dxa"/>
        <w:bottom w:w="100" w:type="dxa"/>
        <w:right w:w="100" w:type="dxa"/>
      </w:tblCellMar>
    </w:tblPr>
  </w:style>
  <w:style w:type="table" w:customStyle="1" w:styleId="a0">
    <w:basedOn w:val="TableNormal7"/>
    <w:rsid w:val="00F10721"/>
    <w:tblPr>
      <w:tblStyleRowBandSize w:val="1"/>
      <w:tblStyleColBandSize w:val="1"/>
      <w:tblCellMar>
        <w:top w:w="100" w:type="dxa"/>
        <w:left w:w="100" w:type="dxa"/>
        <w:bottom w:w="100" w:type="dxa"/>
        <w:right w:w="100" w:type="dxa"/>
      </w:tblCellMar>
    </w:tblPr>
  </w:style>
  <w:style w:type="table" w:customStyle="1" w:styleId="a1">
    <w:basedOn w:val="TableNormal7"/>
    <w:rsid w:val="00F10721"/>
    <w:tblPr>
      <w:tblStyleRowBandSize w:val="1"/>
      <w:tblStyleColBandSize w:val="1"/>
      <w:tblCellMar>
        <w:top w:w="100" w:type="dxa"/>
        <w:left w:w="100" w:type="dxa"/>
        <w:bottom w:w="100" w:type="dxa"/>
        <w:right w:w="100" w:type="dxa"/>
      </w:tblCellMar>
    </w:tblPr>
  </w:style>
  <w:style w:type="table" w:customStyle="1" w:styleId="a2">
    <w:basedOn w:val="TableNormal7"/>
    <w:rsid w:val="00F10721"/>
    <w:tblPr>
      <w:tblStyleRowBandSize w:val="1"/>
      <w:tblStyleColBandSize w:val="1"/>
      <w:tblCellMar>
        <w:top w:w="100" w:type="dxa"/>
        <w:left w:w="100" w:type="dxa"/>
        <w:bottom w:w="100" w:type="dxa"/>
        <w:right w:w="100" w:type="dxa"/>
      </w:tblCellMar>
    </w:tblPr>
  </w:style>
  <w:style w:type="table" w:customStyle="1" w:styleId="a3">
    <w:basedOn w:val="TableNormal7"/>
    <w:rsid w:val="00F10721"/>
    <w:tblPr>
      <w:tblStyleRowBandSize w:val="1"/>
      <w:tblStyleColBandSize w:val="1"/>
      <w:tblCellMar>
        <w:top w:w="100" w:type="dxa"/>
        <w:left w:w="100" w:type="dxa"/>
        <w:bottom w:w="100" w:type="dxa"/>
        <w:right w:w="100" w:type="dxa"/>
      </w:tblCellMar>
    </w:tblPr>
  </w:style>
  <w:style w:type="table" w:customStyle="1" w:styleId="a4">
    <w:basedOn w:val="TableNormal7"/>
    <w:rsid w:val="00F10721"/>
    <w:tblPr>
      <w:tblStyleRowBandSize w:val="1"/>
      <w:tblStyleColBandSize w:val="1"/>
      <w:tblCellMar>
        <w:top w:w="100" w:type="dxa"/>
        <w:left w:w="100" w:type="dxa"/>
        <w:bottom w:w="100" w:type="dxa"/>
        <w:right w:w="100" w:type="dxa"/>
      </w:tblCellMar>
    </w:tblPr>
  </w:style>
  <w:style w:type="table" w:customStyle="1" w:styleId="a5">
    <w:basedOn w:val="TableNormal7"/>
    <w:rsid w:val="00F10721"/>
    <w:tblPr>
      <w:tblStyleRowBandSize w:val="1"/>
      <w:tblStyleColBandSize w:val="1"/>
      <w:tblCellMar>
        <w:top w:w="100" w:type="dxa"/>
        <w:left w:w="100" w:type="dxa"/>
        <w:bottom w:w="100" w:type="dxa"/>
        <w:right w:w="100" w:type="dxa"/>
      </w:tblCellMar>
    </w:tblPr>
  </w:style>
  <w:style w:type="table" w:customStyle="1" w:styleId="a6">
    <w:basedOn w:val="TableNormal7"/>
    <w:rsid w:val="00F10721"/>
    <w:tblPr>
      <w:tblStyleRowBandSize w:val="1"/>
      <w:tblStyleColBandSize w:val="1"/>
      <w:tblCellMar>
        <w:top w:w="100" w:type="dxa"/>
        <w:left w:w="100" w:type="dxa"/>
        <w:bottom w:w="100" w:type="dxa"/>
        <w:right w:w="100" w:type="dxa"/>
      </w:tblCellMar>
    </w:tblPr>
  </w:style>
  <w:style w:type="table" w:customStyle="1" w:styleId="a7">
    <w:basedOn w:val="TableNormal7"/>
    <w:rsid w:val="00F10721"/>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596FD4"/>
    <w:pPr>
      <w:spacing w:after="100"/>
    </w:pPr>
  </w:style>
  <w:style w:type="paragraph" w:styleId="TOC2">
    <w:name w:val="toc 2"/>
    <w:basedOn w:val="Normal"/>
    <w:next w:val="Normal"/>
    <w:autoRedefine/>
    <w:uiPriority w:val="39"/>
    <w:unhideWhenUsed/>
    <w:rsid w:val="00596FD4"/>
    <w:pPr>
      <w:spacing w:after="100"/>
      <w:ind w:left="240"/>
    </w:pPr>
  </w:style>
  <w:style w:type="paragraph" w:styleId="TOC3">
    <w:name w:val="toc 3"/>
    <w:basedOn w:val="Normal"/>
    <w:next w:val="Normal"/>
    <w:autoRedefine/>
    <w:uiPriority w:val="39"/>
    <w:unhideWhenUsed/>
    <w:rsid w:val="00596FD4"/>
    <w:pPr>
      <w:spacing w:after="100"/>
      <w:ind w:left="480"/>
    </w:pPr>
  </w:style>
  <w:style w:type="character" w:styleId="Hyperlink">
    <w:name w:val="Hyperlink"/>
    <w:basedOn w:val="DefaultParagraphFont"/>
    <w:uiPriority w:val="99"/>
    <w:unhideWhenUsed/>
    <w:rsid w:val="00596FD4"/>
    <w:rPr>
      <w:color w:val="0000FF" w:themeColor="hyperlink"/>
      <w:u w:val="single"/>
    </w:rPr>
  </w:style>
  <w:style w:type="paragraph" w:styleId="NormalWeb">
    <w:name w:val="Normal (Web)"/>
    <w:basedOn w:val="Normal"/>
    <w:uiPriority w:val="99"/>
    <w:semiHidden/>
    <w:unhideWhenUsed/>
    <w:rsid w:val="003D104A"/>
    <w:pPr>
      <w:spacing w:before="100" w:beforeAutospacing="1" w:after="100" w:afterAutospacing="1" w:line="240" w:lineRule="auto"/>
      <w:jc w:val="left"/>
    </w:pPr>
    <w:rPr>
      <w:lang w:val="en-IN"/>
    </w:rPr>
  </w:style>
  <w:style w:type="table" w:customStyle="1" w:styleId="a8">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a">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d">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e">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0">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1">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2">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3">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4">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5">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6">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7">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8">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9">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a">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b">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c">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d">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e">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0">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1">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2">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3">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4">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5">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6">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7">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8">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9">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a">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b">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c">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d">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e">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0">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1">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2">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3">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4">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5">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6">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7">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8">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9">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a">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b">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c">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d">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e">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0">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1">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2">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3">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4">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5">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6">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7">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8">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9">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a">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b">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c">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d">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e">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0">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1">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2">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3">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4">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5">
    <w:basedOn w:val="TableNormal"/>
    <w:rsid w:val="00F10721"/>
    <w:tblPr>
      <w:tblStyleRowBandSize w:val="1"/>
      <w:tblStyleColBandSize w:val="1"/>
      <w:tblInd w:w="0" w:type="dxa"/>
      <w:tblCellMar>
        <w:top w:w="0" w:type="dxa"/>
        <w:left w:w="108" w:type="dxa"/>
        <w:bottom w:w="0" w:type="dxa"/>
        <w:right w:w="108" w:type="dxa"/>
      </w:tblCellMar>
    </w:tblPr>
  </w:style>
  <w:style w:type="paragraph" w:styleId="TOC4">
    <w:name w:val="toc 4"/>
    <w:basedOn w:val="Normal"/>
    <w:next w:val="Normal"/>
    <w:autoRedefine/>
    <w:uiPriority w:val="39"/>
    <w:unhideWhenUsed/>
    <w:rsid w:val="006413C7"/>
    <w:pPr>
      <w:spacing w:before="0" w:after="100" w:line="259" w:lineRule="auto"/>
      <w:ind w:left="660"/>
      <w:jc w:val="left"/>
    </w:pPr>
    <w:rPr>
      <w:rFonts w:asciiTheme="minorHAnsi" w:eastAsiaTheme="minorEastAsia" w:hAnsiTheme="minorHAnsi" w:cstheme="minorBidi"/>
      <w:sz w:val="22"/>
      <w:szCs w:val="22"/>
      <w:lang w:val="en-IN"/>
    </w:rPr>
  </w:style>
  <w:style w:type="paragraph" w:styleId="TOC5">
    <w:name w:val="toc 5"/>
    <w:basedOn w:val="Normal"/>
    <w:next w:val="Normal"/>
    <w:autoRedefine/>
    <w:uiPriority w:val="39"/>
    <w:unhideWhenUsed/>
    <w:rsid w:val="006413C7"/>
    <w:pPr>
      <w:spacing w:before="0" w:after="100" w:line="259" w:lineRule="auto"/>
      <w:ind w:left="880"/>
      <w:jc w:val="left"/>
    </w:pPr>
    <w:rPr>
      <w:rFonts w:asciiTheme="minorHAnsi" w:eastAsiaTheme="minorEastAsia" w:hAnsiTheme="minorHAnsi" w:cstheme="minorBidi"/>
      <w:sz w:val="22"/>
      <w:szCs w:val="22"/>
      <w:lang w:val="en-IN"/>
    </w:rPr>
  </w:style>
  <w:style w:type="paragraph" w:styleId="TOC6">
    <w:name w:val="toc 6"/>
    <w:basedOn w:val="Normal"/>
    <w:next w:val="Normal"/>
    <w:autoRedefine/>
    <w:uiPriority w:val="39"/>
    <w:unhideWhenUsed/>
    <w:rsid w:val="006413C7"/>
    <w:pPr>
      <w:spacing w:before="0" w:after="100" w:line="259" w:lineRule="auto"/>
      <w:ind w:left="1100"/>
      <w:jc w:val="left"/>
    </w:pPr>
    <w:rPr>
      <w:rFonts w:asciiTheme="minorHAnsi" w:eastAsiaTheme="minorEastAsia" w:hAnsiTheme="minorHAnsi" w:cstheme="minorBidi"/>
      <w:sz w:val="22"/>
      <w:szCs w:val="22"/>
      <w:lang w:val="en-IN"/>
    </w:rPr>
  </w:style>
  <w:style w:type="paragraph" w:styleId="TOC7">
    <w:name w:val="toc 7"/>
    <w:basedOn w:val="Normal"/>
    <w:next w:val="Normal"/>
    <w:autoRedefine/>
    <w:uiPriority w:val="39"/>
    <w:unhideWhenUsed/>
    <w:rsid w:val="006413C7"/>
    <w:pPr>
      <w:spacing w:before="0" w:after="100" w:line="259" w:lineRule="auto"/>
      <w:ind w:left="1320"/>
      <w:jc w:val="left"/>
    </w:pPr>
    <w:rPr>
      <w:rFonts w:asciiTheme="minorHAnsi" w:eastAsiaTheme="minorEastAsia" w:hAnsiTheme="minorHAnsi" w:cstheme="minorBidi"/>
      <w:sz w:val="22"/>
      <w:szCs w:val="22"/>
      <w:lang w:val="en-IN"/>
    </w:rPr>
  </w:style>
  <w:style w:type="paragraph" w:styleId="TOC8">
    <w:name w:val="toc 8"/>
    <w:basedOn w:val="Normal"/>
    <w:next w:val="Normal"/>
    <w:autoRedefine/>
    <w:uiPriority w:val="39"/>
    <w:unhideWhenUsed/>
    <w:rsid w:val="006413C7"/>
    <w:pPr>
      <w:spacing w:before="0" w:after="100" w:line="259" w:lineRule="auto"/>
      <w:ind w:left="1540"/>
      <w:jc w:val="left"/>
    </w:pPr>
    <w:rPr>
      <w:rFonts w:asciiTheme="minorHAnsi" w:eastAsiaTheme="minorEastAsia" w:hAnsiTheme="minorHAnsi" w:cstheme="minorBidi"/>
      <w:sz w:val="22"/>
      <w:szCs w:val="22"/>
      <w:lang w:val="en-IN"/>
    </w:rPr>
  </w:style>
  <w:style w:type="paragraph" w:styleId="TOC9">
    <w:name w:val="toc 9"/>
    <w:basedOn w:val="Normal"/>
    <w:next w:val="Normal"/>
    <w:autoRedefine/>
    <w:uiPriority w:val="39"/>
    <w:unhideWhenUsed/>
    <w:rsid w:val="006413C7"/>
    <w:pPr>
      <w:spacing w:before="0" w:after="100" w:line="259" w:lineRule="auto"/>
      <w:ind w:left="1760"/>
      <w:jc w:val="left"/>
    </w:pPr>
    <w:rPr>
      <w:rFonts w:asciiTheme="minorHAnsi" w:eastAsiaTheme="minorEastAsia" w:hAnsiTheme="minorHAnsi" w:cstheme="minorBidi"/>
      <w:sz w:val="22"/>
      <w:szCs w:val="22"/>
      <w:lang w:val="en-IN"/>
    </w:rPr>
  </w:style>
  <w:style w:type="table" w:customStyle="1" w:styleId="afffff6">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7">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8">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9">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a">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b">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c">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d">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e">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f">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f0">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1">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2">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3">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4">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5">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6">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7">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8">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9">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a">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b">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c">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d">
    <w:basedOn w:val="TableNormal"/>
    <w:rsid w:val="00F10721"/>
    <w:tblPr>
      <w:tblStyleRowBandSize w:val="1"/>
      <w:tblStyleColBandSize w:val="1"/>
      <w:tblInd w:w="0" w:type="dxa"/>
      <w:tblCellMar>
        <w:top w:w="0" w:type="dxa"/>
        <w:left w:w="108" w:type="dxa"/>
        <w:bottom w:w="0" w:type="dxa"/>
        <w:right w:w="108" w:type="dxa"/>
      </w:tblCellMar>
    </w:tblPr>
  </w:style>
  <w:style w:type="paragraph" w:styleId="Subtitle">
    <w:name w:val="Subtitle"/>
    <w:basedOn w:val="Normal"/>
    <w:next w:val="Normal"/>
    <w:rsid w:val="00F10721"/>
    <w:pPr>
      <w:keepNext/>
      <w:keepLines/>
      <w:spacing w:before="0" w:after="320"/>
    </w:pPr>
    <w:rPr>
      <w:color w:val="666666"/>
      <w:sz w:val="30"/>
      <w:szCs w:val="30"/>
    </w:rPr>
  </w:style>
  <w:style w:type="table" w:customStyle="1" w:styleId="affffffe">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ff0">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ff1">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2">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3">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ff4">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ff5">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ff6">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ff7">
    <w:basedOn w:val="TableNormal"/>
    <w:rsid w:val="00F10721"/>
    <w:tblPr>
      <w:tblStyleRowBandSize w:val="1"/>
      <w:tblStyleColBandSize w:val="1"/>
      <w:tblInd w:w="0" w:type="dxa"/>
      <w:tblCellMar>
        <w:top w:w="100" w:type="dxa"/>
        <w:left w:w="100" w:type="dxa"/>
        <w:bottom w:w="100" w:type="dxa"/>
        <w:right w:w="100" w:type="dxa"/>
      </w:tblCellMar>
    </w:tblPr>
  </w:style>
  <w:style w:type="table" w:customStyle="1" w:styleId="afffffff8">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9">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a">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b">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c">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d">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e">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0">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1">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2">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3">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4">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5">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6">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7">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8">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9">
    <w:basedOn w:val="TableNormal"/>
    <w:rsid w:val="00F10721"/>
    <w:tblPr>
      <w:tblStyleRowBandSize w:val="1"/>
      <w:tblStyleColBandSize w:val="1"/>
      <w:tblInd w:w="0" w:type="dxa"/>
      <w:tblCellMar>
        <w:top w:w="0" w:type="dxa"/>
        <w:left w:w="108" w:type="dxa"/>
        <w:bottom w:w="0" w:type="dxa"/>
        <w:right w:w="108" w:type="dxa"/>
      </w:tblCellMar>
    </w:tblPr>
  </w:style>
  <w:style w:type="table" w:customStyle="1" w:styleId="affffffffa">
    <w:basedOn w:val="TableNormal"/>
    <w:rsid w:val="00F10721"/>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606E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06E5"/>
    <w:rPr>
      <w:rFonts w:ascii="Tahoma" w:hAnsi="Tahoma" w:cs="Tahoma"/>
      <w:sz w:val="16"/>
      <w:szCs w:val="16"/>
    </w:rPr>
  </w:style>
  <w:style w:type="paragraph" w:styleId="TOCHeading">
    <w:name w:val="TOC Heading"/>
    <w:basedOn w:val="Heading1"/>
    <w:next w:val="Normal"/>
    <w:uiPriority w:val="39"/>
    <w:semiHidden/>
    <w:unhideWhenUsed/>
    <w:qFormat/>
    <w:rsid w:val="00E606E5"/>
    <w:pPr>
      <w:spacing w:before="480" w:after="0" w:line="276" w:lineRule="auto"/>
      <w:jc w:val="left"/>
      <w:outlineLvl w:val="9"/>
    </w:pPr>
    <w:rPr>
      <w:rFonts w:asciiTheme="majorHAnsi" w:eastAsiaTheme="majorEastAsia" w:hAnsiTheme="majorHAnsi" w:cstheme="majorBidi"/>
      <w:color w:val="365F91" w:themeColor="accent1" w:themeShade="BF"/>
      <w:lang w:eastAsia="en-US"/>
    </w:rPr>
  </w:style>
  <w:style w:type="paragraph" w:styleId="Header">
    <w:name w:val="header"/>
    <w:basedOn w:val="Normal"/>
    <w:link w:val="HeaderChar"/>
    <w:uiPriority w:val="99"/>
    <w:semiHidden/>
    <w:unhideWhenUsed/>
    <w:rsid w:val="00627066"/>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627066"/>
  </w:style>
  <w:style w:type="paragraph" w:styleId="Footer">
    <w:name w:val="footer"/>
    <w:basedOn w:val="Normal"/>
    <w:link w:val="FooterChar"/>
    <w:uiPriority w:val="99"/>
    <w:semiHidden/>
    <w:unhideWhenUsed/>
    <w:rsid w:val="00627066"/>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627066"/>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26" Type="http://schemas.openxmlformats.org/officeDocument/2006/relationships/hyperlink" Target="https://www.tandfonline.com/doi/full/10.1080/09537287.2023.2217489" TargetMode="External"/><Relationship Id="rId117" Type="http://schemas.openxmlformats.org/officeDocument/2006/relationships/hyperlink" Target="https://www.oecd.org/en/publications/local-retail-global-trends_55e2edec-en/full-report/the-twin-transition-of-retail-smes_e9ff5378.html" TargetMode="External"/><Relationship Id="rId21" Type="http://schemas.openxmlformats.org/officeDocument/2006/relationships/hyperlink" Target="https://www.sciencedirect.com/journal/research-in-transportation-economics/vol/103/suppl/C" TargetMode="External"/><Relationship Id="rId42" Type="http://schemas.openxmlformats.org/officeDocument/2006/relationships/hyperlink" Target="https://www.consultancy.uk/news/44287/london-now-worlds-second-most-expensive-office-fit-out-market" TargetMode="External"/><Relationship Id="rId47"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63" Type="http://schemas.openxmlformats.org/officeDocument/2006/relationships/hyperlink" Target="https://www.find-tender.service.gov.uk/Notice/051565-2025?utm_source=chatgpt.com" TargetMode="External"/><Relationship Id="rId68" Type="http://schemas.openxmlformats.org/officeDocument/2006/relationships/hyperlink" Target="https://globaltrashsolutions.com/blog/waste-reduction-strategies-for-retail-chains" TargetMode="External"/><Relationship Id="rId84" Type="http://schemas.openxmlformats.org/officeDocument/2006/relationships/hyperlink" Target="https://www.sciencedirect.com/science/article/pii/S2212827124000933/pdf?md5=eef925a01737505493cc025e4f44a238&amp;pid=1-s2.0-S2212827124000933-main.pdf" TargetMode="External"/><Relationship Id="rId89" Type="http://schemas.openxmlformats.org/officeDocument/2006/relationships/hyperlink" Target="https://doi.org/10.69554/NJQQ4314" TargetMode="External"/><Relationship Id="rId112" Type="http://schemas.openxmlformats.org/officeDocument/2006/relationships/hyperlink" Target="https://www.sciencedirect.com/science/article/pii/S0959652623002962" TargetMode="External"/><Relationship Id="rId133" Type="http://schemas.openxmlformats.org/officeDocument/2006/relationships/hyperlink" Target="https://www.mdpi.com/2071-1050/14/20/13273" TargetMode="External"/><Relationship Id="rId138" Type="http://schemas.openxmlformats.org/officeDocument/2006/relationships/hyperlink" Target="https://www.recykal.com/trending-blog/environmental-impact-of-landfills-and-waste-diversion-in-2025" TargetMode="External"/><Relationship Id="rId154" Type="http://schemas.openxmlformats.org/officeDocument/2006/relationships/hyperlink" Target="https://www.sciencedirect.com/science/article/pii/S0965856420307734" TargetMode="External"/><Relationship Id="rId159" Type="http://schemas.openxmlformats.org/officeDocument/2006/relationships/footer" Target="footer1.xml"/><Relationship Id="rId16" Type="http://schemas.openxmlformats.org/officeDocument/2006/relationships/image" Target="media/image9.jpeg"/><Relationship Id="rId107" Type="http://schemas.openxmlformats.org/officeDocument/2006/relationships/hyperlink" Target="https://www.merchantsavvy.co.uk/uk-sme-data-stats-charts/" TargetMode="External"/><Relationship Id="rId11" Type="http://schemas.openxmlformats.org/officeDocument/2006/relationships/image" Target="media/image4.png"/><Relationship Id="rId32" Type="http://schemas.openxmlformats.org/officeDocument/2006/relationships/hyperlink" Target="https://www.sciencedirect.com/science/article/pii/S0040162525000733" TargetMode="External"/><Relationship Id="rId37" Type="http://schemas.openxmlformats.org/officeDocument/2006/relationships/hyperlink" Target="https://onlinelibrary.wiley.com/doi/10.1111/jbl.12368" TargetMode="External"/><Relationship Id="rId53" Type="http://schemas.openxmlformats.org/officeDocument/2006/relationships/hyperlink" Target="https://4spepublications.onlinelibrary.wiley.com/doi/10.1002/pls2.10171" TargetMode="External"/><Relationship Id="rId58"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74" Type="http://schemas.openxmlformats.org/officeDocument/2006/relationships/hyperlink" Target="https://www.ons.gov.uk/businessindustryandtrade/business/activitysizeandlocation/bulletins/ukbusinessactivitysizeandlocation/2025" TargetMode="External"/><Relationship Id="rId79" Type="http://schemas.openxmlformats.org/officeDocument/2006/relationships/hyperlink" Target="https://www.grundon.com/" TargetMode="External"/><Relationship Id="rId102" Type="http://schemas.openxmlformats.org/officeDocument/2006/relationships/hyperlink" Target="https://www.mdpi.com/2304-8158/13/19/3045" TargetMode="External"/><Relationship Id="rId123" Type="http://schemas.openxmlformats.org/officeDocument/2006/relationships/hyperlink" Target="https://doi.org/10.1016/j.igd.2025.100258" TargetMode="External"/><Relationship Id="rId128" Type="http://schemas.openxmlformats.org/officeDocument/2006/relationships/hyperlink" Target="https://pecb.com/en/article/the-importance-of-occupational-health-and-safety" TargetMode="External"/><Relationship Id="rId144" Type="http://schemas.openxmlformats.org/officeDocument/2006/relationships/hyperlink" Target="https://www.sciencedirect.com/science/article/pii/S0024630122000012" TargetMode="External"/><Relationship Id="rId149" Type="http://schemas.openxmlformats.org/officeDocument/2006/relationships/hyperlink" Target="https://www.mdpi.com/2071-1050/18/8/4006" TargetMode="External"/><Relationship Id="rId5" Type="http://schemas.openxmlformats.org/officeDocument/2006/relationships/webSettings" Target="webSettings.xml"/><Relationship Id="rId90" Type="http://schemas.openxmlformats.org/officeDocument/2006/relationships/hyperlink" Target="https://link.springer.com/article/10.1007/s43621-025-01497-y" TargetMode="External"/><Relationship Id="rId95" Type="http://schemas.openxmlformats.org/officeDocument/2006/relationships/hyperlink" Target="https://www.sciencedirect.com/science/article/pii/S0019850124000142" TargetMode="External"/><Relationship Id="rId160" Type="http://schemas.openxmlformats.org/officeDocument/2006/relationships/fontTable" Target="fontTable.xml"/><Relationship Id="rId22" Type="http://schemas.openxmlformats.org/officeDocument/2006/relationships/hyperlink" Target="https://onlinelibrary.wiley.com/doi/pdf/10.1111/radm.12707" TargetMode="External"/><Relationship Id="rId27" Type="http://schemas.openxmlformats.org/officeDocument/2006/relationships/hyperlink" Target="https://www.mdpi.com/2071-1050/14/1/410" TargetMode="External"/><Relationship Id="rId43" Type="http://schemas.openxmlformats.org/officeDocument/2006/relationships/hyperlink" Target="https://www.ons.gov.uk/businessindustryandtrade/business/activitysizeandlocation/bulletins/ukbusinessactivitysizeandlocation/2025" TargetMode="External"/><Relationship Id="rId48"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64" Type="http://schemas.openxmlformats.org/officeDocument/2006/relationships/hyperlink" Target="https://www.sciencedirect.com/journal/technovation/vol/129/suppl/C" TargetMode="External"/><Relationship Id="rId69" Type="http://schemas.openxmlformats.org/officeDocument/2006/relationships/hyperlink" Target="https://www.coggin-sos.co.uk/beyond-recycling-the-role-of-office-furniture-in-a-truly-sustainable-econom" TargetMode="External"/><Relationship Id="rId113" Type="http://schemas.openxmlformats.org/officeDocument/2006/relationships/hyperlink" Target="https://www.mdpi.com/2071-1050/15/18/13949" TargetMode="External"/><Relationship Id="rId118" Type="http://schemas.openxmlformats.org/officeDocument/2006/relationships/hyperlink" Target="https://www.ons.gov.uk/employmentandlabourmarket/peopleinwork/employmentandemployeetypes/articles/whohasaccesstohybridworkingreatbritain/latest" TargetMode="External"/><Relationship Id="rId134" Type="http://schemas.openxmlformats.org/officeDocument/2006/relationships/hyperlink" Target="https://www.mdpi.com/2504-4494/10/4/112" TargetMode="External"/><Relationship Id="rId139" Type="http://schemas.openxmlformats.org/officeDocument/2006/relationships/hyperlink" Target="https://www.emerald.com/ijqrm/article/39/2/428/314305/Lean-practices-and-operational-performance-the" TargetMode="External"/><Relationship Id="rId80" Type="http://schemas.openxmlformats.org/officeDocument/2006/relationships/hyperlink" Target="https://www.researchgate.net/publication/323082261_Cost-based_price_and_value-based_price_are_they_conflicting_approaches" TargetMode="External"/><Relationship Id="rId85" Type="http://schemas.openxmlformats.org/officeDocument/2006/relationships/hyperlink" Target="https://www.mdpi.com/2079-8954/12/6/220" TargetMode="External"/><Relationship Id="rId150" Type="http://schemas.openxmlformats.org/officeDocument/2006/relationships/hyperlink" Target="https://www.sciencedirect.com/science/article/abs/pii/S0959652624017839" TargetMode="External"/><Relationship Id="rId155" Type="http://schemas.openxmlformats.org/officeDocument/2006/relationships/hyperlink" Target="https://www.wrap.ngo/resources/case-study/crown-workspace-ltd-leading-way-office-furniture-reuse?utm_source=chatgpt.com"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onlinelibrary.wiley.com/doi/pdfdirect/10.1111/isj.12436" TargetMode="External"/><Relationship Id="rId38" Type="http://schemas.openxmlformats.org/officeDocument/2006/relationships/hyperlink" Target="https://www.ons.gov.uk/businessindustryandtrade/business/activitysizeandlocation/bulletins/ukbusinessactivitysizeandlocation/2025" TargetMode="External"/><Relationship Id="rId59" Type="http://schemas.openxmlformats.org/officeDocument/2006/relationships/hyperlink" Target="https://www.mdpi.com/2071-1050/17/11/4898" TargetMode="External"/><Relationship Id="rId103" Type="http://schemas.openxmlformats.org/officeDocument/2006/relationships/hyperlink" Target="https://www.marketdataforecast.com/market-reports/united-kingdom-waste-management-market" TargetMode="External"/><Relationship Id="rId108" Type="http://schemas.openxmlformats.org/officeDocument/2006/relationships/hyperlink" Target="https://onlinelibrary.wiley.com/doi/pdf/10.1002/bse.3192" TargetMode="External"/><Relationship Id="rId124" Type="http://schemas.openxmlformats.org/officeDocument/2006/relationships/hyperlink" Target="https://onlinelibrary.wiley.com/doi/10.1002/clem.70013" TargetMode="External"/><Relationship Id="rId129" Type="http://schemas.openxmlformats.org/officeDocument/2006/relationships/hyperlink" Target="https://www.mdpi.com/2071-1050/16/15/6544" TargetMode="External"/><Relationship Id="rId20" Type="http://schemas.openxmlformats.org/officeDocument/2006/relationships/hyperlink" Target="https://www.sciencedirect.com/science/article/pii/S0925527323001950" TargetMode="External"/><Relationship Id="rId41" Type="http://schemas.openxmlformats.org/officeDocument/2006/relationships/hyperlink" Target="https://www.consultancy.uk/news/44287/london-now-worlds-second-most-expensive-office-fit-out-market?utm_source=chatgpt.com" TargetMode="External"/><Relationship Id="rId54" Type="http://schemas.openxmlformats.org/officeDocument/2006/relationships/hyperlink" Target="https://doi.org/10.1016/j.indic.2025.100746" TargetMode="External"/><Relationship Id="rId62" Type="http://schemas.openxmlformats.org/officeDocument/2006/relationships/hyperlink" Target="https://www.find-tender.service.gov.uk/Notice/051565-2025?utm_source=chatgpt.com" TargetMode="External"/><Relationship Id="rId70" Type="http://schemas.openxmlformats.org/officeDocument/2006/relationships/hyperlink" Target="https://www.gov.uk/dispose-business-commercial-waste" TargetMode="External"/><Relationship Id="rId75" Type="http://schemas.openxmlformats.org/officeDocument/2006/relationships/hyperlink" Target="https://www.gov.uk/government/publications/backing-your-business-our-plan-for-small-and-medium-sized-businesses/backing-your-business-our-plan-for-small-and-medium-sized-businesses-web-version" TargetMode="External"/><Relationship Id="rId83" Type="http://schemas.openxmlformats.org/officeDocument/2006/relationships/hyperlink" Target="https://www.sciencedirect.com/journal/international-journal-of-production-economics/vol/275/suppl/C" TargetMode="External"/><Relationship Id="rId88" Type="http://schemas.openxmlformats.org/officeDocument/2006/relationships/hyperlink" Target="https://doi.org/10.51594/ijmer.v6i9.1533" TargetMode="External"/><Relationship Id="rId91" Type="http://schemas.openxmlformats.org/officeDocument/2006/relationships/hyperlink" Target="https://www.sciencedirect.com/science/article/pii/S1366554526000773" TargetMode="External"/><Relationship Id="rId96" Type="http://schemas.openxmlformats.org/officeDocument/2006/relationships/hyperlink" Target="https://link.springer.com/article/10.1186/s13731-025-00515-7" TargetMode="External"/><Relationship Id="rId111" Type="http://schemas.openxmlformats.org/officeDocument/2006/relationships/hyperlink" Target="https://www.researchgate.net/publication/394186609_Modular_System_of_Cabinets_for_Mass-Customized_Furniture" TargetMode="External"/><Relationship Id="rId132" Type="http://schemas.openxmlformats.org/officeDocument/2006/relationships/hyperlink" Target="https://www.tandfonline.com/doi/full/10.1080/00207543.2025.2555531" TargetMode="External"/><Relationship Id="rId140" Type="http://schemas.openxmlformats.org/officeDocument/2006/relationships/hyperlink" Target="https://doi.org/10.1016/j.envsci.2024.103859" TargetMode="External"/><Relationship Id="rId145" Type="http://schemas.openxmlformats.org/officeDocument/2006/relationships/hyperlink" Target="https://www.sciencedirect.com/science/article/pii/S2772912525002295" TargetMode="External"/><Relationship Id="rId153" Type="http://schemas.openxmlformats.org/officeDocument/2006/relationships/hyperlink" Target="https://doi.org/10.3390/su17083728" TargetMode="External"/><Relationship Id="rId16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sciencedirect.com/science/article/pii/S0301479725039647?via%3Dihub" TargetMode="External"/><Relationship Id="rId28" Type="http://schemas.openxmlformats.org/officeDocument/2006/relationships/hyperlink" Target="https://www.sciencedirect.com/science/article/pii/S0921344924003756" TargetMode="External"/><Relationship Id="rId36" Type="http://schemas.openxmlformats.org/officeDocument/2006/relationships/hyperlink" Target="https://leyton.com/uk/insights/articles/uk-sme-statistics/" TargetMode="External"/><Relationship Id="rId49" Type="http://schemas.openxmlformats.org/officeDocument/2006/relationships/hyperlink" Target="https://doi.org/10.20944/preprints202407.0614.v1" TargetMode="External"/><Relationship Id="rId57" Type="http://schemas.openxmlformats.org/officeDocument/2006/relationships/hyperlink" Target="https://www.gov.uk/government/statistics/uk-waste-data/uk-statistics-on-waste" TargetMode="External"/><Relationship Id="rId106" Type="http://schemas.openxmlformats.org/officeDocument/2006/relationships/hyperlink" Target="https://doi.org/10.1007/978-3-031-76560-5_12" TargetMode="External"/><Relationship Id="rId114" Type="http://schemas.openxmlformats.org/officeDocument/2006/relationships/hyperlink" Target="https://www.researchgate.net/publication/276228917_Value-based_pricing_A_success_factor_in_the_competitive_struggle" TargetMode="External"/><Relationship Id="rId119" Type="http://schemas.openxmlformats.org/officeDocument/2006/relationships/hyperlink" Target="https://www.ons.gov.uk/employmentandlabourmarket/peopleinwork/employmentandemployeetypes/articles/whohasaccesstohybridworkingreatbritain/latest" TargetMode="External"/><Relationship Id="rId127" Type="http://schemas.openxmlformats.org/officeDocument/2006/relationships/hyperlink" Target="https://link.springer.com/article/10.1007/s43039-023-00063-6" TargetMode="External"/><Relationship Id="rId10" Type="http://schemas.openxmlformats.org/officeDocument/2006/relationships/image" Target="media/image3.png"/><Relationship Id="rId31" Type="http://schemas.openxmlformats.org/officeDocument/2006/relationships/hyperlink" Target="https://www.mdpi.com/2075-5309/14/1/260" TargetMode="External"/><Relationship Id="rId44" Type="http://schemas.openxmlformats.org/officeDocument/2006/relationships/hyperlink" Target="https://www.ons.gov.uk/businessindustryandtrade/business/activitysizeandlocation/bulletins/ukbusinessactivitysizeandlocation/2025" TargetMode="External"/><Relationship Id="rId52" Type="http://schemas.openxmlformats.org/officeDocument/2006/relationships/hyperlink" Target="https://link.springer.com/article/10.1007/s43615-026-00773-x" TargetMode="External"/><Relationship Id="rId60" Type="http://schemas.openxmlformats.org/officeDocument/2006/relationships/hyperlink" Target="https://onlinelibrary.wiley.com/doi/full/10.1002/bse.70943" TargetMode="External"/><Relationship Id="rId65" Type="http://schemas.openxmlformats.org/officeDocument/2006/relationships/hyperlink" Target="https://link.springer.com/article/10.1007/s43615-026-00775-9" TargetMode="External"/><Relationship Id="rId73" Type="http://schemas.openxmlformats.org/officeDocument/2006/relationships/hyperlink" Target="https://www.gov.uk/government/statistics/uk-waste-data/uk-statistics-on-waste" TargetMode="External"/><Relationship Id="rId78" Type="http://schemas.openxmlformats.org/officeDocument/2006/relationships/hyperlink" Target="https://greenspaceinnovations.co.uk/uk-recycling-rate-rises-to-44-6-as-waste-to-landfill-falls/" TargetMode="External"/><Relationship Id="rId81" Type="http://schemas.openxmlformats.org/officeDocument/2006/relationships/hyperlink" Target="https://onlinelibrary.wiley.com/doi/pdf/10.1002/csr.70489" TargetMode="External"/><Relationship Id="rId86" Type="http://schemas.openxmlformats.org/officeDocument/2006/relationships/hyperlink" Target="https://www.tandfonline.com/doi/full/10.1080/1359432X.2026.2648294" TargetMode="External"/><Relationship Id="rId94" Type="http://schemas.openxmlformats.org/officeDocument/2006/relationships/hyperlink" Target="https://doi.org/10.3390/su142416336" TargetMode="External"/><Relationship Id="rId99" Type="http://schemas.openxmlformats.org/officeDocument/2006/relationships/hyperlink" Target="https://link.springer.com/article/10.1057/s41270-026-00470-6" TargetMode="External"/><Relationship Id="rId101" Type="http://schemas.openxmlformats.org/officeDocument/2006/relationships/hyperlink" Target="https://www.gov.uk/government/news/national-living-wage-increases-to-1271-per-hour" TargetMode="External"/><Relationship Id="rId122" Type="http://schemas.openxmlformats.org/officeDocument/2006/relationships/hyperlink" Target="https://www.ons.gov.uk/economy/inflationandpriceindices/bulletins/consumerpriceinflation/june2026" TargetMode="External"/><Relationship Id="rId130" Type="http://schemas.openxmlformats.org/officeDocument/2006/relationships/hyperlink" Target="https://www.sciencedirect.com/science/article/pii/S1364032122002982" TargetMode="External"/><Relationship Id="rId135" Type="http://schemas.openxmlformats.org/officeDocument/2006/relationships/hyperlink" Target="https://www.sciencedirect.com/science/article/pii/S2590291125004164" TargetMode="External"/><Relationship Id="rId143" Type="http://schemas.openxmlformats.org/officeDocument/2006/relationships/hyperlink" Target="https://www.mdpi.com/2071-1050/13/13/7266" TargetMode="External"/><Relationship Id="rId148" Type="http://schemas.openxmlformats.org/officeDocument/2006/relationships/hyperlink" Target="https://link.springer.com/article/10.1007/s00163-022-00404-0" TargetMode="External"/><Relationship Id="rId151" Type="http://schemas.openxmlformats.org/officeDocument/2006/relationships/hyperlink" Target="https://www.researchgate.net/publication/381663947_The_Application_of_QR_Codes_in_the_Field_of_E-Business_in_the_Case_of_Order_Tracking_and_Logistics" TargetMode="External"/><Relationship Id="rId156" Type="http://schemas.openxmlformats.org/officeDocument/2006/relationships/hyperlink" Target="https://www.wrap.ngo/resources/case-study/crown-workspace-ltd-leading-way-office-furniture-reuse?utm_source=chatgpt.com"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hyperlink" Target="https://www.sciencedirect.com/science/article/pii/S0148296326003917" TargetMode="External"/><Relationship Id="rId109" Type="http://schemas.openxmlformats.org/officeDocument/2006/relationships/hyperlink" Target="https://onlinelibrary.wiley.com/doi/pdf/10.1002/eet.1927" TargetMode="External"/><Relationship Id="rId34" Type="http://schemas.openxmlformats.org/officeDocument/2006/relationships/hyperlink" Target="https://www.mdpi.com/2071-1050/14/2/609" TargetMode="External"/><Relationship Id="rId50" Type="http://schemas.openxmlformats.org/officeDocument/2006/relationships/hyperlink" Target="https://www.mdpi.com/2075-5309/13/7/1862" TargetMode="External"/><Relationship Id="rId55" Type="http://schemas.openxmlformats.org/officeDocument/2006/relationships/hyperlink" Target="https://www.mdpi.com/2071-1050/17/23/10460" TargetMode="External"/><Relationship Id="rId76" Type="http://schemas.openxmlformats.org/officeDocument/2006/relationships/hyperlink" Target="https://www.gov.uk/government/news/national-living-wage-increases-to-1271-per-hour" TargetMode="External"/><Relationship Id="rId97" Type="http://schemas.openxmlformats.org/officeDocument/2006/relationships/hyperlink" Target="https://www.sciencedirect.com/science/article/pii/S2352186422003686" TargetMode="External"/><Relationship Id="rId104" Type="http://schemas.openxmlformats.org/officeDocument/2006/relationships/hyperlink" Target="https://www.mdpi.com/2071-1050/18/3/1484" TargetMode="External"/><Relationship Id="rId120" Type="http://schemas.openxmlformats.org/officeDocument/2006/relationships/hyperlink" Target="https://www.ons.gov.uk/businessindustryandtrade/business/activitysizeandlocation/bulletins/ukbusinessactivitysizeandlocation/2025" TargetMode="External"/><Relationship Id="rId125" Type="http://schemas.openxmlformats.org/officeDocument/2006/relationships/hyperlink" Target="https://www.mdpi.com/2413-8851/9/5/167" TargetMode="External"/><Relationship Id="rId141" Type="http://schemas.openxmlformats.org/officeDocument/2006/relationships/hyperlink" Target="https://www.mdpi.com/2071-1050/16/19/8667" TargetMode="External"/><Relationship Id="rId146" Type="http://schemas.openxmlformats.org/officeDocument/2006/relationships/hyperlink" Target="https://onlinelibrary.wiley.com/doi/pdfdirect/10.1002/bse.3297" TargetMode="External"/><Relationship Id="rId7" Type="http://schemas.openxmlformats.org/officeDocument/2006/relationships/endnotes" Target="endnotes.xml"/><Relationship Id="rId71" Type="http://schemas.openxmlformats.org/officeDocument/2006/relationships/hyperlink" Target="https://www.gov.uk/government/statistics/estimates-of-residual-waste-and-municipal-residual-waste-in-england/estimates-of-residual-waste-excluding-major-mineral-wastes-and-municipal-residual-waste-in-england" TargetMode="External"/><Relationship Id="rId92" Type="http://schemas.openxmlformats.org/officeDocument/2006/relationships/hyperlink" Target="https://www.sciencedirect.com/journal/journal-of-cleaner-production/vol/442/suppl/C" TargetMode="External"/><Relationship Id="rId2" Type="http://schemas.openxmlformats.org/officeDocument/2006/relationships/numbering" Target="numbering.xml"/><Relationship Id="rId29" Type="http://schemas.openxmlformats.org/officeDocument/2006/relationships/hyperlink" Target="https://www.mdpi.com/2071-1050/13/16/9274" TargetMode="External"/><Relationship Id="rId24" Type="http://schemas.openxmlformats.org/officeDocument/2006/relationships/hyperlink" Target="https://link.springer.com/article/10.1007/s43621-025-01270-1" TargetMode="External"/><Relationship Id="rId40" Type="http://schemas.openxmlformats.org/officeDocument/2006/relationships/hyperlink" Target="https://www.tandfonline.com/doi/full/10.1080/17569370.2026.2639755" TargetMode="External"/><Relationship Id="rId45" Type="http://schemas.openxmlformats.org/officeDocument/2006/relationships/hyperlink" Target="https://www.ons.gov.uk/employmentandlabourmarket/peopleinwork/employmentandemployeetypes/articles/whohasaccesstohybridworkingreatbritain/latest" TargetMode="External"/><Relationship Id="rId66" Type="http://schemas.openxmlformats.org/officeDocument/2006/relationships/hyperlink" Target="https://www.sciencedirect.com/journal/journal-of-industrial-information-integration/vol/42/suppl/C" TargetMode="External"/><Relationship Id="rId87" Type="http://schemas.openxmlformats.org/officeDocument/2006/relationships/hyperlink" Target="https://doi.org/10.1007/s11846-026-00971-9?urlappend=%3Futm_source%3Dresearchgate.net%26utm_medium%3Darticle" TargetMode="External"/><Relationship Id="rId110" Type="http://schemas.openxmlformats.org/officeDocument/2006/relationships/hyperlink" Target="https://www.sciencedirect.com/science/article/pii/S1366554524003788" TargetMode="External"/><Relationship Id="rId115" Type="http://schemas.openxmlformats.org/officeDocument/2006/relationships/hyperlink" Target="https://www.sciencedirect.com/science/article/pii/S0925753524002625" TargetMode="External"/><Relationship Id="rId131" Type="http://schemas.openxmlformats.org/officeDocument/2006/relationships/hyperlink" Target="https://www.sciencedirect.com/journal/information-and-management/vol/60/issue/5" TargetMode="External"/><Relationship Id="rId136" Type="http://schemas.openxmlformats.org/officeDocument/2006/relationships/hyperlink" Target="https://www.forbes.com/advisor/uk/business/software/website-statistics/" TargetMode="External"/><Relationship Id="rId157" Type="http://schemas.openxmlformats.org/officeDocument/2006/relationships/hyperlink" Target="https://www.sciencedirect.com/science/article/pii/S092552732500091X" TargetMode="External"/><Relationship Id="rId61" Type="http://schemas.openxmlformats.org/officeDocument/2006/relationships/hyperlink" Target="https://ec.europa.eu/research/participants/documents/downloadPublic?documentIds=080166e51297820f&amp;appId=PPGMS" TargetMode="External"/><Relationship Id="rId82" Type="http://schemas.openxmlformats.org/officeDocument/2006/relationships/hyperlink" Target="https://doi.org/10.1016/j.joitmc.2023.100039" TargetMode="External"/><Relationship Id="rId152" Type="http://schemas.openxmlformats.org/officeDocument/2006/relationships/hyperlink" Target="https://www.veolia.com/en/veolia-group/profile/business-activities/waste-management"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biffa.co.uk/" TargetMode="External"/><Relationship Id="rId35" Type="http://schemas.openxmlformats.org/officeDocument/2006/relationships/hyperlink" Target="https://www.sustainablex.co.uk/sustainable-business-model/" TargetMode="External"/><Relationship Id="rId56" Type="http://schemas.openxmlformats.org/officeDocument/2006/relationships/hyperlink" Target="https://www.gov.uk/government/statistics/uk-waste-data/uk-statistics-on-waste" TargetMode="External"/><Relationship Id="rId77" Type="http://schemas.openxmlformats.org/officeDocument/2006/relationships/hyperlink" Target="https://www.grandviewresearch.com/horizon/outlook/eco-friendly-furniture-market/uk" TargetMode="External"/><Relationship Id="rId100" Type="http://schemas.openxmlformats.org/officeDocument/2006/relationships/hyperlink" Target="https://www.mdpi.com/0718-1876/20/3/201" TargetMode="External"/><Relationship Id="rId105" Type="http://schemas.openxmlformats.org/officeDocument/2006/relationships/hyperlink" Target="https://www.sciencedirect.com/science/article/pii/S0959652623005000" TargetMode="External"/><Relationship Id="rId126" Type="http://schemas.openxmlformats.org/officeDocument/2006/relationships/hyperlink" Target="https://www.sciencedirect.com/science/article/pii/S2096248724000456" TargetMode="External"/><Relationship Id="rId147" Type="http://schemas.openxmlformats.org/officeDocument/2006/relationships/hyperlink" Target="https://www.mdpi.com/2071-1050/13/20/11443" TargetMode="External"/><Relationship Id="rId8" Type="http://schemas.openxmlformats.org/officeDocument/2006/relationships/image" Target="media/image1.jpeg"/><Relationship Id="rId51" Type="http://schemas.openxmlformats.org/officeDocument/2006/relationships/hyperlink" Target="https://www.workingfromcoffeeshops.co.uk/blog/working-from-home-statistics-uk" TargetMode="External"/><Relationship Id="rId72" Type="http://schemas.openxmlformats.org/officeDocument/2006/relationships/hyperlink" Target="https://www.gov.uk/government/publications/procurement-act-2023-short-guides/supplementary-information-small-and-medium-sized-enterprises-definition-html" TargetMode="External"/><Relationship Id="rId93" Type="http://schemas.openxmlformats.org/officeDocument/2006/relationships/hyperlink" Target="https://journals.sagepub.com/doi/pdf/10.3233/ATDE240197" TargetMode="External"/><Relationship Id="rId98" Type="http://schemas.openxmlformats.org/officeDocument/2006/relationships/hyperlink" Target="https://www.researchgate.net/publication/387473297_Cost-Volume_Analysis_and_its_Impact_on_Profitability_An_Evidence_from_Nepal" TargetMode="External"/><Relationship Id="rId121" Type="http://schemas.openxmlformats.org/officeDocument/2006/relationships/hyperlink" Target="https://www.ons.gov.uk/businessindustryandtrade/business/activitysizeandlocation/bulletins/ukbusinessactivitysizeandlocation/2025" TargetMode="External"/><Relationship Id="rId142" Type="http://schemas.openxmlformats.org/officeDocument/2006/relationships/hyperlink" Target="https://www.sciencedirect.com/science/article/pii/S2666188825006057" TargetMode="External"/><Relationship Id="rId3" Type="http://schemas.openxmlformats.org/officeDocument/2006/relationships/styles" Target="styles.xml"/><Relationship Id="rId25" Type="http://schemas.openxmlformats.org/officeDocument/2006/relationships/hyperlink" Target="https://www.sciencedirect.com/science/article/pii/S0167487023000338" TargetMode="External"/><Relationship Id="rId46" Type="http://schemas.openxmlformats.org/officeDocument/2006/relationships/hyperlink" Target="https://www.ons.gov.uk/employmentandlabourmarket/peopleinwork/employmentandemployeetypes/articles/whohasaccesstohybridworkingreatbritain/latest" TargetMode="External"/><Relationship Id="rId67" Type="http://schemas.openxmlformats.org/officeDocument/2006/relationships/hyperlink" Target="https://www.researchgate.net/publication/373599608_Coexisting_or_coworking_The_reconfigured_office_spaces_in_two_emerging_global_citie" TargetMode="External"/><Relationship Id="rId116" Type="http://schemas.openxmlformats.org/officeDocument/2006/relationships/hyperlink" Target="https://www.oecd.org/en/publications/oecd-employment-outlook-2025_194a947b-en/full-report/navigating-the-golden-years-making-the-labour-market-work-for-older-workers_2bc681ed.html" TargetMode="External"/><Relationship Id="rId137" Type="http://schemas.openxmlformats.org/officeDocument/2006/relationships/hyperlink" Target="https://www.pwc.com/us/en/tech-effect/ai-analytics/ai-predictions.html" TargetMode="External"/><Relationship Id="rId158" Type="http://schemas.openxmlformats.org/officeDocument/2006/relationships/hyperlink" Target="https://www.sciencedirect.com/science/article/pii/S219985312300284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QWtub1PDM2rAql2QNylvooGVWg==">CgMxLjAaHgoBMBIZChcICVITChF0YWJsZS5xMXhsNmJvNWFkZBofCgExEhoKGAgJUhQKEnRhYmxlLnZueGlrcm85eHNsdB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105</Pages>
  <Words>25854</Words>
  <Characters>147369</Characters>
  <Application>Microsoft Office Word</Application>
  <DocSecurity>0</DocSecurity>
  <Lines>1228</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2026-09-09T02:43:00Z</dcterms:created>
  <dcterms:modified xsi:type="dcterms:W3CDTF">2026-09-09T02:43:00Z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d15e461d-30fa-4cf5-a200-d562719fd8a8</vt:lpwstr>
  </property>
</Properties>
</file>