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1E0822" w:rsidRDefault="0063235C" w14:paraId="4AD46C40" w14:textId="77777777">
      <w:pPr>
        <w:spacing w:after="724" w:line="259" w:lineRule="auto"/>
        <w:ind w:left="-731" w:right="-725" w:firstLine="0"/>
        <w:jc w:val="left"/>
      </w:pPr>
      <w:r>
        <w:rPr>
          <w:rFonts w:cs="Calibri"/>
          <w:noProof/>
          <w:sz w:val="22"/>
        </w:rPr>
        <mc:AlternateContent>
          <mc:Choice Requires="wpg">
            <w:drawing>
              <wp:inline distT="0" distB="0" distL="0" distR="0" wp14:anchorId="0D4C4804" wp14:editId="42738976">
                <wp:extent cx="6664325" cy="6750050"/>
                <wp:effectExtent l="0" t="0" r="0" b="0"/>
                <wp:docPr id="9855" name="Group 9855"/>
                <wp:cNvGraphicFramePr/>
                <a:graphic xmlns:a="http://schemas.openxmlformats.org/drawingml/2006/main">
                  <a:graphicData uri="http://schemas.microsoft.com/office/word/2010/wordprocessingGroup">
                    <wpg:wgp>
                      <wpg:cNvGrpSpPr/>
                      <wpg:grpSpPr>
                        <a:xfrm>
                          <a:off x="0" y="0"/>
                          <a:ext cx="6664325" cy="6750050"/>
                          <a:chOff x="0" y="0"/>
                          <a:chExt cx="6664325" cy="6750050"/>
                        </a:xfrm>
                      </wpg:grpSpPr>
                      <pic:pic xmlns:pic="http://schemas.openxmlformats.org/drawingml/2006/picture">
                        <pic:nvPicPr>
                          <pic:cNvPr id="386" name="Picture 386"/>
                          <pic:cNvPicPr/>
                        </pic:nvPicPr>
                        <pic:blipFill>
                          <a:blip r:embed="rId5"/>
                          <a:stretch>
                            <a:fillRect/>
                          </a:stretch>
                        </pic:blipFill>
                        <pic:spPr>
                          <a:xfrm>
                            <a:off x="0" y="0"/>
                            <a:ext cx="6664325" cy="6750050"/>
                          </a:xfrm>
                          <a:prstGeom prst="rect">
                            <a:avLst/>
                          </a:prstGeom>
                        </pic:spPr>
                      </pic:pic>
                      <wps:wsp>
                        <wps:cNvPr id="387" name="Rectangle 387"/>
                        <wps:cNvSpPr/>
                        <wps:spPr>
                          <a:xfrm>
                            <a:off x="603568" y="1953641"/>
                            <a:ext cx="5380865" cy="619359"/>
                          </a:xfrm>
                          <a:prstGeom prst="rect">
                            <a:avLst/>
                          </a:prstGeom>
                          <a:ln>
                            <a:noFill/>
                          </a:ln>
                        </wps:spPr>
                        <wps:txbx>
                          <w:txbxContent>
                            <w:p w:rsidR="001E0822" w:rsidRDefault="0063235C" w14:paraId="1BF67DD0" w14:textId="77777777">
                              <w:pPr>
                                <w:spacing w:after="160" w:line="259" w:lineRule="auto"/>
                                <w:ind w:left="0" w:right="0" w:firstLine="0"/>
                                <w:jc w:val="left"/>
                              </w:pPr>
                              <w:r>
                                <w:rPr>
                                  <w:rFonts w:cs="Calibri"/>
                                  <w:color w:val="595959"/>
                                  <w:sz w:val="72"/>
                                </w:rPr>
                                <w:t>Sustainability And Net</w:t>
                              </w:r>
                            </w:p>
                          </w:txbxContent>
                        </wps:txbx>
                        <wps:bodyPr horzOverflow="overflow" vert="horz" lIns="0" tIns="0" rIns="0" bIns="0" rtlCol="0">
                          <a:noAutofit/>
                        </wps:bodyPr>
                      </wps:wsp>
                      <wps:wsp>
                        <wps:cNvPr id="388" name="Rectangle 388"/>
                        <wps:cNvSpPr/>
                        <wps:spPr>
                          <a:xfrm>
                            <a:off x="4647311" y="1953641"/>
                            <a:ext cx="186071" cy="619359"/>
                          </a:xfrm>
                          <a:prstGeom prst="rect">
                            <a:avLst/>
                          </a:prstGeom>
                          <a:ln>
                            <a:noFill/>
                          </a:ln>
                        </wps:spPr>
                        <wps:txbx>
                          <w:txbxContent>
                            <w:p w:rsidR="001E0822" w:rsidRDefault="0063235C" w14:paraId="2F7C12B6" w14:textId="77777777">
                              <w:pPr>
                                <w:spacing w:after="160" w:line="259" w:lineRule="auto"/>
                                <w:ind w:left="0" w:right="0" w:firstLine="0"/>
                                <w:jc w:val="left"/>
                              </w:pPr>
                              <w:r>
                                <w:rPr>
                                  <w:rFonts w:cs="Calibri"/>
                                  <w:color w:val="595959"/>
                                  <w:sz w:val="72"/>
                                </w:rPr>
                                <w:t>-</w:t>
                              </w:r>
                            </w:p>
                          </w:txbxContent>
                        </wps:txbx>
                        <wps:bodyPr horzOverflow="overflow" vert="horz" lIns="0" tIns="0" rIns="0" bIns="0" rtlCol="0">
                          <a:noAutofit/>
                        </wps:bodyPr>
                      </wps:wsp>
                      <wps:wsp>
                        <wps:cNvPr id="389" name="Rectangle 389"/>
                        <wps:cNvSpPr/>
                        <wps:spPr>
                          <a:xfrm>
                            <a:off x="4787011" y="1953641"/>
                            <a:ext cx="1833957" cy="619359"/>
                          </a:xfrm>
                          <a:prstGeom prst="rect">
                            <a:avLst/>
                          </a:prstGeom>
                          <a:ln>
                            <a:noFill/>
                          </a:ln>
                        </wps:spPr>
                        <wps:txbx>
                          <w:txbxContent>
                            <w:p w:rsidR="001E0822" w:rsidRDefault="0063235C" w14:paraId="3A416E23" w14:textId="77777777">
                              <w:pPr>
                                <w:spacing w:after="160" w:line="259" w:lineRule="auto"/>
                                <w:ind w:left="0" w:right="0" w:firstLine="0"/>
                                <w:jc w:val="left"/>
                              </w:pPr>
                              <w:r>
                                <w:rPr>
                                  <w:rFonts w:cs="Calibri"/>
                                  <w:color w:val="595959"/>
                                  <w:sz w:val="72"/>
                                </w:rPr>
                                <w:t xml:space="preserve">Zero in </w:t>
                              </w:r>
                            </w:p>
                          </w:txbxContent>
                        </wps:txbx>
                        <wps:bodyPr horzOverflow="overflow" vert="horz" lIns="0" tIns="0" rIns="0" bIns="0" rtlCol="0">
                          <a:noAutofit/>
                        </wps:bodyPr>
                      </wps:wsp>
                      <wps:wsp>
                        <wps:cNvPr id="390" name="Rectangle 390"/>
                        <wps:cNvSpPr/>
                        <wps:spPr>
                          <a:xfrm>
                            <a:off x="1667891" y="2512695"/>
                            <a:ext cx="4426186" cy="619359"/>
                          </a:xfrm>
                          <a:prstGeom prst="rect">
                            <a:avLst/>
                          </a:prstGeom>
                          <a:ln>
                            <a:noFill/>
                          </a:ln>
                        </wps:spPr>
                        <wps:txbx>
                          <w:txbxContent>
                            <w:p w:rsidR="001E0822" w:rsidRDefault="0063235C" w14:paraId="3D92527E" w14:textId="77777777">
                              <w:pPr>
                                <w:spacing w:after="160" w:line="259" w:lineRule="auto"/>
                                <w:ind w:left="0" w:right="0" w:firstLine="0"/>
                                <w:jc w:val="left"/>
                              </w:pPr>
                              <w:r>
                                <w:rPr>
                                  <w:rFonts w:cs="Calibri"/>
                                  <w:color w:val="595959"/>
                                  <w:sz w:val="72"/>
                                </w:rPr>
                                <w:t>the Hotel Industry</w:t>
                              </w:r>
                            </w:p>
                          </w:txbxContent>
                        </wps:txbx>
                        <wps:bodyPr horzOverflow="overflow" vert="horz" lIns="0" tIns="0" rIns="0" bIns="0" rtlCol="0">
                          <a:noAutofit/>
                        </wps:bodyPr>
                      </wps:wsp>
                      <wps:wsp>
                        <wps:cNvPr id="391" name="Rectangle 391"/>
                        <wps:cNvSpPr/>
                        <wps:spPr>
                          <a:xfrm>
                            <a:off x="4996434" y="2512695"/>
                            <a:ext cx="137425" cy="619359"/>
                          </a:xfrm>
                          <a:prstGeom prst="rect">
                            <a:avLst/>
                          </a:prstGeom>
                          <a:ln>
                            <a:noFill/>
                          </a:ln>
                        </wps:spPr>
                        <wps:txbx>
                          <w:txbxContent>
                            <w:p w:rsidR="001E0822" w:rsidRDefault="0063235C" w14:paraId="35FC7F2D" w14:textId="77777777">
                              <w:pPr>
                                <w:spacing w:after="160" w:line="259" w:lineRule="auto"/>
                                <w:ind w:left="0" w:right="0" w:firstLine="0"/>
                                <w:jc w:val="left"/>
                              </w:pPr>
                              <w:r>
                                <w:rPr>
                                  <w:rFonts w:cs="Calibri"/>
                                  <w:color w:val="595959"/>
                                  <w:sz w:val="72"/>
                                </w:rPr>
                                <w:t xml:space="preserve"> </w:t>
                              </w:r>
                            </w:p>
                          </w:txbxContent>
                        </wps:txbx>
                        <wps:bodyPr horzOverflow="overflow" vert="horz" lIns="0" tIns="0" rIns="0" bIns="0" rtlCol="0">
                          <a:noAutofit/>
                        </wps:bodyPr>
                      </wps:wsp>
                      <wps:wsp>
                        <wps:cNvPr id="392" name="Rectangle 392"/>
                        <wps:cNvSpPr/>
                        <wps:spPr>
                          <a:xfrm>
                            <a:off x="635318" y="3242945"/>
                            <a:ext cx="7182391" cy="344089"/>
                          </a:xfrm>
                          <a:prstGeom prst="rect">
                            <a:avLst/>
                          </a:prstGeom>
                          <a:ln>
                            <a:noFill/>
                          </a:ln>
                        </wps:spPr>
                        <wps:txbx>
                          <w:txbxContent>
                            <w:p w:rsidR="001E0822" w:rsidRDefault="0063235C" w14:paraId="66BC7E01" w14:textId="77777777">
                              <w:pPr>
                                <w:spacing w:after="160" w:line="259" w:lineRule="auto"/>
                                <w:ind w:left="0" w:right="0" w:firstLine="0"/>
                                <w:jc w:val="left"/>
                              </w:pPr>
                              <w:r>
                                <w:rPr>
                                  <w:rFonts w:cs="Calibri"/>
                                  <w:b/>
                                  <w:color w:val="44546A"/>
                                  <w:sz w:val="40"/>
                                </w:rPr>
                                <w:t>ASSIGNMENT ONE: CONFERENCE RESEARCH PAPER</w:t>
                              </w:r>
                            </w:p>
                          </w:txbxContent>
                        </wps:txbx>
                        <wps:bodyPr horzOverflow="overflow" vert="horz" lIns="0" tIns="0" rIns="0" bIns="0" rtlCol="0">
                          <a:noAutofit/>
                        </wps:bodyPr>
                      </wps:wsp>
                      <wps:wsp>
                        <wps:cNvPr id="393" name="Rectangle 393"/>
                        <wps:cNvSpPr/>
                        <wps:spPr>
                          <a:xfrm>
                            <a:off x="6028944" y="3242945"/>
                            <a:ext cx="76347" cy="344089"/>
                          </a:xfrm>
                          <a:prstGeom prst="rect">
                            <a:avLst/>
                          </a:prstGeom>
                          <a:ln>
                            <a:noFill/>
                          </a:ln>
                        </wps:spPr>
                        <wps:txbx>
                          <w:txbxContent>
                            <w:p w:rsidR="001E0822" w:rsidRDefault="0063235C" w14:paraId="36D490E2" w14:textId="77777777">
                              <w:pPr>
                                <w:spacing w:after="160" w:line="259" w:lineRule="auto"/>
                                <w:ind w:left="0" w:right="0" w:firstLine="0"/>
                                <w:jc w:val="left"/>
                              </w:pPr>
                              <w:r>
                                <w:rPr>
                                  <w:rFonts w:cs="Calibri"/>
                                  <w:b/>
                                  <w:color w:val="44546A"/>
                                  <w:sz w:val="40"/>
                                </w:rPr>
                                <w:t xml:space="preserve"> </w:t>
                              </w:r>
                            </w:p>
                          </w:txbxContent>
                        </wps:txbx>
                        <wps:bodyPr horzOverflow="overflow" vert="horz" lIns="0" tIns="0" rIns="0" bIns="0" rtlCol="0">
                          <a:noAutofit/>
                        </wps:bodyPr>
                      </wps:wsp>
                      <wps:wsp>
                        <wps:cNvPr id="394" name="Rectangle 394"/>
                        <wps:cNvSpPr/>
                        <wps:spPr>
                          <a:xfrm>
                            <a:off x="3332226" y="3706257"/>
                            <a:ext cx="84078" cy="378927"/>
                          </a:xfrm>
                          <a:prstGeom prst="rect">
                            <a:avLst/>
                          </a:prstGeom>
                          <a:ln>
                            <a:noFill/>
                          </a:ln>
                        </wps:spPr>
                        <wps:txbx>
                          <w:txbxContent>
                            <w:p w:rsidR="001E0822" w:rsidRDefault="0063235C" w14:paraId="55FB750C" w14:textId="77777777">
                              <w:pPr>
                                <w:spacing w:after="160" w:line="259" w:lineRule="auto"/>
                                <w:ind w:left="0" w:right="0" w:firstLine="0"/>
                                <w:jc w:val="left"/>
                              </w:pPr>
                              <w:r>
                                <w:rPr>
                                  <w:rFonts w:cs="Calibri"/>
                                  <w:color w:val="44546A"/>
                                  <w:sz w:val="44"/>
                                </w:rPr>
                                <w:t xml:space="preserve"> </w:t>
                              </w:r>
                            </w:p>
                          </w:txbxContent>
                        </wps:txbx>
                        <wps:bodyPr horzOverflow="overflow" vert="horz" lIns="0" tIns="0" rIns="0" bIns="0" rtlCol="0">
                          <a:noAutofit/>
                        </wps:bodyPr>
                      </wps:wsp>
                      <wps:wsp>
                        <wps:cNvPr id="395" name="Rectangle 395"/>
                        <wps:cNvSpPr/>
                        <wps:spPr>
                          <a:xfrm>
                            <a:off x="530543" y="4208399"/>
                            <a:ext cx="7543792" cy="412906"/>
                          </a:xfrm>
                          <a:prstGeom prst="rect">
                            <a:avLst/>
                          </a:prstGeom>
                          <a:ln>
                            <a:noFill/>
                          </a:ln>
                        </wps:spPr>
                        <wps:txbx>
                          <w:txbxContent>
                            <w:p w:rsidR="001E0822" w:rsidRDefault="0063235C" w14:paraId="12D4336C" w14:textId="77777777">
                              <w:pPr>
                                <w:spacing w:after="160" w:line="259" w:lineRule="auto"/>
                                <w:ind w:left="0" w:right="0" w:firstLine="0"/>
                                <w:jc w:val="left"/>
                              </w:pPr>
                              <w:r>
                                <w:rPr>
                                  <w:rFonts w:cs="Calibri"/>
                                  <w:color w:val="44546A"/>
                                  <w:sz w:val="48"/>
                                </w:rPr>
                                <w:t xml:space="preserve">BMIH6001: CONTEMPORARY THEMES IN THE </w:t>
                              </w:r>
                            </w:p>
                          </w:txbxContent>
                        </wps:txbx>
                        <wps:bodyPr horzOverflow="overflow" vert="horz" lIns="0" tIns="0" rIns="0" bIns="0" rtlCol="0">
                          <a:noAutofit/>
                        </wps:bodyPr>
                      </wps:wsp>
                      <wps:wsp>
                        <wps:cNvPr id="396" name="Rectangle 396"/>
                        <wps:cNvSpPr/>
                        <wps:spPr>
                          <a:xfrm>
                            <a:off x="1257935" y="4579636"/>
                            <a:ext cx="5520183" cy="413336"/>
                          </a:xfrm>
                          <a:prstGeom prst="rect">
                            <a:avLst/>
                          </a:prstGeom>
                          <a:ln>
                            <a:noFill/>
                          </a:ln>
                        </wps:spPr>
                        <wps:txbx>
                          <w:txbxContent>
                            <w:p w:rsidR="001E0822" w:rsidRDefault="0063235C" w14:paraId="3D3BBF60" w14:textId="77777777">
                              <w:pPr>
                                <w:spacing w:after="160" w:line="259" w:lineRule="auto"/>
                                <w:ind w:left="0" w:right="0" w:firstLine="0"/>
                                <w:jc w:val="left"/>
                              </w:pPr>
                              <w:r>
                                <w:rPr>
                                  <w:rFonts w:cs="Calibri"/>
                                  <w:color w:val="44546A"/>
                                  <w:sz w:val="48"/>
                                </w:rPr>
                                <w:t>HOTEL AND HOSPITALITY SECTOR</w:t>
                              </w:r>
                            </w:p>
                          </w:txbxContent>
                        </wps:txbx>
                        <wps:bodyPr horzOverflow="overflow" vert="horz" lIns="0" tIns="0" rIns="0" bIns="0" rtlCol="0">
                          <a:noAutofit/>
                        </wps:bodyPr>
                      </wps:wsp>
                      <wps:wsp>
                        <wps:cNvPr id="397" name="Rectangle 397"/>
                        <wps:cNvSpPr/>
                        <wps:spPr>
                          <a:xfrm>
                            <a:off x="5406390" y="4579636"/>
                            <a:ext cx="91712" cy="413336"/>
                          </a:xfrm>
                          <a:prstGeom prst="rect">
                            <a:avLst/>
                          </a:prstGeom>
                          <a:ln>
                            <a:noFill/>
                          </a:ln>
                        </wps:spPr>
                        <wps:txbx>
                          <w:txbxContent>
                            <w:p w:rsidR="001E0822" w:rsidRDefault="0063235C" w14:paraId="30AA381A" w14:textId="77777777">
                              <w:pPr>
                                <w:spacing w:after="160" w:line="259" w:lineRule="auto"/>
                                <w:ind w:left="0" w:right="0" w:firstLine="0"/>
                                <w:jc w:val="left"/>
                              </w:pPr>
                              <w:r>
                                <w:rPr>
                                  <w:rFonts w:cs="Calibri"/>
                                  <w:color w:val="44546A"/>
                                  <w:sz w:val="48"/>
                                </w:rPr>
                                <w:t xml:space="preserve"> </w:t>
                              </w:r>
                            </w:p>
                          </w:txbxContent>
                        </wps:txbx>
                        <wps:bodyPr horzOverflow="overflow" vert="horz" lIns="0" tIns="0" rIns="0" bIns="0" rtlCol="0">
                          <a:noAutofit/>
                        </wps:bodyPr>
                      </wps:wsp>
                      <wps:wsp>
                        <wps:cNvPr id="398" name="Rectangle 398"/>
                        <wps:cNvSpPr/>
                        <wps:spPr>
                          <a:xfrm>
                            <a:off x="463868" y="381"/>
                            <a:ext cx="45808" cy="206453"/>
                          </a:xfrm>
                          <a:prstGeom prst="rect">
                            <a:avLst/>
                          </a:prstGeom>
                          <a:ln>
                            <a:noFill/>
                          </a:ln>
                        </wps:spPr>
                        <wps:txbx>
                          <w:txbxContent>
                            <w:p w:rsidR="001E0822" w:rsidRDefault="0063235C" w14:paraId="1277405F" w14:textId="77777777">
                              <w:pPr>
                                <w:spacing w:after="160" w:line="259" w:lineRule="auto"/>
                                <w:ind w:left="0" w:right="0" w:firstLine="0"/>
                                <w:jc w:val="left"/>
                              </w:pPr>
                              <w:r>
                                <w:rPr>
                                  <w:rFonts w:cs="Calibri"/>
                                </w:rPr>
                                <w:t xml:space="preserve"> </w:t>
                              </w:r>
                            </w:p>
                          </w:txbxContent>
                        </wps:txbx>
                        <wps:bodyPr horzOverflow="overflow" vert="horz" lIns="0" tIns="0" rIns="0" bIns="0" rtlCol="0">
                          <a:noAutofit/>
                        </wps:bodyPr>
                      </wps:wsp>
                      <wps:wsp>
                        <wps:cNvPr id="399" name="Rectangle 399"/>
                        <wps:cNvSpPr/>
                        <wps:spPr>
                          <a:xfrm>
                            <a:off x="463868" y="381381"/>
                            <a:ext cx="45808" cy="206453"/>
                          </a:xfrm>
                          <a:prstGeom prst="rect">
                            <a:avLst/>
                          </a:prstGeom>
                          <a:ln>
                            <a:noFill/>
                          </a:ln>
                        </wps:spPr>
                        <wps:txbx>
                          <w:txbxContent>
                            <w:p w:rsidR="001E0822" w:rsidRDefault="0063235C" w14:paraId="3E8780E0" w14:textId="77777777">
                              <w:pPr>
                                <w:spacing w:after="160" w:line="259" w:lineRule="auto"/>
                                <w:ind w:left="0" w:right="0" w:firstLine="0"/>
                                <w:jc w:val="left"/>
                              </w:pPr>
                              <w:r>
                                <w:rPr>
                                  <w:rFonts w:cs="Calibri"/>
                                </w:rPr>
                                <w:t xml:space="preserve"> </w:t>
                              </w:r>
                            </w:p>
                          </w:txbxContent>
                        </wps:txbx>
                        <wps:bodyPr horzOverflow="overflow" vert="horz" lIns="0" tIns="0" rIns="0" bIns="0" rtlCol="0">
                          <a:noAutofit/>
                        </wps:bodyPr>
                      </wps:wsp>
                      <wps:wsp>
                        <wps:cNvPr id="400" name="Rectangle 400"/>
                        <wps:cNvSpPr/>
                        <wps:spPr>
                          <a:xfrm>
                            <a:off x="2293620" y="381381"/>
                            <a:ext cx="45808" cy="206453"/>
                          </a:xfrm>
                          <a:prstGeom prst="rect">
                            <a:avLst/>
                          </a:prstGeom>
                          <a:ln>
                            <a:noFill/>
                          </a:ln>
                        </wps:spPr>
                        <wps:txbx>
                          <w:txbxContent>
                            <w:p w:rsidR="001E0822" w:rsidRDefault="0063235C" w14:paraId="7E6D0908" w14:textId="77777777">
                              <w:pPr>
                                <w:spacing w:after="160" w:line="259" w:lineRule="auto"/>
                                <w:ind w:left="0" w:right="0" w:firstLine="0"/>
                                <w:jc w:val="left"/>
                              </w:pPr>
                              <w:r>
                                <w:rPr>
                                  <w:rFonts w:cs="Calibri"/>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w14:anchorId="3641AD2A">
              <v:group id="Group 9855" style="width:524.75pt;height:531.5pt;mso-position-horizontal-relative:char;mso-position-vertical-relative:line" coordsize="66643,67500">
                <v:shape id="Picture 386" style="position:absolute;width:66643;height:67500;left:0;top:0;" filled="f">
                  <v:imagedata r:id="rId6"/>
                </v:shape>
                <v:rect id="Rectangle 387" style="position:absolute;width:53808;height:6193;left:6035;top:19536;" filled="f" stroked="f">
                  <v:textbox inset="0,0,0,0">
                    <w:txbxContent>
                      <w:p xmlns:wp14="http://schemas.microsoft.com/office/word/2010/wordml" w14:paraId="18D18D7D" wp14:textId="77777777">
                        <w:pPr>
                          <w:spacing w:before="0" w:after="160" w:line="259" w:lineRule="auto"/>
                          <w:ind w:left="0" w:right="0" w:firstLine="0"/>
                          <w:jc w:val="left"/>
                        </w:pPr>
                        <w:r>
                          <w:rPr>
                            <w:rFonts w:ascii="Calibri" w:hAnsi="Calibri" w:eastAsia="Calibri" w:cs="Calibri"/>
                            <w:color w:val="595959"/>
                            <w:sz w:val="72"/>
                          </w:rPr>
                          <w:t xml:space="preserve">Sustainability And Net</w:t>
                        </w:r>
                      </w:p>
                    </w:txbxContent>
                  </v:textbox>
                </v:rect>
                <v:rect id="Rectangle 388" style="position:absolute;width:1860;height:6193;left:46473;top:19536;" filled="f" stroked="f">
                  <v:textbox inset="0,0,0,0">
                    <w:txbxContent>
                      <w:p xmlns:wp14="http://schemas.microsoft.com/office/word/2010/wordml" w14:paraId="6A09E912" wp14:textId="77777777">
                        <w:pPr>
                          <w:spacing w:before="0" w:after="160" w:line="259" w:lineRule="auto"/>
                          <w:ind w:left="0" w:right="0" w:firstLine="0"/>
                          <w:jc w:val="left"/>
                        </w:pPr>
                        <w:r>
                          <w:rPr>
                            <w:rFonts w:ascii="Calibri" w:hAnsi="Calibri" w:eastAsia="Calibri" w:cs="Calibri"/>
                            <w:color w:val="595959"/>
                            <w:sz w:val="72"/>
                          </w:rPr>
                          <w:t xml:space="preserve">-</w:t>
                        </w:r>
                      </w:p>
                    </w:txbxContent>
                  </v:textbox>
                </v:rect>
                <v:rect id="Rectangle 389" style="position:absolute;width:18339;height:6193;left:47870;top:19536;" filled="f" stroked="f">
                  <v:textbox inset="0,0,0,0">
                    <w:txbxContent>
                      <w:p xmlns:wp14="http://schemas.microsoft.com/office/word/2010/wordml" w14:paraId="0BEDEA27" wp14:textId="77777777">
                        <w:pPr>
                          <w:spacing w:before="0" w:after="160" w:line="259" w:lineRule="auto"/>
                          <w:ind w:left="0" w:right="0" w:firstLine="0"/>
                          <w:jc w:val="left"/>
                        </w:pPr>
                        <w:r>
                          <w:rPr>
                            <w:rFonts w:ascii="Calibri" w:hAnsi="Calibri" w:eastAsia="Calibri" w:cs="Calibri"/>
                            <w:color w:val="595959"/>
                            <w:sz w:val="72"/>
                          </w:rPr>
                          <w:t xml:space="preserve">Zero in </w:t>
                        </w:r>
                      </w:p>
                    </w:txbxContent>
                  </v:textbox>
                </v:rect>
                <v:rect id="Rectangle 390" style="position:absolute;width:44261;height:6193;left:16678;top:25126;" filled="f" stroked="f">
                  <v:textbox inset="0,0,0,0">
                    <w:txbxContent>
                      <w:p xmlns:wp14="http://schemas.microsoft.com/office/word/2010/wordml" w14:paraId="7D3DEB1F" wp14:textId="77777777">
                        <w:pPr>
                          <w:spacing w:before="0" w:after="160" w:line="259" w:lineRule="auto"/>
                          <w:ind w:left="0" w:right="0" w:firstLine="0"/>
                          <w:jc w:val="left"/>
                        </w:pPr>
                        <w:r>
                          <w:rPr>
                            <w:rFonts w:ascii="Calibri" w:hAnsi="Calibri" w:eastAsia="Calibri" w:cs="Calibri"/>
                            <w:color w:val="595959"/>
                            <w:sz w:val="72"/>
                          </w:rPr>
                          <w:t xml:space="preserve">the Hotel Industry</w:t>
                        </w:r>
                      </w:p>
                    </w:txbxContent>
                  </v:textbox>
                </v:rect>
                <v:rect id="Rectangle 391" style="position:absolute;width:1374;height:6193;left:49964;top:25126;" filled="f" stroked="f">
                  <v:textbox inset="0,0,0,0">
                    <w:txbxContent>
                      <w:p xmlns:wp14="http://schemas.microsoft.com/office/word/2010/wordml" w14:paraId="29D6B04F" wp14:textId="77777777">
                        <w:pPr>
                          <w:spacing w:before="0" w:after="160" w:line="259" w:lineRule="auto"/>
                          <w:ind w:left="0" w:right="0" w:firstLine="0"/>
                          <w:jc w:val="left"/>
                        </w:pPr>
                        <w:r>
                          <w:rPr>
                            <w:rFonts w:ascii="Calibri" w:hAnsi="Calibri" w:eastAsia="Calibri" w:cs="Calibri"/>
                            <w:color w:val="595959"/>
                            <w:sz w:val="72"/>
                          </w:rPr>
                          <w:t xml:space="preserve"> </w:t>
                        </w:r>
                      </w:p>
                    </w:txbxContent>
                  </v:textbox>
                </v:rect>
                <v:rect id="Rectangle 392" style="position:absolute;width:71823;height:3440;left:6353;top:32429;" filled="f" stroked="f">
                  <v:textbox inset="0,0,0,0">
                    <w:txbxContent>
                      <w:p xmlns:wp14="http://schemas.microsoft.com/office/word/2010/wordml" w14:paraId="5519E183" wp14:textId="77777777">
                        <w:pPr>
                          <w:spacing w:before="0" w:after="160" w:line="259" w:lineRule="auto"/>
                          <w:ind w:left="0" w:right="0" w:firstLine="0"/>
                          <w:jc w:val="left"/>
                        </w:pPr>
                        <w:r>
                          <w:rPr>
                            <w:rFonts w:ascii="Calibri" w:hAnsi="Calibri" w:eastAsia="Calibri" w:cs="Calibri"/>
                            <w:b w:val="1"/>
                            <w:color w:val="44546a"/>
                            <w:sz w:val="40"/>
                          </w:rPr>
                          <w:t xml:space="preserve">ASSIGNMENT ONE: CONFERENCE RESEARCH PAPER</w:t>
                        </w:r>
                      </w:p>
                    </w:txbxContent>
                  </v:textbox>
                </v:rect>
                <v:rect id="Rectangle 393" style="position:absolute;width:763;height:3440;left:60289;top:32429;" filled="f" stroked="f">
                  <v:textbox inset="0,0,0,0">
                    <w:txbxContent>
                      <w:p xmlns:wp14="http://schemas.microsoft.com/office/word/2010/wordml" w14:paraId="0A6959E7" wp14:textId="77777777">
                        <w:pPr>
                          <w:spacing w:before="0" w:after="160" w:line="259" w:lineRule="auto"/>
                          <w:ind w:left="0" w:right="0" w:firstLine="0"/>
                          <w:jc w:val="left"/>
                        </w:pPr>
                        <w:r>
                          <w:rPr>
                            <w:rFonts w:ascii="Calibri" w:hAnsi="Calibri" w:eastAsia="Calibri" w:cs="Calibri"/>
                            <w:b w:val="1"/>
                            <w:color w:val="44546a"/>
                            <w:sz w:val="40"/>
                          </w:rPr>
                          <w:t xml:space="preserve"> </w:t>
                        </w:r>
                      </w:p>
                    </w:txbxContent>
                  </v:textbox>
                </v:rect>
                <v:rect id="Rectangle 394" style="position:absolute;width:840;height:3789;left:33322;top:37062;" filled="f" stroked="f">
                  <v:textbox inset="0,0,0,0">
                    <w:txbxContent>
                      <w:p xmlns:wp14="http://schemas.microsoft.com/office/word/2010/wordml" w14:paraId="100C5B58" wp14:textId="77777777">
                        <w:pPr>
                          <w:spacing w:before="0" w:after="160" w:line="259" w:lineRule="auto"/>
                          <w:ind w:left="0" w:right="0" w:firstLine="0"/>
                          <w:jc w:val="left"/>
                        </w:pPr>
                        <w:r>
                          <w:rPr>
                            <w:rFonts w:ascii="Calibri" w:hAnsi="Calibri" w:eastAsia="Calibri" w:cs="Calibri"/>
                            <w:color w:val="44546a"/>
                            <w:sz w:val="44"/>
                          </w:rPr>
                          <w:t xml:space="preserve"> </w:t>
                        </w:r>
                      </w:p>
                    </w:txbxContent>
                  </v:textbox>
                </v:rect>
                <v:rect id="Rectangle 395" style="position:absolute;width:75437;height:4129;left:5305;top:42083;" filled="f" stroked="f">
                  <v:textbox inset="0,0,0,0">
                    <w:txbxContent>
                      <w:p xmlns:wp14="http://schemas.microsoft.com/office/word/2010/wordml" w14:paraId="73853574" wp14:textId="77777777">
                        <w:pPr>
                          <w:spacing w:before="0" w:after="160" w:line="259" w:lineRule="auto"/>
                          <w:ind w:left="0" w:right="0" w:firstLine="0"/>
                          <w:jc w:val="left"/>
                        </w:pPr>
                        <w:r>
                          <w:rPr>
                            <w:rFonts w:ascii="Calibri" w:hAnsi="Calibri" w:eastAsia="Calibri" w:cs="Calibri"/>
                            <w:color w:val="44546a"/>
                            <w:sz w:val="48"/>
                          </w:rPr>
                          <w:t xml:space="preserve">BMIH6001: CONTEMPORARY THEMES IN THE </w:t>
                        </w:r>
                      </w:p>
                    </w:txbxContent>
                  </v:textbox>
                </v:rect>
                <v:rect id="Rectangle 396" style="position:absolute;width:55201;height:4133;left:12579;top:45796;" filled="f" stroked="f">
                  <v:textbox inset="0,0,0,0">
                    <w:txbxContent>
                      <w:p xmlns:wp14="http://schemas.microsoft.com/office/word/2010/wordml" w14:paraId="233668F4" wp14:textId="77777777">
                        <w:pPr>
                          <w:spacing w:before="0" w:after="160" w:line="259" w:lineRule="auto"/>
                          <w:ind w:left="0" w:right="0" w:firstLine="0"/>
                          <w:jc w:val="left"/>
                        </w:pPr>
                        <w:r>
                          <w:rPr>
                            <w:rFonts w:ascii="Calibri" w:hAnsi="Calibri" w:eastAsia="Calibri" w:cs="Calibri"/>
                            <w:color w:val="44546a"/>
                            <w:sz w:val="48"/>
                          </w:rPr>
                          <w:t xml:space="preserve">HOTEL AND HOSPITALITY SECTOR</w:t>
                        </w:r>
                      </w:p>
                    </w:txbxContent>
                  </v:textbox>
                </v:rect>
                <v:rect id="Rectangle 397" style="position:absolute;width:917;height:4133;left:54063;top:45796;" filled="f" stroked="f">
                  <v:textbox inset="0,0,0,0">
                    <w:txbxContent>
                      <w:p xmlns:wp14="http://schemas.microsoft.com/office/word/2010/wordml" w14:paraId="12F40E89" wp14:textId="77777777">
                        <w:pPr>
                          <w:spacing w:before="0" w:after="160" w:line="259" w:lineRule="auto"/>
                          <w:ind w:left="0" w:right="0" w:firstLine="0"/>
                          <w:jc w:val="left"/>
                        </w:pPr>
                        <w:r>
                          <w:rPr>
                            <w:rFonts w:ascii="Calibri" w:hAnsi="Calibri" w:eastAsia="Calibri" w:cs="Calibri"/>
                            <w:color w:val="44546a"/>
                            <w:sz w:val="48"/>
                          </w:rPr>
                          <w:t xml:space="preserve"> </w:t>
                        </w:r>
                      </w:p>
                    </w:txbxContent>
                  </v:textbox>
                </v:rect>
                <v:rect id="Rectangle 398" style="position:absolute;width:458;height:2064;left:4638;top:3;" filled="f" stroked="f">
                  <v:textbox inset="0,0,0,0">
                    <w:txbxContent>
                      <w:p xmlns:wp14="http://schemas.microsoft.com/office/word/2010/wordml" w14:paraId="608DEACE" wp14:textId="77777777">
                        <w:pPr>
                          <w:spacing w:before="0" w:after="160" w:line="259" w:lineRule="auto"/>
                          <w:ind w:left="0" w:right="0" w:firstLine="0"/>
                          <w:jc w:val="left"/>
                        </w:pPr>
                        <w:r>
                          <w:rPr>
                            <w:rFonts w:ascii="Calibri" w:hAnsi="Calibri" w:eastAsia="Calibri" w:cs="Calibri"/>
                          </w:rPr>
                          <w:t xml:space="preserve"> </w:t>
                        </w:r>
                      </w:p>
                    </w:txbxContent>
                  </v:textbox>
                </v:rect>
                <v:rect id="Rectangle 399" style="position:absolute;width:458;height:2064;left:4638;top:3813;" filled="f" stroked="f">
                  <v:textbox inset="0,0,0,0">
                    <w:txbxContent>
                      <w:p xmlns:wp14="http://schemas.microsoft.com/office/word/2010/wordml" w14:paraId="2BAC6FC9" wp14:textId="77777777">
                        <w:pPr>
                          <w:spacing w:before="0" w:after="160" w:line="259" w:lineRule="auto"/>
                          <w:ind w:left="0" w:right="0" w:firstLine="0"/>
                          <w:jc w:val="left"/>
                        </w:pPr>
                        <w:r>
                          <w:rPr>
                            <w:rFonts w:ascii="Calibri" w:hAnsi="Calibri" w:eastAsia="Calibri" w:cs="Calibri"/>
                          </w:rPr>
                          <w:t xml:space="preserve"> </w:t>
                        </w:r>
                      </w:p>
                    </w:txbxContent>
                  </v:textbox>
                </v:rect>
                <v:rect id="Rectangle 400" style="position:absolute;width:458;height:2064;left:22936;top:3813;" filled="f" stroked="f">
                  <v:textbox inset="0,0,0,0">
                    <w:txbxContent>
                      <w:p xmlns:wp14="http://schemas.microsoft.com/office/word/2010/wordml" w14:paraId="156A6281" wp14:textId="77777777">
                        <w:pPr>
                          <w:spacing w:before="0" w:after="160" w:line="259" w:lineRule="auto"/>
                          <w:ind w:left="0" w:right="0" w:firstLine="0"/>
                          <w:jc w:val="left"/>
                        </w:pPr>
                        <w:r>
                          <w:rPr>
                            <w:rFonts w:ascii="Calibri" w:hAnsi="Calibri" w:eastAsia="Calibri" w:cs="Calibri"/>
                          </w:rPr>
                          <w:t xml:space="preserve"> </w:t>
                        </w:r>
                      </w:p>
                    </w:txbxContent>
                  </v:textbox>
                </v:rect>
              </v:group>
            </w:pict>
          </mc:Fallback>
        </mc:AlternateContent>
      </w:r>
    </w:p>
    <w:p w:rsidR="001E0822" w:rsidRDefault="0063235C" w14:paraId="5249A452" w14:textId="77777777">
      <w:pPr>
        <w:spacing w:after="0" w:line="259" w:lineRule="auto"/>
        <w:ind w:left="-738" w:right="-728" w:firstLine="0"/>
        <w:jc w:val="left"/>
      </w:pPr>
      <w:r>
        <w:rPr>
          <w:rFonts w:cs="Calibri"/>
          <w:noProof/>
          <w:sz w:val="22"/>
        </w:rPr>
        <mc:AlternateContent>
          <mc:Choice Requires="wpg">
            <w:drawing>
              <wp:inline distT="0" distB="0" distL="0" distR="0" wp14:anchorId="656D3CB2" wp14:editId="2ABE67C9">
                <wp:extent cx="6670548" cy="2051317"/>
                <wp:effectExtent l="0" t="0" r="0" b="0"/>
                <wp:docPr id="9854" name="Group 9854"/>
                <wp:cNvGraphicFramePr/>
                <a:graphic xmlns:a="http://schemas.openxmlformats.org/drawingml/2006/main">
                  <a:graphicData uri="http://schemas.microsoft.com/office/word/2010/wordprocessingGroup">
                    <wpg:wgp>
                      <wpg:cNvGrpSpPr/>
                      <wpg:grpSpPr>
                        <a:xfrm>
                          <a:off x="0" y="0"/>
                          <a:ext cx="6670548" cy="2051317"/>
                          <a:chOff x="0" y="0"/>
                          <a:chExt cx="6670548" cy="2051317"/>
                        </a:xfrm>
                      </wpg:grpSpPr>
                      <wps:wsp>
                        <wps:cNvPr id="11903" name="Shape 11903"/>
                        <wps:cNvSpPr/>
                        <wps:spPr>
                          <a:xfrm>
                            <a:off x="0" y="0"/>
                            <a:ext cx="6670548" cy="150114"/>
                          </a:xfrm>
                          <a:custGeom>
                            <a:avLst/>
                            <a:gdLst/>
                            <a:ahLst/>
                            <a:cxnLst/>
                            <a:rect l="0" t="0" r="0" b="0"/>
                            <a:pathLst>
                              <a:path w="6670548" h="150114">
                                <a:moveTo>
                                  <a:pt x="0" y="0"/>
                                </a:moveTo>
                                <a:lnTo>
                                  <a:pt x="6670548" y="0"/>
                                </a:lnTo>
                                <a:lnTo>
                                  <a:pt x="6670548" y="150114"/>
                                </a:lnTo>
                                <a:lnTo>
                                  <a:pt x="0" y="15011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1904" name="Shape 11904"/>
                        <wps:cNvSpPr/>
                        <wps:spPr>
                          <a:xfrm>
                            <a:off x="0" y="129934"/>
                            <a:ext cx="6670548" cy="1921383"/>
                          </a:xfrm>
                          <a:custGeom>
                            <a:avLst/>
                            <a:gdLst/>
                            <a:ahLst/>
                            <a:cxnLst/>
                            <a:rect l="0" t="0" r="0" b="0"/>
                            <a:pathLst>
                              <a:path w="6670548" h="1921383">
                                <a:moveTo>
                                  <a:pt x="0" y="0"/>
                                </a:moveTo>
                                <a:lnTo>
                                  <a:pt x="6670548" y="0"/>
                                </a:lnTo>
                                <a:lnTo>
                                  <a:pt x="6670548" y="1921383"/>
                                </a:lnTo>
                                <a:lnTo>
                                  <a:pt x="0" y="1921383"/>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pic:pic xmlns:pic="http://schemas.openxmlformats.org/drawingml/2006/picture">
                        <pic:nvPicPr>
                          <pic:cNvPr id="380" name="Picture 380"/>
                          <pic:cNvPicPr/>
                        </pic:nvPicPr>
                        <pic:blipFill>
                          <a:blip r:embed="rId7"/>
                          <a:stretch>
                            <a:fillRect/>
                          </a:stretch>
                        </pic:blipFill>
                        <pic:spPr>
                          <a:xfrm>
                            <a:off x="7938" y="318389"/>
                            <a:ext cx="6657975" cy="1270000"/>
                          </a:xfrm>
                          <a:prstGeom prst="rect">
                            <a:avLst/>
                          </a:prstGeom>
                        </pic:spPr>
                      </pic:pic>
                      <wps:wsp>
                        <wps:cNvPr id="381" name="Rectangle 381"/>
                        <wps:cNvSpPr/>
                        <wps:spPr>
                          <a:xfrm>
                            <a:off x="465455" y="1060958"/>
                            <a:ext cx="2571486" cy="275271"/>
                          </a:xfrm>
                          <a:prstGeom prst="rect">
                            <a:avLst/>
                          </a:prstGeom>
                          <a:ln>
                            <a:noFill/>
                          </a:ln>
                        </wps:spPr>
                        <wps:txbx>
                          <w:txbxContent>
                            <w:p w:rsidR="001E0822" w:rsidRDefault="0063235C" w14:paraId="047CE264" w14:textId="77777777">
                              <w:pPr>
                                <w:spacing w:after="160" w:line="259" w:lineRule="auto"/>
                                <w:ind w:left="0" w:right="0" w:firstLine="0"/>
                                <w:jc w:val="left"/>
                              </w:pPr>
                              <w:r>
                                <w:rPr>
                                  <w:rFonts w:cs="Calibri"/>
                                  <w:b/>
                                  <w:color w:val="FFFFFF"/>
                                  <w:sz w:val="32"/>
                                </w:rPr>
                                <w:t>Name: MD Jaglu Uddin</w:t>
                              </w:r>
                            </w:p>
                          </w:txbxContent>
                        </wps:txbx>
                        <wps:bodyPr horzOverflow="overflow" vert="horz" lIns="0" tIns="0" rIns="0" bIns="0" rtlCol="0">
                          <a:noAutofit/>
                        </wps:bodyPr>
                      </wps:wsp>
                      <wps:wsp>
                        <wps:cNvPr id="382" name="Rectangle 382"/>
                        <wps:cNvSpPr/>
                        <wps:spPr>
                          <a:xfrm>
                            <a:off x="2399983" y="1060958"/>
                            <a:ext cx="61078" cy="275271"/>
                          </a:xfrm>
                          <a:prstGeom prst="rect">
                            <a:avLst/>
                          </a:prstGeom>
                          <a:ln>
                            <a:noFill/>
                          </a:ln>
                        </wps:spPr>
                        <wps:txbx>
                          <w:txbxContent>
                            <w:p w:rsidR="001E0822" w:rsidRDefault="0063235C" w14:paraId="647833E6" w14:textId="77777777">
                              <w:pPr>
                                <w:spacing w:after="160" w:line="259" w:lineRule="auto"/>
                                <w:ind w:left="0" w:right="0" w:firstLine="0"/>
                                <w:jc w:val="left"/>
                              </w:pPr>
                              <w:r>
                                <w:rPr>
                                  <w:rFonts w:cs="Calibri"/>
                                  <w:b/>
                                  <w:color w:val="FFFFFF"/>
                                  <w:sz w:val="32"/>
                                </w:rPr>
                                <w:t xml:space="preserve"> </w:t>
                              </w:r>
                            </w:p>
                          </w:txbxContent>
                        </wps:txbx>
                        <wps:bodyPr horzOverflow="overflow" vert="horz" lIns="0" tIns="0" rIns="0" bIns="0" rtlCol="0">
                          <a:noAutofit/>
                        </wps:bodyPr>
                      </wps:wsp>
                      <wps:wsp>
                        <wps:cNvPr id="383" name="Rectangle 383"/>
                        <wps:cNvSpPr/>
                        <wps:spPr>
                          <a:xfrm>
                            <a:off x="465455" y="1384871"/>
                            <a:ext cx="2280691" cy="275271"/>
                          </a:xfrm>
                          <a:prstGeom prst="rect">
                            <a:avLst/>
                          </a:prstGeom>
                          <a:ln>
                            <a:noFill/>
                          </a:ln>
                        </wps:spPr>
                        <wps:txbx>
                          <w:txbxContent>
                            <w:p w:rsidR="001E0822" w:rsidRDefault="0063235C" w14:paraId="2FAF7CFA" w14:textId="77777777">
                              <w:pPr>
                                <w:spacing w:after="160" w:line="259" w:lineRule="auto"/>
                                <w:ind w:left="0" w:right="0" w:firstLine="0"/>
                                <w:jc w:val="left"/>
                              </w:pPr>
                              <w:r>
                                <w:rPr>
                                  <w:rFonts w:cs="Calibri"/>
                                  <w:b/>
                                  <w:color w:val="FFFFFF"/>
                                  <w:sz w:val="32"/>
                                </w:rPr>
                                <w:t>Student ID: 2209549</w:t>
                              </w:r>
                            </w:p>
                          </w:txbxContent>
                        </wps:txbx>
                        <wps:bodyPr horzOverflow="overflow" vert="horz" lIns="0" tIns="0" rIns="0" bIns="0" rtlCol="0">
                          <a:noAutofit/>
                        </wps:bodyPr>
                      </wps:wsp>
                      <wps:wsp>
                        <wps:cNvPr id="384" name="Rectangle 384"/>
                        <wps:cNvSpPr/>
                        <wps:spPr>
                          <a:xfrm>
                            <a:off x="2184083" y="1384871"/>
                            <a:ext cx="61078" cy="275271"/>
                          </a:xfrm>
                          <a:prstGeom prst="rect">
                            <a:avLst/>
                          </a:prstGeom>
                          <a:ln>
                            <a:noFill/>
                          </a:ln>
                        </wps:spPr>
                        <wps:txbx>
                          <w:txbxContent>
                            <w:p w:rsidR="001E0822" w:rsidRDefault="0063235C" w14:paraId="73128592" w14:textId="77777777">
                              <w:pPr>
                                <w:spacing w:after="160" w:line="259" w:lineRule="auto"/>
                                <w:ind w:left="0" w:right="0" w:firstLine="0"/>
                                <w:jc w:val="left"/>
                              </w:pPr>
                              <w:r>
                                <w:rPr>
                                  <w:rFonts w:cs="Calibri"/>
                                  <w:b/>
                                  <w:color w:val="FFFFFF"/>
                                  <w:sz w:val="3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w14:anchorId="7EE56394">
              <v:group id="Group 9854" style="width:525.24pt;height:161.521pt;mso-position-horizontal-relative:char;mso-position-vertical-relative:line" coordsize="66705,20513">
                <v:shape id="Shape 11905" style="position:absolute;width:66705;height:1501;left:0;top:0;" coordsize="6670548,150114" path="m0,0l6670548,0l6670548,150114l0,150114l0,0">
                  <v:stroke on="false" weight="0pt" color="#000000" opacity="0" miterlimit="10" joinstyle="miter" endcap="flat"/>
                  <v:fill on="true" color="#4472c4"/>
                </v:shape>
                <v:shape id="Shape 11906" style="position:absolute;width:66705;height:19213;left:0;top:1299;" coordsize="6670548,1921383" path="m0,0l6670548,0l6670548,1921383l0,1921383l0,0">
                  <v:stroke on="false" weight="0pt" color="#000000" opacity="0" miterlimit="10" joinstyle="miter" endcap="flat"/>
                  <v:fill on="true" color="#ed7d31"/>
                </v:shape>
                <v:shape id="Picture 380" style="position:absolute;width:66579;height:12700;left:79;top:3183;" filled="f">
                  <v:imagedata r:id="rId8"/>
                </v:shape>
                <v:rect id="Rectangle 381" style="position:absolute;width:25714;height:2752;left:4654;top:10609;" filled="f" stroked="f">
                  <v:textbox inset="0,0,0,0">
                    <w:txbxContent>
                      <w:p xmlns:wp14="http://schemas.microsoft.com/office/word/2010/wordml" w14:paraId="176DF01A" wp14:textId="77777777">
                        <w:pPr>
                          <w:spacing w:before="0" w:after="160" w:line="259" w:lineRule="auto"/>
                          <w:ind w:left="0" w:right="0" w:firstLine="0"/>
                          <w:jc w:val="left"/>
                        </w:pPr>
                        <w:r>
                          <w:rPr>
                            <w:rFonts w:ascii="Calibri" w:hAnsi="Calibri" w:eastAsia="Calibri" w:cs="Calibri"/>
                            <w:b w:val="1"/>
                            <w:color w:val="ffffff"/>
                            <w:sz w:val="32"/>
                          </w:rPr>
                          <w:t xml:space="preserve">Name: MD Jaglu Uddin</w:t>
                        </w:r>
                      </w:p>
                    </w:txbxContent>
                  </v:textbox>
                </v:rect>
                <v:rect id="Rectangle 382" style="position:absolute;width:610;height:2752;left:23999;top:10609;" filled="f" stroked="f">
                  <v:textbox inset="0,0,0,0">
                    <w:txbxContent>
                      <w:p xmlns:wp14="http://schemas.microsoft.com/office/word/2010/wordml" w14:paraId="20876B09" wp14:textId="77777777">
                        <w:pPr>
                          <w:spacing w:before="0" w:after="160" w:line="259" w:lineRule="auto"/>
                          <w:ind w:left="0" w:right="0" w:firstLine="0"/>
                          <w:jc w:val="left"/>
                        </w:pPr>
                        <w:r>
                          <w:rPr>
                            <w:rFonts w:ascii="Calibri" w:hAnsi="Calibri" w:eastAsia="Calibri" w:cs="Calibri"/>
                            <w:b w:val="1"/>
                            <w:color w:val="ffffff"/>
                            <w:sz w:val="32"/>
                          </w:rPr>
                          <w:t xml:space="preserve"> </w:t>
                        </w:r>
                      </w:p>
                    </w:txbxContent>
                  </v:textbox>
                </v:rect>
                <v:rect id="Rectangle 383" style="position:absolute;width:22806;height:2752;left:4654;top:13848;" filled="f" stroked="f">
                  <v:textbox inset="0,0,0,0">
                    <w:txbxContent>
                      <w:p xmlns:wp14="http://schemas.microsoft.com/office/word/2010/wordml" w14:paraId="4AB1441A" wp14:textId="77777777">
                        <w:pPr>
                          <w:spacing w:before="0" w:after="160" w:line="259" w:lineRule="auto"/>
                          <w:ind w:left="0" w:right="0" w:firstLine="0"/>
                          <w:jc w:val="left"/>
                        </w:pPr>
                        <w:r>
                          <w:rPr>
                            <w:rFonts w:ascii="Calibri" w:hAnsi="Calibri" w:eastAsia="Calibri" w:cs="Calibri"/>
                            <w:b w:val="1"/>
                            <w:color w:val="ffffff"/>
                            <w:sz w:val="32"/>
                          </w:rPr>
                          <w:t xml:space="preserve">Student ID: 2209549</w:t>
                        </w:r>
                      </w:p>
                    </w:txbxContent>
                  </v:textbox>
                </v:rect>
                <v:rect id="Rectangle 384" style="position:absolute;width:610;height:2752;left:21840;top:13848;" filled="f" stroked="f">
                  <v:textbox inset="0,0,0,0">
                    <w:txbxContent>
                      <w:p xmlns:wp14="http://schemas.microsoft.com/office/word/2010/wordml" w14:paraId="10146664" wp14:textId="77777777">
                        <w:pPr>
                          <w:spacing w:before="0" w:after="160" w:line="259" w:lineRule="auto"/>
                          <w:ind w:left="0" w:right="0" w:firstLine="0"/>
                          <w:jc w:val="left"/>
                        </w:pPr>
                        <w:r>
                          <w:rPr>
                            <w:rFonts w:ascii="Calibri" w:hAnsi="Calibri" w:eastAsia="Calibri" w:cs="Calibri"/>
                            <w:b w:val="1"/>
                            <w:color w:val="ffffff"/>
                            <w:sz w:val="32"/>
                          </w:rPr>
                          <w:t xml:space="preserve"> </w:t>
                        </w:r>
                      </w:p>
                    </w:txbxContent>
                  </v:textbox>
                </v:rect>
              </v:group>
            </w:pict>
          </mc:Fallback>
        </mc:AlternateContent>
      </w:r>
    </w:p>
    <w:p w:rsidR="001E0822" w:rsidRDefault="0063235C" w14:paraId="6E31CC28" w14:textId="77777777">
      <w:pPr>
        <w:spacing w:after="284" w:line="259" w:lineRule="auto"/>
        <w:ind w:left="-5" w:right="0"/>
        <w:jc w:val="left"/>
      </w:pPr>
      <w:r>
        <w:rPr>
          <w:rFonts w:cs="Calibri"/>
          <w:b/>
        </w:rPr>
        <w:t xml:space="preserve">Abstract </w:t>
      </w:r>
    </w:p>
    <w:p w:rsidR="001E0822" w:rsidRDefault="0063235C" w14:paraId="077209BB" w14:textId="77777777">
      <w:pPr>
        <w:ind w:left="-5" w:right="3"/>
      </w:pPr>
      <w:r w:rsidRPr="2E3DA5C9" w:rsidR="0063235C">
        <w:rPr>
          <w:lang w:val="en-US"/>
        </w:rPr>
        <w:t xml:space="preserve">The urgency of addressing climate change has pushed the worldwide hotel sector to adopt more sustainable and ecologically responsible practices. This research study investigates the issue of sustainability and net-zero in the hotel industry, with a particular emphasis on how hotels are incorporating green solutions to reduce environmental </w:t>
      </w:r>
      <w:r w:rsidRPr="2E3DA5C9" w:rsidR="0063235C">
        <w:rPr>
          <w:lang w:val="en-US"/>
        </w:rPr>
        <w:t>effect</w:t>
      </w:r>
      <w:r w:rsidRPr="2E3DA5C9" w:rsidR="0063235C">
        <w:rPr>
          <w:lang w:val="en-US"/>
        </w:rPr>
        <w:t xml:space="preserve"> while preserving operational profitability. Using a narrative literature review of academic journals, industry reports, and case studies published between 2018 and </w:t>
      </w:r>
      <w:r w:rsidRPr="2E3DA5C9" w:rsidR="0063235C">
        <w:rPr>
          <w:lang w:val="en-US"/>
        </w:rPr>
        <w:t xml:space="preserve">2024, the paper </w:t>
      </w:r>
      <w:r w:rsidRPr="2E3DA5C9" w:rsidR="0063235C">
        <w:rPr>
          <w:lang w:val="en-US"/>
        </w:rPr>
        <w:t>identifies</w:t>
      </w:r>
      <w:r w:rsidRPr="2E3DA5C9" w:rsidR="0063235C">
        <w:rPr>
          <w:lang w:val="en-US"/>
        </w:rPr>
        <w:t xml:space="preserve"> key practices such as green building certifications (LEED, BREEAM), renewable energy adoption, water and waste management innovations, and guest engagement in eco-friendly </w:t>
      </w:r>
      <w:r w:rsidRPr="2E3DA5C9" w:rsidR="0063235C">
        <w:rPr>
          <w:lang w:val="en-US"/>
        </w:rPr>
        <w:t>behaviours</w:t>
      </w:r>
      <w:r w:rsidRPr="2E3DA5C9" w:rsidR="0063235C">
        <w:rPr>
          <w:lang w:val="en-US"/>
        </w:rPr>
        <w:t xml:space="preserve">. Using the PESTLE paradigm, the paper assesses the political, economic, social, technical, legal, and environmental drivers and restraints that influence the industry's sustainable transformation. Case studies, such as Accor's Planet 21, Hilton's </w:t>
      </w:r>
      <w:r w:rsidRPr="2E3DA5C9" w:rsidR="0063235C">
        <w:rPr>
          <w:lang w:val="en-US"/>
        </w:rPr>
        <w:t>LightStay</w:t>
      </w:r>
      <w:r w:rsidRPr="2E3DA5C9" w:rsidR="0063235C">
        <w:rPr>
          <w:lang w:val="en-US"/>
        </w:rPr>
        <w:t xml:space="preserve">, and Six Senses' regenerative programs, </w:t>
      </w:r>
      <w:r w:rsidRPr="2E3DA5C9" w:rsidR="0063235C">
        <w:rPr>
          <w:lang w:val="en-US"/>
        </w:rPr>
        <w:t>demon</w:t>
      </w:r>
      <w:r w:rsidRPr="2E3DA5C9" w:rsidR="0063235C">
        <w:rPr>
          <w:lang w:val="en-US"/>
        </w:rPr>
        <w:t>strate</w:t>
      </w:r>
      <w:r w:rsidRPr="2E3DA5C9" w:rsidR="0063235C">
        <w:rPr>
          <w:lang w:val="en-US"/>
        </w:rPr>
        <w:t xml:space="preserve"> both the benefits and challenges of achieving net-zero targets. The findings </w:t>
      </w:r>
      <w:r w:rsidRPr="2E3DA5C9" w:rsidR="0063235C">
        <w:rPr>
          <w:lang w:val="en-US"/>
        </w:rPr>
        <w:t>indicate</w:t>
      </w:r>
      <w:r w:rsidRPr="2E3DA5C9" w:rsidR="0063235C">
        <w:rPr>
          <w:lang w:val="en-US"/>
        </w:rPr>
        <w:t xml:space="preserve"> that, while sustainability provides clear long-term value, its implementation is hampered by financial, technical, and </w:t>
      </w:r>
      <w:r w:rsidRPr="2E3DA5C9" w:rsidR="0063235C">
        <w:rPr>
          <w:lang w:val="en-US"/>
        </w:rPr>
        <w:t>behavioural</w:t>
      </w:r>
      <w:r w:rsidRPr="2E3DA5C9" w:rsidR="0063235C">
        <w:rPr>
          <w:lang w:val="en-US"/>
        </w:rPr>
        <w:t xml:space="preserve"> constraints. Strategic recommendations are offered to industry executives and researchers, highlighting the importance of retrofitting, ESG integration, and cross-sector collaboration. Finally, the paper presents net-zero as </w:t>
      </w:r>
      <w:r w:rsidRPr="2E3DA5C9" w:rsidR="0063235C">
        <w:rPr>
          <w:lang w:val="en-US"/>
        </w:rPr>
        <w:t>a feasible</w:t>
      </w:r>
      <w:r w:rsidRPr="2E3DA5C9" w:rsidR="0063235C">
        <w:rPr>
          <w:lang w:val="en-US"/>
        </w:rPr>
        <w:t xml:space="preserve"> but challenging goal that </w:t>
      </w:r>
      <w:r w:rsidRPr="2E3DA5C9" w:rsidR="0063235C">
        <w:rPr>
          <w:lang w:val="en-US"/>
        </w:rPr>
        <w:t>necessitates</w:t>
      </w:r>
      <w:r w:rsidRPr="2E3DA5C9" w:rsidR="0063235C">
        <w:rPr>
          <w:lang w:val="en-US"/>
        </w:rPr>
        <w:t xml:space="preserve"> concerted act</w:t>
      </w:r>
      <w:r w:rsidRPr="2E3DA5C9" w:rsidR="0063235C">
        <w:rPr>
          <w:lang w:val="en-US"/>
        </w:rPr>
        <w:t>ion across operations, policy, and people.</w:t>
      </w:r>
      <w:r w:rsidRPr="2E3DA5C9" w:rsidR="0063235C">
        <w:rPr>
          <w:rFonts w:cs="Calibri"/>
          <w:lang w:val="en-US"/>
        </w:rPr>
        <w:t xml:space="preserve"> </w:t>
      </w:r>
      <w:r>
        <w:tab/>
      </w:r>
      <w:r w:rsidRPr="2E3DA5C9" w:rsidR="0063235C">
        <w:rPr>
          <w:rFonts w:cs="Calibri"/>
          <w:lang w:val="en-US"/>
        </w:rPr>
        <w:t xml:space="preserve"> </w:t>
      </w:r>
    </w:p>
    <w:sdt>
      <w:sdtPr>
        <w:id w:val="-951012189"/>
        <w:docPartObj>
          <w:docPartGallery w:val="Table of Contents"/>
        </w:docPartObj>
      </w:sdtPr>
      <w:sdtEndPr/>
      <w:sdtContent>
        <w:p w:rsidR="001E0822" w:rsidRDefault="0063235C" w14:paraId="3CEBED54" w14:textId="77777777">
          <w:pPr>
            <w:spacing w:after="88" w:line="259" w:lineRule="auto"/>
            <w:ind w:left="0" w:right="0" w:firstLine="0"/>
            <w:jc w:val="left"/>
          </w:pPr>
          <w:r>
            <w:rPr>
              <w:rFonts w:cs="Calibri"/>
              <w:b/>
              <w:sz w:val="32"/>
            </w:rPr>
            <w:t xml:space="preserve">Table of Contents </w:t>
          </w:r>
        </w:p>
        <w:p w:rsidR="001E0822" w:rsidRDefault="0063235C" w14:paraId="41FC714E" w14:textId="77777777">
          <w:pPr>
            <w:pStyle w:val="TOC1"/>
            <w:tabs>
              <w:tab w:val="right" w:leader="dot" w:pos="9039"/>
            </w:tabs>
          </w:pPr>
          <w:r>
            <w:fldChar w:fldCharType="begin"/>
          </w:r>
          <w:r>
            <w:instrText xml:space="preserve"> TOC \o "1-1" \h \z \u </w:instrText>
          </w:r>
          <w:r>
            <w:fldChar w:fldCharType="separate"/>
          </w:r>
          <w:hyperlink w:anchor="_Toc11880">
            <w:r>
              <w:t>1. Introduction</w:t>
            </w:r>
            <w:r>
              <w:tab/>
            </w:r>
            <w:r>
              <w:fldChar w:fldCharType="begin"/>
            </w:r>
            <w:r>
              <w:instrText>PAGEREF _Toc11880 \h</w:instrText>
            </w:r>
            <w:r>
              <w:fldChar w:fldCharType="separate"/>
            </w:r>
            <w:r>
              <w:t xml:space="preserve">3 </w:t>
            </w:r>
            <w:r>
              <w:fldChar w:fldCharType="end"/>
            </w:r>
          </w:hyperlink>
        </w:p>
        <w:p w:rsidR="001E0822" w:rsidRDefault="0063235C" w14:paraId="0C93833F" w14:textId="77777777">
          <w:pPr>
            <w:pStyle w:val="TOC1"/>
            <w:tabs>
              <w:tab w:val="right" w:leader="dot" w:pos="9039"/>
            </w:tabs>
          </w:pPr>
          <w:hyperlink w:anchor="_Toc11881">
            <w:r>
              <w:t>2. Literature Review</w:t>
            </w:r>
            <w:r>
              <w:tab/>
            </w:r>
            <w:r>
              <w:fldChar w:fldCharType="begin"/>
            </w:r>
            <w:r>
              <w:instrText>PAGEREF _Toc11881 \h</w:instrText>
            </w:r>
            <w:r>
              <w:fldChar w:fldCharType="separate"/>
            </w:r>
            <w:r>
              <w:t xml:space="preserve">3 </w:t>
            </w:r>
            <w:r>
              <w:fldChar w:fldCharType="end"/>
            </w:r>
          </w:hyperlink>
        </w:p>
        <w:p w:rsidR="001E0822" w:rsidRDefault="0063235C" w14:paraId="121ECD6C" w14:textId="77777777">
          <w:pPr>
            <w:pStyle w:val="TOC1"/>
            <w:tabs>
              <w:tab w:val="right" w:leader="dot" w:pos="9039"/>
            </w:tabs>
          </w:pPr>
          <w:hyperlink w:anchor="_Toc11882">
            <w:r>
              <w:t>3. Method</w:t>
            </w:r>
            <w:r>
              <w:tab/>
            </w:r>
            <w:r>
              <w:fldChar w:fldCharType="begin"/>
            </w:r>
            <w:r>
              <w:instrText>PAGEREF _Toc11882 \h</w:instrText>
            </w:r>
            <w:r>
              <w:fldChar w:fldCharType="separate"/>
            </w:r>
            <w:r>
              <w:t xml:space="preserve">5 </w:t>
            </w:r>
            <w:r>
              <w:fldChar w:fldCharType="end"/>
            </w:r>
          </w:hyperlink>
        </w:p>
        <w:p w:rsidR="001E0822" w:rsidRDefault="0063235C" w14:paraId="42BB714A" w14:textId="77777777">
          <w:pPr>
            <w:pStyle w:val="TOC1"/>
            <w:tabs>
              <w:tab w:val="right" w:leader="dot" w:pos="9039"/>
            </w:tabs>
          </w:pPr>
          <w:hyperlink w:anchor="_Toc11883">
            <w:r>
              <w:t>4. Theme Impact Analysis</w:t>
            </w:r>
            <w:r>
              <w:tab/>
            </w:r>
            <w:r>
              <w:fldChar w:fldCharType="begin"/>
            </w:r>
            <w:r>
              <w:instrText>PAGEREF _Toc11883 \h</w:instrText>
            </w:r>
            <w:r>
              <w:fldChar w:fldCharType="separate"/>
            </w:r>
            <w:r>
              <w:t xml:space="preserve">6 </w:t>
            </w:r>
            <w:r>
              <w:fldChar w:fldCharType="end"/>
            </w:r>
          </w:hyperlink>
        </w:p>
        <w:p w:rsidR="001E0822" w:rsidRDefault="0063235C" w14:paraId="2BF6018B" w14:textId="77777777">
          <w:pPr>
            <w:pStyle w:val="TOC1"/>
            <w:tabs>
              <w:tab w:val="right" w:leader="dot" w:pos="9039"/>
            </w:tabs>
          </w:pPr>
          <w:hyperlink w:anchor="_Toc11884">
            <w:r>
              <w:t>5. Conclusion</w:t>
            </w:r>
            <w:r>
              <w:tab/>
            </w:r>
            <w:r>
              <w:fldChar w:fldCharType="begin"/>
            </w:r>
            <w:r>
              <w:instrText>PAGEREF _Toc11884 \h</w:instrText>
            </w:r>
            <w:r>
              <w:fldChar w:fldCharType="separate"/>
            </w:r>
            <w:r>
              <w:t xml:space="preserve">9 </w:t>
            </w:r>
            <w:r>
              <w:fldChar w:fldCharType="end"/>
            </w:r>
          </w:hyperlink>
        </w:p>
        <w:p w:rsidR="001E0822" w:rsidRDefault="0063235C" w14:paraId="17A60D49" w14:textId="77777777">
          <w:pPr>
            <w:pStyle w:val="TOC1"/>
            <w:tabs>
              <w:tab w:val="right" w:leader="dot" w:pos="9039"/>
            </w:tabs>
          </w:pPr>
          <w:hyperlink w:anchor="_Toc11885">
            <w:r>
              <w:t>6. Recommendations</w:t>
            </w:r>
            <w:r>
              <w:tab/>
            </w:r>
            <w:r>
              <w:fldChar w:fldCharType="begin"/>
            </w:r>
            <w:r>
              <w:instrText>PAGEREF _Toc11885 \h</w:instrText>
            </w:r>
            <w:r>
              <w:fldChar w:fldCharType="separate"/>
            </w:r>
            <w:r>
              <w:t xml:space="preserve">9 </w:t>
            </w:r>
            <w:r>
              <w:fldChar w:fldCharType="end"/>
            </w:r>
          </w:hyperlink>
        </w:p>
        <w:p w:rsidR="001E0822" w:rsidRDefault="0063235C" w14:paraId="5858708D" w14:textId="77777777">
          <w:pPr>
            <w:pStyle w:val="TOC1"/>
            <w:tabs>
              <w:tab w:val="right" w:leader="dot" w:pos="9039"/>
            </w:tabs>
          </w:pPr>
          <w:hyperlink w:anchor="_Toc11886">
            <w:r>
              <w:t>References</w:t>
            </w:r>
            <w:r>
              <w:tab/>
            </w:r>
            <w:r>
              <w:fldChar w:fldCharType="begin"/>
            </w:r>
            <w:r>
              <w:instrText>PAGEREF _Toc11886 \h</w:instrText>
            </w:r>
            <w:r>
              <w:fldChar w:fldCharType="separate"/>
            </w:r>
            <w:r>
              <w:t xml:space="preserve">11 </w:t>
            </w:r>
            <w:r>
              <w:fldChar w:fldCharType="end"/>
            </w:r>
          </w:hyperlink>
        </w:p>
        <w:p w:rsidR="001E0822" w:rsidRDefault="0063235C" w14:paraId="53E2B28E" w14:textId="77777777">
          <w:r>
            <w:fldChar w:fldCharType="end"/>
          </w:r>
        </w:p>
      </w:sdtContent>
    </w:sdt>
    <w:p w:rsidR="001E0822" w:rsidRDefault="0063235C" w14:paraId="3AE8C98D" w14:textId="77777777">
      <w:pPr>
        <w:spacing w:after="80" w:line="439" w:lineRule="auto"/>
        <w:ind w:left="-5" w:right="-3"/>
        <w:jc w:val="left"/>
      </w:pPr>
      <w:r>
        <w:rPr>
          <w:rFonts w:cs="Calibri"/>
        </w:rPr>
        <w:t xml:space="preserve"> </w:t>
      </w:r>
    </w:p>
    <w:p w:rsidR="001E0822" w:rsidRDefault="0063235C" w14:paraId="0F890982" w14:textId="77777777">
      <w:pPr>
        <w:spacing w:after="0" w:line="259" w:lineRule="auto"/>
        <w:ind w:left="0" w:right="0" w:firstLine="0"/>
        <w:jc w:val="left"/>
      </w:pPr>
      <w:r>
        <w:rPr>
          <w:rFonts w:cs="Calibri"/>
        </w:rPr>
        <w:t xml:space="preserve"> </w:t>
      </w:r>
      <w:r>
        <w:rPr>
          <w:rFonts w:cs="Calibri"/>
        </w:rPr>
        <w:tab/>
      </w:r>
      <w:r>
        <w:rPr>
          <w:rFonts w:cs="Calibri"/>
        </w:rPr>
        <w:t xml:space="preserve"> </w:t>
      </w:r>
      <w:r>
        <w:br w:type="page"/>
      </w:r>
    </w:p>
    <w:p w:rsidR="001E0822" w:rsidRDefault="0063235C" w14:paraId="173E6731" w14:textId="77777777">
      <w:pPr>
        <w:pStyle w:val="Heading1"/>
        <w:spacing w:after="284"/>
        <w:ind w:left="225" w:hanging="240"/>
      </w:pPr>
      <w:bookmarkStart w:name="_Toc11880" w:id="0"/>
      <w:r>
        <w:rPr>
          <w:i w:val="0"/>
        </w:rPr>
        <w:t xml:space="preserve">Introduction </w:t>
      </w:r>
      <w:bookmarkEnd w:id="0"/>
    </w:p>
    <w:p w:rsidR="001E0822" w:rsidRDefault="0063235C" w14:paraId="500987A9" w14:textId="77777777">
      <w:pPr>
        <w:ind w:left="-5" w:right="3"/>
      </w:pPr>
      <w:r w:rsidRPr="2E3DA5C9" w:rsidR="0063235C">
        <w:rPr>
          <w:lang w:val="en-US"/>
        </w:rPr>
        <w:t xml:space="preserve">Sustainability in the hotel sector refers to the responsible use of environmental, social, and economic resources </w:t>
      </w:r>
      <w:r w:rsidRPr="2E3DA5C9" w:rsidR="0063235C">
        <w:rPr>
          <w:lang w:val="en-US"/>
        </w:rPr>
        <w:t>in order to</w:t>
      </w:r>
      <w:r w:rsidRPr="2E3DA5C9" w:rsidR="0063235C">
        <w:rPr>
          <w:lang w:val="en-US"/>
        </w:rPr>
        <w:t xml:space="preserve"> reduce negative consequences while increasing long-term value for stakeholders. In this context, net-zero explicitly refers to a situation in which a hotel's greenhouse gas emissions are completely offset by reduction measures or carbon removal initiatives, </w:t>
      </w:r>
      <w:r w:rsidRPr="2E3DA5C9" w:rsidR="0063235C">
        <w:rPr>
          <w:lang w:val="en-US"/>
        </w:rPr>
        <w:t>in accordance with</w:t>
      </w:r>
      <w:r w:rsidRPr="2E3DA5C9" w:rsidR="0063235C">
        <w:rPr>
          <w:lang w:val="en-US"/>
        </w:rPr>
        <w:t xml:space="preserve"> global climate targets such as those specified in the Paris Agreement. The move to sustainable and low-carbon</w:t>
      </w:r>
      <w:r w:rsidRPr="2E3DA5C9" w:rsidR="0063235C">
        <w:rPr>
          <w:lang w:val="en-US"/>
        </w:rPr>
        <w:t xml:space="preserve"> operations is no longer a choice; it is a strategic requirement.</w:t>
      </w:r>
      <w:r w:rsidRPr="2E3DA5C9" w:rsidR="0063235C">
        <w:rPr>
          <w:rFonts w:cs="Calibri"/>
          <w:lang w:val="en-US"/>
        </w:rPr>
        <w:t xml:space="preserve"> </w:t>
      </w:r>
    </w:p>
    <w:p w:rsidR="001E0822" w:rsidRDefault="0063235C" w14:paraId="18A63577" w14:textId="77777777">
      <w:pPr>
        <w:ind w:left="-5" w:right="3"/>
      </w:pPr>
      <w:r w:rsidRPr="2E3DA5C9" w:rsidR="0063235C">
        <w:rPr>
          <w:lang w:val="en-US"/>
        </w:rPr>
        <w:t xml:space="preserve">Stakeholder pressure is increasing. Governments are passing stronger environmental rules and carbon reporting mandates, investors are incorporating ESG factors into their portfolios, and guests—particularly Millennials and Generation Z—are </w:t>
      </w:r>
      <w:r w:rsidRPr="2E3DA5C9" w:rsidR="0063235C">
        <w:rPr>
          <w:lang w:val="en-US"/>
        </w:rPr>
        <w:t>favouring</w:t>
      </w:r>
      <w:r w:rsidRPr="2E3DA5C9" w:rsidR="0063235C">
        <w:rPr>
          <w:lang w:val="en-US"/>
        </w:rPr>
        <w:t xml:space="preserve"> eco-friendly products. At the same time, rising energy costs, supply chain vulnerabilities, and post-COVID recovery efforts have forced hotels to reconsider their operational resilience and sustainability.</w:t>
      </w:r>
      <w:r w:rsidRPr="2E3DA5C9" w:rsidR="0063235C">
        <w:rPr>
          <w:rFonts w:cs="Calibri"/>
          <w:lang w:val="en-US"/>
        </w:rPr>
        <w:t xml:space="preserve"> </w:t>
      </w:r>
    </w:p>
    <w:p w:rsidR="001E0822" w:rsidRDefault="0063235C" w14:paraId="3B5DCC41" w14:textId="77777777">
      <w:pPr>
        <w:ind w:left="-5" w:right="3"/>
      </w:pPr>
      <w:r>
        <w:t>This paper investigates the hotel industry's reaction to these difficulties by examining the implementation of sustainable techniques such as energy efficiency, green building design, waste and water management, and renewable energy integration. The report assesses the opportunities and constraints of meeting net-zero targets using a narrative literature review and a PESTLE-based impact analysis. Strategic recommendations are also provided to help industry leaders and shape future research.</w:t>
      </w:r>
      <w:r>
        <w:rPr>
          <w:rFonts w:cs="Calibri"/>
        </w:rPr>
        <w:t xml:space="preserve"> </w:t>
      </w:r>
    </w:p>
    <w:p w:rsidR="001E0822" w:rsidRDefault="0063235C" w14:paraId="1871B208" w14:textId="77777777">
      <w:pPr>
        <w:spacing w:after="284" w:line="259" w:lineRule="auto"/>
        <w:ind w:left="0" w:right="0" w:firstLine="0"/>
        <w:jc w:val="left"/>
      </w:pPr>
      <w:r>
        <w:rPr>
          <w:rFonts w:cs="Calibri"/>
        </w:rPr>
        <w:t xml:space="preserve"> </w:t>
      </w:r>
    </w:p>
    <w:p w:rsidR="001E0822" w:rsidRDefault="0063235C" w14:paraId="5CC79D45" w14:textId="77777777">
      <w:pPr>
        <w:pStyle w:val="Heading1"/>
        <w:spacing w:after="284"/>
        <w:ind w:left="225" w:hanging="240"/>
      </w:pPr>
      <w:bookmarkStart w:name="_Toc11881" w:id="1"/>
      <w:r>
        <w:rPr>
          <w:i w:val="0"/>
        </w:rPr>
        <w:t xml:space="preserve">Literature Review </w:t>
      </w:r>
      <w:bookmarkEnd w:id="1"/>
    </w:p>
    <w:p w:rsidR="001E0822" w:rsidRDefault="0063235C" w14:paraId="70E93B07" w14:textId="77777777">
      <w:pPr>
        <w:ind w:left="-5" w:right="3"/>
      </w:pPr>
      <w:r w:rsidRPr="2E3DA5C9" w:rsidR="0063235C">
        <w:rPr>
          <w:lang w:val="en-US"/>
        </w:rPr>
        <w:t xml:space="preserve">The worldwide hotel business is becoming more aligned with sustainable development goals by incorporating environmental practices that </w:t>
      </w:r>
      <w:r w:rsidRPr="2E3DA5C9" w:rsidR="0063235C">
        <w:rPr>
          <w:lang w:val="en-US"/>
        </w:rPr>
        <w:t>facilitate</w:t>
      </w:r>
      <w:r w:rsidRPr="2E3DA5C9" w:rsidR="0063235C">
        <w:rPr>
          <w:lang w:val="en-US"/>
        </w:rPr>
        <w:t xml:space="preserve"> the move to net-zero operations. Implementing green construction standards, energy </w:t>
      </w:r>
      <w:r w:rsidRPr="2E3DA5C9" w:rsidR="0063235C">
        <w:rPr>
          <w:lang w:val="en-US"/>
        </w:rPr>
        <w:t>optimisation</w:t>
      </w:r>
      <w:r w:rsidRPr="2E3DA5C9" w:rsidR="0063235C">
        <w:rPr>
          <w:lang w:val="en-US"/>
        </w:rPr>
        <w:t xml:space="preserve"> technology, and water conservation systems are among the most influential techniques, all of which lead to increased operational efficiency and environmental performance.</w:t>
      </w:r>
      <w:r w:rsidRPr="2E3DA5C9" w:rsidR="0063235C">
        <w:rPr>
          <w:rFonts w:cs="Calibri"/>
          <w:lang w:val="en-US"/>
        </w:rPr>
        <w:t xml:space="preserve"> </w:t>
      </w:r>
    </w:p>
    <w:p w:rsidR="001E0822" w:rsidRDefault="0063235C" w14:paraId="3E8A6903" w14:textId="77777777">
      <w:pPr>
        <w:ind w:left="-5" w:right="3"/>
      </w:pPr>
      <w:r w:rsidRPr="2E3DA5C9" w:rsidR="0063235C">
        <w:rPr>
          <w:lang w:val="en-US"/>
        </w:rPr>
        <w:t>Green building certifications, such as LEED (Leadership in Energy and Environmental Design) and BREEAM (Building Research Establishment Environmental Assessment Method), offer formal frameworks for monitoring and improving environmental impacts throughout the construction and operational phases. According to research, LEED-certified hotels use much less energy and water while simultaneously reporting improved brand reputation and customer satisfaction (Erdogan and Baris, 2007; Kuo et al., 2022). In the Unit</w:t>
      </w:r>
      <w:r w:rsidRPr="2E3DA5C9" w:rsidR="0063235C">
        <w:rPr>
          <w:lang w:val="en-US"/>
        </w:rPr>
        <w:t xml:space="preserve">ed Kingdom and Europe, BREEAM adoption has been particularly prevalent in urban hotel complexes seeking to meet stricter environmental requirements and appeal to eco-conscious </w:t>
      </w:r>
      <w:r w:rsidRPr="2E3DA5C9" w:rsidR="0063235C">
        <w:rPr>
          <w:lang w:val="en-US"/>
        </w:rPr>
        <w:t>travellers</w:t>
      </w:r>
      <w:r w:rsidRPr="2E3DA5C9" w:rsidR="0063235C">
        <w:rPr>
          <w:lang w:val="en-US"/>
        </w:rPr>
        <w:t xml:space="preserve"> (BRE, 2023). However, the adoption of these certifications varies </w:t>
      </w:r>
      <w:r w:rsidRPr="2E3DA5C9" w:rsidR="0063235C">
        <w:rPr>
          <w:lang w:val="en-US"/>
        </w:rPr>
        <w:t>greatly by</w:t>
      </w:r>
      <w:r w:rsidRPr="2E3DA5C9" w:rsidR="0063235C">
        <w:rPr>
          <w:lang w:val="en-US"/>
        </w:rPr>
        <w:t xml:space="preserve"> area due to variances in legislative incentives, building costs, and knowledge.</w:t>
      </w:r>
      <w:r w:rsidRPr="2E3DA5C9" w:rsidR="0063235C">
        <w:rPr>
          <w:rFonts w:cs="Calibri"/>
          <w:lang w:val="en-US"/>
        </w:rPr>
        <w:t xml:space="preserve"> </w:t>
      </w:r>
    </w:p>
    <w:p w:rsidR="001E0822" w:rsidRDefault="0063235C" w14:paraId="5EEB8077" w14:textId="77777777">
      <w:pPr>
        <w:ind w:left="-5" w:right="3"/>
      </w:pPr>
      <w:r w:rsidRPr="2E3DA5C9" w:rsidR="0063235C">
        <w:rPr>
          <w:lang w:val="en-US"/>
        </w:rPr>
        <w:t xml:space="preserve">Energy efficiency is a critical </w:t>
      </w:r>
      <w:r w:rsidRPr="2E3DA5C9" w:rsidR="0063235C">
        <w:rPr>
          <w:lang w:val="en-US"/>
        </w:rPr>
        <w:t>component</w:t>
      </w:r>
      <w:r w:rsidRPr="2E3DA5C9" w:rsidR="0063235C">
        <w:rPr>
          <w:lang w:val="en-US"/>
        </w:rPr>
        <w:t xml:space="preserve"> of net-zero </w:t>
      </w:r>
      <w:r w:rsidRPr="2E3DA5C9" w:rsidR="0063235C">
        <w:rPr>
          <w:lang w:val="en-US"/>
        </w:rPr>
        <w:t>objectives</w:t>
      </w:r>
      <w:r w:rsidRPr="2E3DA5C9" w:rsidR="0063235C">
        <w:rPr>
          <w:lang w:val="en-US"/>
        </w:rPr>
        <w:t xml:space="preserve"> in hospitality. Smart energy management systems, which include IoT sensors and AI algorithms, are rapidly being </w:t>
      </w:r>
      <w:r w:rsidRPr="2E3DA5C9" w:rsidR="0063235C">
        <w:rPr>
          <w:lang w:val="en-US"/>
        </w:rPr>
        <w:t>utilised</w:t>
      </w:r>
      <w:r w:rsidRPr="2E3DA5C9" w:rsidR="0063235C">
        <w:rPr>
          <w:lang w:val="en-US"/>
        </w:rPr>
        <w:t xml:space="preserve"> to </w:t>
      </w:r>
      <w:r w:rsidRPr="2E3DA5C9" w:rsidR="0063235C">
        <w:rPr>
          <w:lang w:val="en-US"/>
        </w:rPr>
        <w:t>monitor</w:t>
      </w:r>
      <w:r w:rsidRPr="2E3DA5C9" w:rsidR="0063235C">
        <w:rPr>
          <w:lang w:val="en-US"/>
        </w:rPr>
        <w:t xml:space="preserve"> and </w:t>
      </w:r>
      <w:r w:rsidRPr="2E3DA5C9" w:rsidR="0063235C">
        <w:rPr>
          <w:lang w:val="en-US"/>
        </w:rPr>
        <w:t>minimise</w:t>
      </w:r>
      <w:r w:rsidRPr="2E3DA5C9" w:rsidR="0063235C">
        <w:rPr>
          <w:lang w:val="en-US"/>
        </w:rPr>
        <w:t xml:space="preserve"> energy use in lights, HVAC, and appliances (Zhou et al., 2021). Renewable energy technologies, such as solar photovoltaic (PV) panels and geothermal systems, are being used in both new and retrofit projects. For example, the ITC Grand Chola in India employs a combination of solar and wind energy to me</w:t>
      </w:r>
      <w:r w:rsidRPr="2E3DA5C9" w:rsidR="0063235C">
        <w:rPr>
          <w:lang w:val="en-US"/>
        </w:rPr>
        <w:t xml:space="preserve">et more than 60% of its energy consumption, </w:t>
      </w:r>
      <w:r w:rsidRPr="2E3DA5C9" w:rsidR="0063235C">
        <w:rPr>
          <w:lang w:val="en-US"/>
        </w:rPr>
        <w:t>demonstrating</w:t>
      </w:r>
      <w:r w:rsidRPr="2E3DA5C9" w:rsidR="0063235C">
        <w:rPr>
          <w:lang w:val="en-US"/>
        </w:rPr>
        <w:t xml:space="preserve"> how large-scale renewable integration can reduce carbon footprints while generating long-term cost benefits (UNWTO, 2022). Nonetheless, energy initiatives need a significant upfront expenditure, and many small- to medium-sized hotels </w:t>
      </w:r>
      <w:r w:rsidRPr="2E3DA5C9" w:rsidR="0063235C">
        <w:rPr>
          <w:lang w:val="en-US"/>
        </w:rPr>
        <w:t>encounter</w:t>
      </w:r>
      <w:r w:rsidRPr="2E3DA5C9" w:rsidR="0063235C">
        <w:rPr>
          <w:lang w:val="en-US"/>
        </w:rPr>
        <w:t xml:space="preserve"> difficulties in obtaining financing or sufficient infrastructure.</w:t>
      </w:r>
      <w:r w:rsidRPr="2E3DA5C9" w:rsidR="0063235C">
        <w:rPr>
          <w:rFonts w:cs="Calibri"/>
          <w:lang w:val="en-US"/>
        </w:rPr>
        <w:t xml:space="preserve"> </w:t>
      </w:r>
    </w:p>
    <w:p w:rsidR="001E0822" w:rsidRDefault="0063235C" w14:paraId="0BAC300C" w14:textId="77777777">
      <w:pPr>
        <w:ind w:left="-5" w:right="3"/>
      </w:pPr>
      <w:r w:rsidRPr="2E3DA5C9" w:rsidR="0063235C">
        <w:rPr>
          <w:lang w:val="en-US"/>
        </w:rPr>
        <w:t xml:space="preserve">Water conservation measures are another key </w:t>
      </w:r>
      <w:r w:rsidRPr="2E3DA5C9" w:rsidR="0063235C">
        <w:rPr>
          <w:lang w:val="en-US"/>
        </w:rPr>
        <w:t>component</w:t>
      </w:r>
      <w:r w:rsidRPr="2E3DA5C9" w:rsidR="0063235C">
        <w:rPr>
          <w:lang w:val="en-US"/>
        </w:rPr>
        <w:t xml:space="preserve"> of sustainable practice. Hotels are among the most water-intensive commercial establishments, with guest amenities like showers, laundry, and gardening accounting for </w:t>
      </w:r>
      <w:r w:rsidRPr="2E3DA5C9" w:rsidR="0063235C">
        <w:rPr>
          <w:lang w:val="en-US"/>
        </w:rPr>
        <w:t>the majority of</w:t>
      </w:r>
      <w:r w:rsidRPr="2E3DA5C9" w:rsidR="0063235C">
        <w:rPr>
          <w:lang w:val="en-US"/>
        </w:rPr>
        <w:t xml:space="preserve"> water consumption. Low-flow fixtures, smart irrigation systems, and greywater recycling have showed great promise for lowering consumption by 30-50% (EPA, 2023). Hilton's </w:t>
      </w:r>
      <w:r w:rsidRPr="2E3DA5C9" w:rsidR="0063235C">
        <w:rPr>
          <w:lang w:val="en-US"/>
        </w:rPr>
        <w:t>LightStay</w:t>
      </w:r>
      <w:r w:rsidRPr="2E3DA5C9" w:rsidR="0063235C">
        <w:rPr>
          <w:lang w:val="en-US"/>
        </w:rPr>
        <w:t xml:space="preserve"> program, for example, incorporates water tracking across properties, resulting in a 22% reduct</w:t>
      </w:r>
      <w:r w:rsidRPr="2E3DA5C9" w:rsidR="0063235C">
        <w:rPr>
          <w:lang w:val="en-US"/>
        </w:rPr>
        <w:t xml:space="preserve">ion in global water use per square </w:t>
      </w:r>
      <w:r w:rsidRPr="2E3DA5C9" w:rsidR="0063235C">
        <w:rPr>
          <w:lang w:val="en-US"/>
        </w:rPr>
        <w:t>metre</w:t>
      </w:r>
      <w:r w:rsidRPr="2E3DA5C9" w:rsidR="0063235C">
        <w:rPr>
          <w:lang w:val="en-US"/>
        </w:rPr>
        <w:t xml:space="preserve"> between 2008 and 2022 (Hilton, 2023). However, success is dependent on ongoing maintenance and staff training to ensure system efficiency.</w:t>
      </w:r>
      <w:r w:rsidRPr="2E3DA5C9" w:rsidR="0063235C">
        <w:rPr>
          <w:rFonts w:cs="Calibri"/>
          <w:lang w:val="en-US"/>
        </w:rPr>
        <w:t xml:space="preserve"> </w:t>
      </w:r>
    </w:p>
    <w:p w:rsidR="001E0822" w:rsidRDefault="0063235C" w14:paraId="67BBF587" w14:textId="77777777">
      <w:pPr>
        <w:spacing w:after="1"/>
        <w:ind w:left="-5" w:right="3"/>
      </w:pPr>
      <w:r w:rsidRPr="2E3DA5C9" w:rsidR="0063235C">
        <w:rPr>
          <w:lang w:val="en-US"/>
        </w:rPr>
        <w:t xml:space="preserve">Waste management is another high-priority topic for the hotel industry's sustainability efforts. Hotels generate a substantial amount of food, plastic, and packaging waste, causing many to set zero-waste </w:t>
      </w:r>
      <w:r w:rsidRPr="2E3DA5C9" w:rsidR="0063235C">
        <w:rPr>
          <w:lang w:val="en-US"/>
        </w:rPr>
        <w:t>objectives</w:t>
      </w:r>
      <w:r w:rsidRPr="2E3DA5C9" w:rsidR="0063235C">
        <w:rPr>
          <w:lang w:val="en-US"/>
        </w:rPr>
        <w:t xml:space="preserve"> and adhere to circular economy concepts. Marriott International, for example, has pledged to reduce food waste by half by 2025 with innovations such as AI-powered trash tracking and collaboration with donation networks (Marriott, 2023). </w:t>
      </w:r>
    </w:p>
    <w:p w:rsidR="001E0822" w:rsidRDefault="0063235C" w14:paraId="30C72C96" w14:textId="77777777">
      <w:pPr>
        <w:ind w:left="-5" w:right="3"/>
      </w:pPr>
      <w:r w:rsidRPr="2E3DA5C9" w:rsidR="0063235C">
        <w:rPr>
          <w:lang w:val="en-US"/>
        </w:rPr>
        <w:t xml:space="preserve">Similarly, the Six Senses hotel company uses composting, on-site bottling, and packaging-free services as part of a closed-loop strategy (Greenview, 2022). Despite these advances, obstacles </w:t>
      </w:r>
      <w:r w:rsidRPr="2E3DA5C9" w:rsidR="0063235C">
        <w:rPr>
          <w:lang w:val="en-US"/>
        </w:rPr>
        <w:t>remain</w:t>
      </w:r>
      <w:r w:rsidRPr="2E3DA5C9" w:rsidR="0063235C">
        <w:rPr>
          <w:lang w:val="en-US"/>
        </w:rPr>
        <w:t xml:space="preserve"> in </w:t>
      </w:r>
      <w:r w:rsidRPr="2E3DA5C9" w:rsidR="0063235C">
        <w:rPr>
          <w:lang w:val="en-US"/>
        </w:rPr>
        <w:t>standardising</w:t>
      </w:r>
      <w:r w:rsidRPr="2E3DA5C9" w:rsidR="0063235C">
        <w:rPr>
          <w:lang w:val="en-US"/>
        </w:rPr>
        <w:t xml:space="preserve"> recycling procedures across geographies due to differences in local trash infrastructure and regulatory contexts.</w:t>
      </w:r>
      <w:r w:rsidRPr="2E3DA5C9" w:rsidR="0063235C">
        <w:rPr>
          <w:rFonts w:cs="Calibri"/>
          <w:lang w:val="en-US"/>
        </w:rPr>
        <w:t xml:space="preserve"> </w:t>
      </w:r>
    </w:p>
    <w:p w:rsidR="001E0822" w:rsidRDefault="0063235C" w14:paraId="64064996" w14:textId="77777777">
      <w:pPr>
        <w:ind w:left="-5" w:right="3"/>
      </w:pPr>
      <w:r w:rsidRPr="2E3DA5C9" w:rsidR="0063235C">
        <w:rPr>
          <w:lang w:val="en-US"/>
        </w:rPr>
        <w:t xml:space="preserve">Guest participation is critical to the success of hotel sustainability initiatives. According to research, when given clear information and an ethical framework, visitors are increasingly prepared to embrace green measures such as towel reuse programs, keyless entry, and </w:t>
      </w:r>
      <w:r w:rsidRPr="2E3DA5C9" w:rsidR="0063235C">
        <w:rPr>
          <w:lang w:val="en-US"/>
        </w:rPr>
        <w:t>optin</w:t>
      </w:r>
      <w:r w:rsidRPr="2E3DA5C9" w:rsidR="0063235C">
        <w:rPr>
          <w:lang w:val="en-US"/>
        </w:rPr>
        <w:t xml:space="preserve"> housekeeping (Han et al., 2020). Scandic Hotels, a Nordic company noted for its sustainability leadership, encourages guests to </w:t>
      </w:r>
      <w:r w:rsidRPr="2E3DA5C9" w:rsidR="0063235C">
        <w:rPr>
          <w:lang w:val="en-US"/>
        </w:rPr>
        <w:t>participate</w:t>
      </w:r>
      <w:r w:rsidRPr="2E3DA5C9" w:rsidR="0063235C">
        <w:rPr>
          <w:lang w:val="en-US"/>
        </w:rPr>
        <w:t xml:space="preserve"> in carbon offsetting and tracks their energy savings per stay. However, guest involvement must</w:t>
      </w:r>
      <w:r w:rsidRPr="2E3DA5C9" w:rsidR="0063235C">
        <w:rPr>
          <w:lang w:val="en-US"/>
        </w:rPr>
        <w:t xml:space="preserve"> be carefully planned to avoid views of cost-cutting disguised as environmentalism, which could undermine brand confidence (Line and Hanks, 2020).</w:t>
      </w:r>
      <w:r w:rsidRPr="2E3DA5C9" w:rsidR="0063235C">
        <w:rPr>
          <w:rFonts w:cs="Calibri"/>
          <w:lang w:val="en-US"/>
        </w:rPr>
        <w:t xml:space="preserve"> </w:t>
      </w:r>
    </w:p>
    <w:p w:rsidR="001E0822" w:rsidRDefault="0063235C" w14:paraId="6041EA30" w14:textId="77777777">
      <w:pPr>
        <w:ind w:left="-5" w:right="3"/>
      </w:pPr>
      <w:r w:rsidRPr="2E3DA5C9" w:rsidR="0063235C">
        <w:rPr>
          <w:lang w:val="en-US"/>
        </w:rPr>
        <w:t xml:space="preserve">Despite improvements, some hurdles prevent widespread adoption of sustainable practices. The most </w:t>
      </w:r>
      <w:r w:rsidRPr="2E3DA5C9" w:rsidR="0063235C">
        <w:rPr>
          <w:lang w:val="en-US"/>
        </w:rPr>
        <w:t>frequently</w:t>
      </w:r>
      <w:r w:rsidRPr="2E3DA5C9" w:rsidR="0063235C">
        <w:rPr>
          <w:lang w:val="en-US"/>
        </w:rPr>
        <w:t xml:space="preserve"> stated hurdle is financial: upgrading older buildings to meet energy and water efficiency regulations can be costly and take a long time to pay off (Jones et al., 2016). Smaller, independent hotels are particularly vulnerable because they lack access to green financing and government incentives that larger chains have. Operational disturbances, such as integrating smart technologies into traditional </w:t>
      </w:r>
      <w:r w:rsidRPr="2E3DA5C9" w:rsidR="0063235C">
        <w:rPr>
          <w:lang w:val="en-US"/>
        </w:rPr>
        <w:t>systems, hinder transitions.</w:t>
      </w:r>
      <w:r w:rsidRPr="2E3DA5C9" w:rsidR="0063235C">
        <w:rPr>
          <w:rFonts w:cs="Calibri"/>
          <w:lang w:val="en-US"/>
        </w:rPr>
        <w:t xml:space="preserve"> </w:t>
      </w:r>
    </w:p>
    <w:p w:rsidR="001E0822" w:rsidRDefault="0063235C" w14:paraId="5BC22673" w14:textId="77777777">
      <w:pPr>
        <w:ind w:left="-5" w:right="3"/>
      </w:pPr>
      <w:r w:rsidRPr="2E3DA5C9" w:rsidR="0063235C">
        <w:rPr>
          <w:lang w:val="en-US"/>
        </w:rPr>
        <w:t xml:space="preserve">Greenwashing, or misrepresenting stakeholders about a company's environmental activities, also carries reputational hazards. Without precise measures or third-party certification, some hotels may overstate their sustainability claims, undermining consumer trust (Delmas and Burbano, 2011). This </w:t>
      </w:r>
      <w:r w:rsidRPr="2E3DA5C9" w:rsidR="0063235C">
        <w:rPr>
          <w:lang w:val="en-US"/>
        </w:rPr>
        <w:t>emphasises</w:t>
      </w:r>
      <w:r w:rsidRPr="2E3DA5C9" w:rsidR="0063235C">
        <w:rPr>
          <w:lang w:val="en-US"/>
        </w:rPr>
        <w:t xml:space="preserve"> the importance of </w:t>
      </w:r>
      <w:r w:rsidRPr="2E3DA5C9" w:rsidR="0063235C">
        <w:rPr>
          <w:lang w:val="en-US"/>
        </w:rPr>
        <w:t>accurate</w:t>
      </w:r>
      <w:r w:rsidRPr="2E3DA5C9" w:rsidR="0063235C">
        <w:rPr>
          <w:lang w:val="en-US"/>
        </w:rPr>
        <w:t xml:space="preserve"> ESG reporting, effective auditing mechanisms, and employee training in aligning operations with true environmental results.</w:t>
      </w:r>
      <w:r w:rsidRPr="2E3DA5C9" w:rsidR="0063235C">
        <w:rPr>
          <w:rFonts w:cs="Calibri"/>
          <w:lang w:val="en-US"/>
        </w:rPr>
        <w:t xml:space="preserve"> </w:t>
      </w:r>
    </w:p>
    <w:p w:rsidR="001E0822" w:rsidRDefault="0063235C" w14:paraId="424A0303" w14:textId="77777777">
      <w:pPr>
        <w:ind w:left="-5" w:right="3"/>
      </w:pPr>
      <w:r w:rsidRPr="2E3DA5C9" w:rsidR="0063235C">
        <w:rPr>
          <w:lang w:val="en-US"/>
        </w:rPr>
        <w:t xml:space="preserve">Finally, the literature reveals that, while sustainable hotel operations are possible, long-term sustainability </w:t>
      </w:r>
      <w:r w:rsidRPr="2E3DA5C9" w:rsidR="0063235C">
        <w:rPr>
          <w:lang w:val="en-US"/>
        </w:rPr>
        <w:t>necessitates</w:t>
      </w:r>
      <w:r w:rsidRPr="2E3DA5C9" w:rsidR="0063235C">
        <w:rPr>
          <w:lang w:val="en-US"/>
        </w:rPr>
        <w:t xml:space="preserve"> an integrated approach that includes technology, transparency, leadership commitment, and genuine stakeholder engagement.</w:t>
      </w:r>
      <w:r w:rsidRPr="2E3DA5C9" w:rsidR="0063235C">
        <w:rPr>
          <w:rFonts w:cs="Calibri"/>
          <w:lang w:val="en-US"/>
        </w:rPr>
        <w:t xml:space="preserve"> </w:t>
      </w:r>
    </w:p>
    <w:p w:rsidR="001E0822" w:rsidRDefault="0063235C" w14:paraId="2C625FE2" w14:textId="77777777">
      <w:pPr>
        <w:spacing w:after="284" w:line="259" w:lineRule="auto"/>
        <w:ind w:left="0" w:right="0" w:firstLine="0"/>
        <w:jc w:val="left"/>
      </w:pPr>
      <w:r>
        <w:rPr>
          <w:rFonts w:cs="Calibri"/>
        </w:rPr>
        <w:t xml:space="preserve"> </w:t>
      </w:r>
    </w:p>
    <w:p w:rsidR="001E0822" w:rsidRDefault="0063235C" w14:paraId="55053A1E" w14:textId="77777777">
      <w:pPr>
        <w:pStyle w:val="Heading1"/>
        <w:spacing w:after="284"/>
        <w:ind w:left="225" w:hanging="240"/>
      </w:pPr>
      <w:bookmarkStart w:name="_Toc11882" w:id="2"/>
      <w:r>
        <w:rPr>
          <w:i w:val="0"/>
        </w:rPr>
        <w:t xml:space="preserve">Method </w:t>
      </w:r>
      <w:bookmarkEnd w:id="2"/>
    </w:p>
    <w:p w:rsidR="001E0822" w:rsidRDefault="0063235C" w14:paraId="449362A5" w14:textId="77777777">
      <w:pPr>
        <w:ind w:left="-5" w:right="3"/>
      </w:pPr>
      <w:r>
        <w:t>This study uses a narrative literature review style to critically assess sustainable practices in the hotel industry and how they contribute to achieving net-zero goals. The narrative approach enables a flexible, in-depth synthesis of varied literature, combining academic ideas and industrial practices to represent the complexities of sustainable implementation.</w:t>
      </w:r>
      <w:r>
        <w:rPr>
          <w:rFonts w:cs="Calibri"/>
        </w:rPr>
        <w:t xml:space="preserve"> </w:t>
      </w:r>
    </w:p>
    <w:p w:rsidR="001E0822" w:rsidRDefault="0063235C" w14:paraId="653C344C" w14:textId="77777777">
      <w:pPr>
        <w:ind w:left="-5" w:right="3"/>
      </w:pPr>
      <w:r>
        <w:t>Relevance, credibility, and recency were used to drive source selection. Academic journal papers were obtained from sources such as Scopus, ScienceDirect, and Google Scholar, with a concentration on publications between 2018 and 2024 to represent current trends. In addition, industry reports from hotel organisations (e.g., Marriott, Hilton), green building councils (e.g., LEED, BREEAM), and worldwide organisations such as the UNWTO and Greenview were studied to provide practitioner viewpoints and case studi</w:t>
      </w:r>
      <w:r>
        <w:t>es.</w:t>
      </w:r>
      <w:r>
        <w:rPr>
          <w:rFonts w:cs="Calibri"/>
        </w:rPr>
        <w:t xml:space="preserve"> </w:t>
      </w:r>
    </w:p>
    <w:p w:rsidR="001E0822" w:rsidRDefault="0063235C" w14:paraId="51AF3813" w14:textId="77777777">
      <w:pPr>
        <w:ind w:left="-5" w:right="3"/>
      </w:pPr>
      <w:r>
        <w:t>A theme synthesis technique was used to categorise findings into core sustainability dimensions—energy, water, waste, and stakeholder engagement—that corresponded to either the Triple Bottom Line (TBL) framework (people, planet, profit) or Environmental, Social, and Governance (ESG) indicators. This dual-lens facilitated the assessment of both environmental effect and organisational performance. Themes were critically examined across sources to uncover consistent tactics, innovations, and barriers, resultin</w:t>
      </w:r>
      <w:r>
        <w:t>g in a comprehensive picture of the hospitality sector's journey towards sustainable transformation.</w:t>
      </w:r>
      <w:r>
        <w:rPr>
          <w:rFonts w:cs="Calibri"/>
        </w:rPr>
        <w:t xml:space="preserve"> </w:t>
      </w:r>
    </w:p>
    <w:p w:rsidR="001E0822" w:rsidRDefault="0063235C" w14:paraId="4A072364" w14:textId="77777777">
      <w:pPr>
        <w:spacing w:after="284" w:line="259" w:lineRule="auto"/>
        <w:ind w:left="0" w:right="0" w:firstLine="0"/>
        <w:jc w:val="left"/>
      </w:pPr>
      <w:r>
        <w:rPr>
          <w:rFonts w:cs="Calibri"/>
        </w:rPr>
        <w:t xml:space="preserve"> </w:t>
      </w:r>
    </w:p>
    <w:p w:rsidR="001E0822" w:rsidRDefault="0063235C" w14:paraId="0EE5A226" w14:textId="77777777">
      <w:pPr>
        <w:pStyle w:val="Heading1"/>
        <w:spacing w:after="284"/>
        <w:ind w:left="225" w:hanging="240"/>
      </w:pPr>
      <w:bookmarkStart w:name="_Toc11883" w:id="3"/>
      <w:r>
        <w:rPr>
          <w:i w:val="0"/>
        </w:rPr>
        <w:t xml:space="preserve">Theme Impact Analysis </w:t>
      </w:r>
      <w:bookmarkEnd w:id="3"/>
    </w:p>
    <w:p w:rsidR="001E0822" w:rsidRDefault="0063235C" w14:paraId="1A8A5816" w14:textId="77777777">
      <w:pPr>
        <w:pStyle w:val="Heading2"/>
        <w:ind w:left="-5"/>
      </w:pPr>
      <w:r>
        <w:t>Political Factors</w:t>
      </w:r>
      <w:r>
        <w:t xml:space="preserve"> </w:t>
      </w:r>
    </w:p>
    <w:p w:rsidR="001E0822" w:rsidRDefault="0063235C" w14:paraId="4861F405" w14:textId="77777777">
      <w:pPr>
        <w:ind w:left="-5" w:right="3"/>
      </w:pPr>
      <w:r>
        <w:t>Political influences have a considerable impact on hotel sustainability policies through government legislation, subsidies, and construction requirements. Governments in Europe and North America have provided financial incentives to hotels obtaining green certifications like as LEED or BREEAM (BRE, 2023). These frameworks, which are often integrated in local laws, encourage developers to use energy-efficient technology and sustainable materials when building or renovating. For example, the EU Green Deal pro</w:t>
      </w:r>
      <w:r>
        <w:t>motes carbon neutrality by requiring higher energy performance criteria for commercial buildings, including hotels (European Commission, 2022).</w:t>
      </w:r>
      <w:r>
        <w:rPr>
          <w:rFonts w:cs="Calibri"/>
        </w:rPr>
        <w:t xml:space="preserve"> </w:t>
      </w:r>
    </w:p>
    <w:p w:rsidR="001E0822" w:rsidRDefault="0063235C" w14:paraId="70DB4E36" w14:textId="77777777">
      <w:pPr>
        <w:ind w:left="-5" w:right="3"/>
      </w:pPr>
      <w:r>
        <w:t>Adoption is slowed in developing nations due to a lack of enforceable green legislation or inadequate regulatory competence. Even if policies exist, they may not be consistently applied or supported by enough resources. As a result, regulatory settings differ greatly, and many hotel chains choose to implement sustainability initiatives based on area legal duties and available subsidies.</w:t>
      </w:r>
      <w:r>
        <w:rPr>
          <w:rFonts w:cs="Calibri"/>
        </w:rPr>
        <w:t xml:space="preserve"> </w:t>
      </w:r>
    </w:p>
    <w:p w:rsidR="001E0822" w:rsidRDefault="0063235C" w14:paraId="28546B20" w14:textId="77777777">
      <w:pPr>
        <w:pStyle w:val="Heading2"/>
        <w:ind w:left="-5"/>
      </w:pPr>
      <w:r>
        <w:t>Economic Factors</w:t>
      </w:r>
      <w:r>
        <w:t xml:space="preserve"> </w:t>
      </w:r>
    </w:p>
    <w:p w:rsidR="001E0822" w:rsidRDefault="0063235C" w14:paraId="499E67B1" w14:textId="77777777">
      <w:pPr>
        <w:ind w:left="-5" w:right="3"/>
      </w:pPr>
      <w:r>
        <w:t>Sustainability projects are increasingly viewed as financially prudent investments. While the initial investment for retrofitting or green construction is significant, long-term benefits like as energy cost reductions, operational efficiency, and increased visitor loyalty frequently result in positive returns. Marriott's Serve360 program, which incorporates sustainability into procurement, energy, and trash procedures, has resulted in millions of dollars in annual utility savings and increased investor trus</w:t>
      </w:r>
      <w:r>
        <w:t>t (Marriott, 2023).</w:t>
      </w:r>
      <w:r>
        <w:rPr>
          <w:rFonts w:cs="Calibri"/>
        </w:rPr>
        <w:t xml:space="preserve"> </w:t>
      </w:r>
    </w:p>
    <w:p w:rsidR="001E0822" w:rsidRDefault="0063235C" w14:paraId="5CFCCC90" w14:textId="77777777">
      <w:pPr>
        <w:ind w:left="-5" w:right="3"/>
      </w:pPr>
      <w:r>
        <w:t>Furthermore, hotels that adopt renewable energy, smart lighting, and HVAC systems can lower their energy expenses by up to 30% over time (Zhou et al., 2021). Scandic Hotels, a sustainability pioneer in the Nordic region, reveals that 97% of its locations use renewable energy, greatly lowering operational costs and emissions. Smaller and independent hotels, on the other hand, may struggle to achieve comparable results due to limited access to funding and extended ROI horizons, especially in areas lacking gre</w:t>
      </w:r>
      <w:r>
        <w:t>en financing infrastructure.</w:t>
      </w:r>
      <w:r>
        <w:rPr>
          <w:rFonts w:cs="Calibri"/>
        </w:rPr>
        <w:t xml:space="preserve"> </w:t>
      </w:r>
    </w:p>
    <w:p w:rsidR="001E0822" w:rsidRDefault="0063235C" w14:paraId="6940934A" w14:textId="77777777">
      <w:pPr>
        <w:pStyle w:val="Heading2"/>
        <w:ind w:left="-5"/>
      </w:pPr>
      <w:r>
        <w:t>Social Factors</w:t>
      </w:r>
      <w:r>
        <w:t xml:space="preserve"> </w:t>
      </w:r>
    </w:p>
    <w:p w:rsidR="001E0822" w:rsidRDefault="0063235C" w14:paraId="6D5F7C0F" w14:textId="77777777">
      <w:pPr>
        <w:ind w:left="-5" w:right="3"/>
      </w:pPr>
      <w:r>
        <w:t>Consumer values have shifted, making sustainability a mainstream expectation rather than a specialised concern. Eco-conscious tourists, particularly Millennials and Generation Z, are increasingly choosing hotels based on environmental performance (Han et al., 2020). Hotel businesses with visible green commitments, such as Accor's Planet 21 program, which incorporates local sourcing, water conservation, and biodiversity programs, claim higher brand loyalty and guest satisfaction (Accor, 2023).</w:t>
      </w:r>
      <w:r>
        <w:rPr>
          <w:rFonts w:cs="Calibri"/>
        </w:rPr>
        <w:t xml:space="preserve"> </w:t>
      </w:r>
    </w:p>
    <w:p w:rsidR="001E0822" w:rsidRDefault="0063235C" w14:paraId="03274729" w14:textId="77777777">
      <w:pPr>
        <w:ind w:left="-5" w:right="3"/>
      </w:pPr>
      <w:r>
        <w:t>Internal stakeholders are also considered part of social sustainability efforts. Training employees on environmental practices and including them in ESG goals boosts morale and operational support. However, superficial engagement or greenwashing risks reputational harm, particularly among socially conscious consumers who want transparency and impact reporting (Delmas and Burbano, 2011).</w:t>
      </w:r>
      <w:r>
        <w:rPr>
          <w:rFonts w:cs="Calibri"/>
        </w:rPr>
        <w:t xml:space="preserve"> </w:t>
      </w:r>
    </w:p>
    <w:p w:rsidR="001E0822" w:rsidRDefault="0063235C" w14:paraId="14E19F2D" w14:textId="77777777">
      <w:pPr>
        <w:pStyle w:val="Heading2"/>
        <w:ind w:left="-5"/>
      </w:pPr>
      <w:r>
        <w:t>Technological Factors</w:t>
      </w:r>
      <w:r>
        <w:t xml:space="preserve"> </w:t>
      </w:r>
    </w:p>
    <w:p w:rsidR="001E0822" w:rsidRDefault="0063235C" w14:paraId="2EA44C6E" w14:textId="77777777">
      <w:pPr>
        <w:ind w:left="-5" w:right="3"/>
      </w:pPr>
      <w:r>
        <w:t>Technological innovation is a driving element in hotels' ability to meet sustainability and netzero goals. The use of green technology such as IoT-enabled energy monitoring systems, AIbased predictive maintenance, and building management systems (BMS) has transformed energy optimisation in huge hotel chains. For example, Hilton's LightStay platform uses realtime data analytics to manage and minimise energy and water consumption across its global portfolio, resulting in a 44% reduction in carbon emissions si</w:t>
      </w:r>
      <w:r>
        <w:t>nce its inception.</w:t>
      </w:r>
      <w:r>
        <w:rPr>
          <w:rFonts w:cs="Calibri"/>
        </w:rPr>
        <w:t xml:space="preserve"> </w:t>
      </w:r>
    </w:p>
    <w:p w:rsidR="001E0822" w:rsidRDefault="0063235C" w14:paraId="7014E296" w14:textId="77777777">
      <w:pPr>
        <w:ind w:left="-5" w:right="3"/>
      </w:pPr>
      <w:r>
        <w:t>Smart thermostats, keycard-activated lighting, and occupancy sensors allow for more efficient resource use while maintaining guest comfort (Zhou et al., 2021). However, deploying such systems in older buildings or independent properties presents difficulties due to high initial expenditures, technological complexity, and the requirement for staff retraining. Furthermore, successful deployment necessitates alignment with overall digital transformation plans to avoid fragmented or underutilised technology inv</w:t>
      </w:r>
      <w:r>
        <w:t>estments.</w:t>
      </w:r>
      <w:r>
        <w:rPr>
          <w:rFonts w:cs="Calibri"/>
        </w:rPr>
        <w:t xml:space="preserve"> </w:t>
      </w:r>
    </w:p>
    <w:p w:rsidR="001E0822" w:rsidRDefault="0063235C" w14:paraId="6C459165" w14:textId="77777777">
      <w:pPr>
        <w:pStyle w:val="Heading2"/>
        <w:ind w:left="-5"/>
      </w:pPr>
      <w:r>
        <w:t>Legal Factors</w:t>
      </w:r>
      <w:r>
        <w:t xml:space="preserve"> </w:t>
      </w:r>
    </w:p>
    <w:p w:rsidR="001E0822" w:rsidRDefault="0063235C" w14:paraId="43E7C81A" w14:textId="77777777">
      <w:pPr>
        <w:spacing w:after="2"/>
        <w:ind w:left="-5" w:right="3"/>
      </w:pPr>
      <w:r>
        <w:t xml:space="preserve">Mandatory carbon reporting, energy efficiency disclosure rules, and environmental compliance regulations are all shaping the legal landscape for sustainability in hospitality. Many jurisdictions now mandate hotels to disclose Scope 1 and 2 emissions, water usage, and waste management data as part of ESG compliance frameworks (UNEP, 2022). </w:t>
      </w:r>
    </w:p>
    <w:p w:rsidR="001E0822" w:rsidRDefault="0063235C" w14:paraId="2DF46364" w14:textId="77777777">
      <w:pPr>
        <w:ind w:left="-5" w:right="3"/>
      </w:pPr>
      <w:r>
        <w:t>Noncompliance not only results in penalties, but it can also limit investment opportunities, particularly as institutional investors increasingly apply ESG filters to their portfolios.</w:t>
      </w:r>
      <w:r>
        <w:rPr>
          <w:rFonts w:cs="Calibri"/>
        </w:rPr>
        <w:t xml:space="preserve"> </w:t>
      </w:r>
    </w:p>
    <w:p w:rsidR="001E0822" w:rsidRDefault="0063235C" w14:paraId="1395B3EB" w14:textId="77777777">
      <w:pPr>
        <w:ind w:left="-5" w:right="3"/>
      </w:pPr>
      <w:r>
        <w:t>For example, the UK's Streamlined Energy and Carbon Reporting (SECR) regime requires big hospitality companies to disclose their carbon footprint. Compliance necessitates internal auditing systems and verifiable sustainability KPIs, which increases demand for environmental consultants and green accounting technologies (DEFRA, 2022). Hotels that fail to fulfil these changing regulatory obligations may suffer reputational damage and have limited access to green bonds or sustainable finance channels.</w:t>
      </w:r>
      <w:r>
        <w:rPr>
          <w:rFonts w:cs="Calibri"/>
        </w:rPr>
        <w:t xml:space="preserve"> </w:t>
      </w:r>
    </w:p>
    <w:p w:rsidR="001E0822" w:rsidRDefault="0063235C" w14:paraId="712407E0" w14:textId="77777777">
      <w:pPr>
        <w:pStyle w:val="Heading2"/>
        <w:ind w:left="-5"/>
      </w:pPr>
      <w:r>
        <w:t>Environmental Factors</w:t>
      </w:r>
      <w:r>
        <w:t xml:space="preserve"> </w:t>
      </w:r>
    </w:p>
    <w:p w:rsidR="001E0822" w:rsidRDefault="0063235C" w14:paraId="0E4EFD7C" w14:textId="77777777">
      <w:pPr>
        <w:ind w:left="-5" w:right="3"/>
      </w:pPr>
      <w:r>
        <w:t>The hotel sector has a significant environmental impact, including energy use, water consumption, and garbage generation. Transitioning to net-zero entails not just lowering emissions, but also protecting biodiversity and promoting resource circularity. Chains such as Six Senses demonstrate this greater environmental responsibility by including permaculture gardens, wildlife conservation collaborations, and regenerative architecture into their brand strategy (Greenview, 2022).</w:t>
      </w:r>
      <w:r>
        <w:rPr>
          <w:rFonts w:cs="Calibri"/>
        </w:rPr>
        <w:t xml:space="preserve"> </w:t>
      </w:r>
    </w:p>
    <w:p w:rsidR="001E0822" w:rsidRDefault="0063235C" w14:paraId="075F411D" w14:textId="77777777">
      <w:pPr>
        <w:ind w:left="-5" w:right="3"/>
      </w:pPr>
      <w:r>
        <w:t>However, net-zero claims must be supported by public measures. Some businesses rely largely on carbon offsets rather than internal savings, which has sparked criticism from environmental groups. A truly circular approach—minimising extraction, increasing reuse, and rebuilding ecosystems—requires systemic thinking, long-term commitment, and a willingness to rethink existing operating paradigms.</w:t>
      </w:r>
      <w:r>
        <w:rPr>
          <w:rFonts w:cs="Calibri"/>
        </w:rPr>
        <w:t xml:space="preserve"> </w:t>
      </w:r>
    </w:p>
    <w:p w:rsidR="001E0822" w:rsidRDefault="0063235C" w14:paraId="6C519873" w14:textId="77777777">
      <w:pPr>
        <w:spacing w:after="284" w:line="259" w:lineRule="auto"/>
        <w:ind w:left="0" w:right="0" w:firstLine="0"/>
        <w:jc w:val="left"/>
      </w:pPr>
      <w:r>
        <w:rPr>
          <w:rFonts w:cs="Calibri"/>
        </w:rPr>
        <w:t xml:space="preserve"> </w:t>
      </w:r>
    </w:p>
    <w:p w:rsidR="001E0822" w:rsidRDefault="0063235C" w14:paraId="11526659" w14:textId="77777777">
      <w:pPr>
        <w:pStyle w:val="Heading1"/>
        <w:spacing w:after="284"/>
        <w:ind w:left="225" w:hanging="240"/>
      </w:pPr>
      <w:bookmarkStart w:name="_Toc11884" w:id="4"/>
      <w:r>
        <w:rPr>
          <w:i w:val="0"/>
        </w:rPr>
        <w:t xml:space="preserve">Conclusion </w:t>
      </w:r>
      <w:bookmarkEnd w:id="4"/>
    </w:p>
    <w:p w:rsidR="001E0822" w:rsidRDefault="0063235C" w14:paraId="212D0D78" w14:textId="77777777">
      <w:pPr>
        <w:ind w:left="-5" w:right="3"/>
      </w:pPr>
      <w:r>
        <w:t xml:space="preserve">Achieving net-zero in the hotel sector is both required and achievable, but it requires systemic change at all operational levels. Sustainability must be integrated into the strategic alignment of technological adoption, personnel involvement, and process reform. While progress has been made in areas such as energy efficiency, waste reduction, and guest involvement, the transformation must be maintained via ongoing monitoring, innovation, and open reporting. Long-term success will depend on hotels adopting </w:t>
      </w:r>
      <w:r>
        <w:t>a comprehensive, accountable approach that balances environmental goals with business viability and social responsibility, assuring the industry's resilience and relevance in a low-carbon future.</w:t>
      </w:r>
      <w:r>
        <w:rPr>
          <w:rFonts w:cs="Calibri"/>
        </w:rPr>
        <w:t xml:space="preserve"> </w:t>
      </w:r>
    </w:p>
    <w:p w:rsidR="001E0822" w:rsidRDefault="0063235C" w14:paraId="586A83B8" w14:textId="77777777">
      <w:pPr>
        <w:spacing w:after="284" w:line="259" w:lineRule="auto"/>
        <w:ind w:left="0" w:right="0" w:firstLine="0"/>
        <w:jc w:val="left"/>
      </w:pPr>
      <w:r>
        <w:rPr>
          <w:rFonts w:cs="Calibri"/>
        </w:rPr>
        <w:t xml:space="preserve"> </w:t>
      </w:r>
    </w:p>
    <w:p w:rsidR="001E0822" w:rsidRDefault="0063235C" w14:paraId="094BFC7E" w14:textId="77777777">
      <w:pPr>
        <w:pStyle w:val="Heading1"/>
        <w:spacing w:after="284"/>
        <w:ind w:left="225" w:hanging="240"/>
      </w:pPr>
      <w:bookmarkStart w:name="_Toc11885" w:id="5"/>
      <w:r>
        <w:rPr>
          <w:i w:val="0"/>
        </w:rPr>
        <w:t xml:space="preserve">Recommendations </w:t>
      </w:r>
      <w:bookmarkEnd w:id="5"/>
    </w:p>
    <w:p w:rsidR="001E0822" w:rsidRDefault="0063235C" w14:paraId="43222EA9" w14:textId="77777777">
      <w:pPr>
        <w:pStyle w:val="Heading2"/>
        <w:ind w:left="-5"/>
      </w:pPr>
      <w:r>
        <w:t>For Industry Leaders</w:t>
      </w:r>
      <w:r>
        <w:t xml:space="preserve"> </w:t>
      </w:r>
    </w:p>
    <w:p w:rsidR="001E0822" w:rsidRDefault="0063235C" w14:paraId="1164EEC7" w14:textId="77777777">
      <w:pPr>
        <w:ind w:left="-5" w:right="3"/>
      </w:pPr>
      <w:r>
        <w:t>To speed up progress towards net-zero standards, hotel operators must prioritise investment in upgrading existing buildings with energy-efficient technologies and renewable energy systems. Retrofitting measures, such as adding smart energy management systems, solar panels, and low-flow water fixtures, not only reduce environmental impact, but also result in long-term economic benefits (Zhou et al., 2021).</w:t>
      </w:r>
      <w:r>
        <w:rPr>
          <w:rFonts w:cs="Calibri"/>
        </w:rPr>
        <w:t xml:space="preserve"> </w:t>
      </w:r>
    </w:p>
    <w:p w:rsidR="001E0822" w:rsidRDefault="0063235C" w14:paraId="6828F28D" w14:textId="77777777">
      <w:pPr>
        <w:ind w:left="-5" w:right="3"/>
      </w:pPr>
      <w:r>
        <w:t>Sustainability should be built into the fundamental business strategy, not viewed as an afterthought. This entails incorporating environmental goals into procurement strategies, brand values, and performance evaluation models. Programs like Accor's Planet 21 and Marriott's Serve360 show how connecting sustainability to brand identity and guest experience may increase impact and loyalty (Accor, 2023; Marriott, 2023).</w:t>
      </w:r>
      <w:r>
        <w:rPr>
          <w:rFonts w:cs="Calibri"/>
        </w:rPr>
        <w:t xml:space="preserve"> </w:t>
      </w:r>
    </w:p>
    <w:p w:rsidR="001E0822" w:rsidRDefault="0063235C" w14:paraId="05EDF626" w14:textId="77777777">
      <w:pPr>
        <w:ind w:left="-5" w:right="3"/>
      </w:pPr>
      <w:r>
        <w:t>Furthermore, hospitality organisations should teach employees at all levels in environmental practices and involve visitors through visible, voluntary green initiatives. Staff training improves compliance and morale, and guest-facing efforts like digital check-ins, carbon offset choices, and opt-in linen reuse promote co-responsibility and behaviour change (Han et al., 2020).</w:t>
      </w:r>
      <w:r>
        <w:rPr>
          <w:rFonts w:cs="Calibri"/>
        </w:rPr>
        <w:t xml:space="preserve"> </w:t>
      </w:r>
    </w:p>
    <w:p w:rsidR="001E0822" w:rsidRDefault="0063235C" w14:paraId="1508CB00" w14:textId="77777777">
      <w:pPr>
        <w:ind w:left="-5" w:right="3"/>
      </w:pPr>
      <w:r>
        <w:t>Robust ESG reporting and auditing systems are critical for monitoring progress and preserving transparency. Businesses can use these tools to benchmark their performance, find areas for development, and fulfil investor and regulatory expectations. As stakeholder pressure grows, ESG integration becomes a competitive advantage as well as a regulatory need.</w:t>
      </w:r>
      <w:r>
        <w:rPr>
          <w:rFonts w:cs="Calibri"/>
        </w:rPr>
        <w:t xml:space="preserve"> </w:t>
      </w:r>
    </w:p>
    <w:p w:rsidR="001E0822" w:rsidRDefault="0063235C" w14:paraId="0D608583" w14:textId="77777777">
      <w:pPr>
        <w:ind w:left="-5" w:right="3"/>
      </w:pPr>
      <w:r>
        <w:t>Finally, green collaborations with local suppliers, sustainability experts, and environmental organisations can help to drive innovation while also ensuring compliance with changing standards. Collaborative approaches also enable hotels to better use knowledge and scale their sustainable impact.</w:t>
      </w:r>
      <w:r>
        <w:rPr>
          <w:rFonts w:cs="Calibri"/>
        </w:rPr>
        <w:t xml:space="preserve"> </w:t>
      </w:r>
    </w:p>
    <w:p w:rsidR="001E0822" w:rsidRDefault="0063235C" w14:paraId="4AEEA325" w14:textId="77777777">
      <w:pPr>
        <w:pStyle w:val="Heading2"/>
        <w:ind w:left="-5"/>
      </w:pPr>
      <w:r>
        <w:t>For Future Research</w:t>
      </w:r>
      <w:r>
        <w:t xml:space="preserve"> </w:t>
      </w:r>
    </w:p>
    <w:p w:rsidR="001E0822" w:rsidRDefault="0063235C" w14:paraId="3FF590E4" w14:textId="77777777">
      <w:pPr>
        <w:ind w:left="-5" w:right="3"/>
      </w:pPr>
      <w:r>
        <w:t>There is a need for more lifetime impact studies on the use of sustainable building materials and technology in hospitality, particularly in different temperature zones. Such research would aid in determining long-term environmental advantages and guiding smarter purchase selections.</w:t>
      </w:r>
      <w:r>
        <w:rPr>
          <w:rFonts w:cs="Calibri"/>
        </w:rPr>
        <w:t xml:space="preserve"> </w:t>
      </w:r>
    </w:p>
    <w:p w:rsidR="001E0822" w:rsidRDefault="0063235C" w14:paraId="4AC45B7C" w14:textId="77777777">
      <w:pPr>
        <w:ind w:left="-5" w:right="3"/>
      </w:pPr>
      <w:r>
        <w:t>Cost-benefit assessments for other hotel types, such as independent hotels, budget chains, and luxury resorts, are also necessary. Current models tend to generalise ROI assumptions without considering scale, location, or operational complexity.</w:t>
      </w:r>
      <w:r>
        <w:rPr>
          <w:rFonts w:cs="Calibri"/>
        </w:rPr>
        <w:t xml:space="preserve"> </w:t>
      </w:r>
    </w:p>
    <w:p w:rsidR="001E0822" w:rsidRDefault="0063235C" w14:paraId="69F68A06" w14:textId="77777777">
      <w:pPr>
        <w:spacing w:after="174" w:line="362" w:lineRule="auto"/>
        <w:ind w:left="-15" w:right="-8" w:firstLine="0"/>
        <w:jc w:val="left"/>
      </w:pPr>
      <w:r>
        <w:t>Finally, behavioural studies on visitor eco-engagement can help understand how sustainability activities affect customer pleasure, loyalty, and willingness to pay. Understanding the psychological factors driving pro-environmental conduct will aid in the development of more effective program design and communication tactics.</w:t>
      </w:r>
      <w:r>
        <w:rPr>
          <w:rFonts w:cs="Calibri"/>
        </w:rPr>
        <w:t xml:space="preserve"> </w:t>
      </w:r>
    </w:p>
    <w:p w:rsidR="001E0822" w:rsidRDefault="0063235C" w14:paraId="3219EA30" w14:textId="77777777">
      <w:pPr>
        <w:spacing w:after="0" w:line="259" w:lineRule="auto"/>
        <w:ind w:left="0" w:right="0" w:firstLine="0"/>
        <w:jc w:val="left"/>
      </w:pPr>
      <w:r>
        <w:rPr>
          <w:rFonts w:cs="Calibri"/>
        </w:rPr>
        <w:t xml:space="preserve"> </w:t>
      </w:r>
      <w:r>
        <w:rPr>
          <w:rFonts w:cs="Calibri"/>
        </w:rPr>
        <w:tab/>
      </w:r>
      <w:r>
        <w:rPr>
          <w:rFonts w:cs="Calibri"/>
        </w:rPr>
        <w:t xml:space="preserve"> </w:t>
      </w:r>
    </w:p>
    <w:p w:rsidR="001E0822" w:rsidRDefault="0063235C" w14:paraId="2739FD65" w14:textId="77777777">
      <w:pPr>
        <w:pStyle w:val="Heading1"/>
        <w:numPr>
          <w:ilvl w:val="0"/>
          <w:numId w:val="0"/>
        </w:numPr>
        <w:spacing w:after="284"/>
        <w:ind w:left="-5"/>
      </w:pPr>
      <w:bookmarkStart w:name="_Toc11886" w:id="6"/>
      <w:r>
        <w:rPr>
          <w:i w:val="0"/>
        </w:rPr>
        <w:t xml:space="preserve">References </w:t>
      </w:r>
      <w:bookmarkEnd w:id="6"/>
    </w:p>
    <w:p w:rsidR="001E0822" w:rsidRDefault="0063235C" w14:paraId="76BAC9E1" w14:textId="77777777">
      <w:pPr>
        <w:numPr>
          <w:ilvl w:val="0"/>
          <w:numId w:val="1"/>
        </w:numPr>
        <w:spacing w:after="1"/>
        <w:ind w:right="3" w:hanging="360"/>
      </w:pPr>
      <w:r>
        <w:t xml:space="preserve">Accor (2023) </w:t>
      </w:r>
      <w:r>
        <w:rPr>
          <w:rFonts w:cs="Calibri"/>
          <w:i/>
        </w:rPr>
        <w:t>Planet 21 – Acting for Positive Hospitality</w:t>
      </w:r>
      <w:r>
        <w:t>. Available at: https://group.accor.com/en/commitment/planet-21 (Accessed: 18 May 2025).</w:t>
      </w:r>
      <w:r>
        <w:rPr>
          <w:rFonts w:cs="Calibri"/>
        </w:rPr>
        <w:t xml:space="preserve"> </w:t>
      </w:r>
    </w:p>
    <w:p w:rsidR="001E0822" w:rsidRDefault="0063235C" w14:paraId="76DFB3CC" w14:textId="77777777">
      <w:pPr>
        <w:numPr>
          <w:ilvl w:val="0"/>
          <w:numId w:val="1"/>
        </w:numPr>
        <w:spacing w:after="1"/>
        <w:ind w:right="3" w:hanging="360"/>
      </w:pPr>
      <w:r>
        <w:t>Bohdanowicz, P. and Martinac, I. (2021) ‘Determinants and benchmarking of resource consumption in hotels—Case studies from Scandinavia’, International Journal of Hospitality Management, 92, 102727. https://doi.org/10.1016/j.ijhm.2020.102727 (Accessed: 18 May 2025).</w:t>
      </w:r>
      <w:r>
        <w:rPr>
          <w:rFonts w:cs="Calibri"/>
        </w:rPr>
        <w:t xml:space="preserve"> </w:t>
      </w:r>
    </w:p>
    <w:p w:rsidR="001E0822" w:rsidRDefault="0063235C" w14:paraId="7F018B12" w14:textId="77777777">
      <w:pPr>
        <w:numPr>
          <w:ilvl w:val="0"/>
          <w:numId w:val="1"/>
        </w:numPr>
        <w:spacing w:after="1"/>
        <w:ind w:right="3" w:hanging="360"/>
      </w:pPr>
      <w:r>
        <w:t xml:space="preserve">BRE (2023) </w:t>
      </w:r>
      <w:r>
        <w:rPr>
          <w:rFonts w:cs="Calibri"/>
          <w:i/>
        </w:rPr>
        <w:t>BREEAM: Sustainability assessment method</w:t>
      </w:r>
      <w:r>
        <w:t xml:space="preserve">. Available at: </w:t>
      </w:r>
      <w:hyperlink r:id="rId9">
        <w:r>
          <w:rPr>
            <w:color w:val="0563C1"/>
            <w:u w:val="single" w:color="0563C1"/>
          </w:rPr>
          <w:t>https://www.breeam.com/</w:t>
        </w:r>
      </w:hyperlink>
      <w:hyperlink r:id="rId10">
        <w:r>
          <w:t xml:space="preserve"> </w:t>
        </w:r>
      </w:hyperlink>
      <w:r>
        <w:t>(Accessed: 18 May 2025).</w:t>
      </w:r>
      <w:r>
        <w:rPr>
          <w:rFonts w:cs="Calibri"/>
        </w:rPr>
        <w:t xml:space="preserve"> </w:t>
      </w:r>
    </w:p>
    <w:p w:rsidR="001E0822" w:rsidRDefault="0063235C" w14:paraId="79413C61" w14:textId="77777777">
      <w:pPr>
        <w:numPr>
          <w:ilvl w:val="0"/>
          <w:numId w:val="1"/>
        </w:numPr>
        <w:spacing w:after="0" w:line="361" w:lineRule="auto"/>
        <w:ind w:right="3" w:hanging="360"/>
      </w:pPr>
      <w:r>
        <w:t xml:space="preserve">BRE (2023) </w:t>
      </w:r>
      <w:r>
        <w:rPr>
          <w:rFonts w:cs="Calibri"/>
          <w:i/>
        </w:rPr>
        <w:t>BREEAM: The world’s leading science-based suite of validation and certification systems for a sustainable built environment</w:t>
      </w:r>
      <w:r>
        <w:t xml:space="preserve">. Available at: </w:t>
      </w:r>
      <w:hyperlink r:id="rId11">
        <w:r>
          <w:rPr>
            <w:color w:val="0563C1"/>
            <w:u w:val="single" w:color="0563C1"/>
          </w:rPr>
          <w:t>https://www.breeam.com/</w:t>
        </w:r>
      </w:hyperlink>
      <w:hyperlink r:id="rId12">
        <w:r>
          <w:t xml:space="preserve"> </w:t>
        </w:r>
      </w:hyperlink>
      <w:r>
        <w:t>(Accessed: 17 May 2025).</w:t>
      </w:r>
      <w:r>
        <w:rPr>
          <w:rFonts w:cs="Calibri"/>
        </w:rPr>
        <w:t xml:space="preserve"> </w:t>
      </w:r>
    </w:p>
    <w:p w:rsidR="001E0822" w:rsidRDefault="0063235C" w14:paraId="56B64568" w14:textId="77777777">
      <w:pPr>
        <w:numPr>
          <w:ilvl w:val="0"/>
          <w:numId w:val="1"/>
        </w:numPr>
        <w:spacing w:after="1"/>
        <w:ind w:right="3" w:hanging="360"/>
      </w:pPr>
      <w:r>
        <w:t>Chung, N., Lee, H. and Han, H. (2020) ‘Eco-innovative management and operational performance in the hotel industry: The moderating role of environmental certifications’, Sustainability, 12(21), 9032. https://doi.org/10.3390/su12219032 (Accessed: 18 May 2025).</w:t>
      </w:r>
      <w:r>
        <w:rPr>
          <w:rFonts w:cs="Calibri"/>
        </w:rPr>
        <w:t xml:space="preserve"> </w:t>
      </w:r>
    </w:p>
    <w:p w:rsidR="001E0822" w:rsidRDefault="0063235C" w14:paraId="29917D7A" w14:textId="77777777">
      <w:pPr>
        <w:numPr>
          <w:ilvl w:val="0"/>
          <w:numId w:val="1"/>
        </w:numPr>
        <w:spacing w:after="2" w:line="362" w:lineRule="auto"/>
        <w:ind w:right="3" w:hanging="360"/>
      </w:pPr>
      <w:r>
        <w:t xml:space="preserve">DEFRA (Department for Environment, Food &amp; Rural Affairs) (2022) </w:t>
      </w:r>
      <w:r>
        <w:rPr>
          <w:rFonts w:cs="Calibri"/>
          <w:i/>
        </w:rPr>
        <w:t>Environmental Reporting Guidelines: Including streamlined energy and carbon reporting guidance</w:t>
      </w:r>
      <w:r>
        <w:t xml:space="preserve">. Available </w:t>
      </w:r>
      <w:r>
        <w:tab/>
      </w:r>
      <w:r>
        <w:t xml:space="preserve">at: </w:t>
      </w:r>
      <w:r>
        <w:tab/>
      </w:r>
      <w:r>
        <w:t>https://www.gov.uk/government/publications/environmentalreporting-guidelines-including-mandatory-greenhouse-gas-emissions-reportingguidance (Accessed: 18 May 2025).</w:t>
      </w:r>
      <w:r>
        <w:rPr>
          <w:rFonts w:cs="Calibri"/>
        </w:rPr>
        <w:t xml:space="preserve"> </w:t>
      </w:r>
    </w:p>
    <w:p w:rsidR="001E0822" w:rsidRDefault="0063235C" w14:paraId="4D876ADD" w14:textId="77777777">
      <w:pPr>
        <w:numPr>
          <w:ilvl w:val="0"/>
          <w:numId w:val="1"/>
        </w:numPr>
        <w:spacing w:after="1"/>
        <w:ind w:right="3" w:hanging="360"/>
      </w:pPr>
      <w:r>
        <w:t xml:space="preserve">Delmas, M.A. and Burbano, V.C. (2011) ‘The drivers of greenwashing’, </w:t>
      </w:r>
      <w:r>
        <w:rPr>
          <w:rFonts w:cs="Calibri"/>
          <w:i/>
        </w:rPr>
        <w:t>California Management Review</w:t>
      </w:r>
      <w:r>
        <w:t>, 54(1), pp. 64–87. https://doi.org/10.1525/cmr.2011.54.1.64 (Accessed: 17 May 2025).</w:t>
      </w:r>
      <w:r>
        <w:rPr>
          <w:rFonts w:cs="Calibri"/>
        </w:rPr>
        <w:t xml:space="preserve"> </w:t>
      </w:r>
    </w:p>
    <w:p w:rsidR="001E0822" w:rsidRDefault="0063235C" w14:paraId="5F1B8D4E" w14:textId="77777777">
      <w:pPr>
        <w:numPr>
          <w:ilvl w:val="0"/>
          <w:numId w:val="1"/>
        </w:numPr>
        <w:spacing w:after="1"/>
        <w:ind w:right="3" w:hanging="360"/>
      </w:pPr>
      <w:r>
        <w:t xml:space="preserve">EPA (2023) </w:t>
      </w:r>
      <w:r>
        <w:rPr>
          <w:rFonts w:cs="Calibri"/>
          <w:i/>
        </w:rPr>
        <w:t>WaterSense for Hotels</w:t>
      </w:r>
      <w:r>
        <w:t xml:space="preserve">. United States Environmental Protection Agency. Available at: </w:t>
      </w:r>
      <w:hyperlink r:id="rId13">
        <w:r>
          <w:rPr>
            <w:color w:val="0563C1"/>
            <w:u w:val="single" w:color="0563C1"/>
          </w:rPr>
          <w:t>https://www.epa.gov/watersense/hotels</w:t>
        </w:r>
      </w:hyperlink>
      <w:hyperlink r:id="rId14">
        <w:r>
          <w:t xml:space="preserve"> </w:t>
        </w:r>
      </w:hyperlink>
      <w:r>
        <w:t>(Accessed: 17 May 2025).</w:t>
      </w:r>
      <w:r>
        <w:rPr>
          <w:rFonts w:cs="Calibri"/>
        </w:rPr>
        <w:t xml:space="preserve"> </w:t>
      </w:r>
    </w:p>
    <w:p w:rsidR="001E0822" w:rsidRDefault="0063235C" w14:paraId="3F08CE31" w14:textId="77777777">
      <w:pPr>
        <w:numPr>
          <w:ilvl w:val="0"/>
          <w:numId w:val="1"/>
        </w:numPr>
        <w:ind w:right="3" w:hanging="360"/>
      </w:pPr>
      <w:r>
        <w:t xml:space="preserve">Erdogan, N. and Baris, E. (2007) ‘Environmental protection programs and conservation practices of hotels in Ankara, Turkey’, </w:t>
      </w:r>
      <w:r>
        <w:rPr>
          <w:rFonts w:cs="Calibri"/>
          <w:i/>
        </w:rPr>
        <w:t>Tourism Management</w:t>
      </w:r>
      <w:r>
        <w:t>, 28(2), pp. 604–614. https://doi.org/10.1016/j.tourman.2006.04.002 (Accessed: 17 May 2025).</w:t>
      </w:r>
      <w:r>
        <w:rPr>
          <w:rFonts w:cs="Calibri"/>
        </w:rPr>
        <w:t xml:space="preserve"> </w:t>
      </w:r>
    </w:p>
    <w:p w:rsidR="001E0822" w:rsidRDefault="0063235C" w14:paraId="4FDAF402" w14:textId="77777777">
      <w:pPr>
        <w:numPr>
          <w:ilvl w:val="0"/>
          <w:numId w:val="1"/>
        </w:numPr>
        <w:spacing w:after="0" w:line="361" w:lineRule="auto"/>
        <w:ind w:right="3" w:hanging="360"/>
      </w:pPr>
      <w:r>
        <w:t xml:space="preserve">European Commission (2022) </w:t>
      </w:r>
      <w:r>
        <w:rPr>
          <w:rFonts w:cs="Calibri"/>
          <w:i/>
        </w:rPr>
        <w:t>A European Green Deal</w:t>
      </w:r>
      <w:r>
        <w:t xml:space="preserve">. Available at: </w:t>
      </w:r>
      <w:hyperlink r:id="rId15">
        <w:r>
          <w:rPr>
            <w:color w:val="0563C1"/>
            <w:u w:val="single" w:color="0563C1"/>
          </w:rPr>
          <w:t>https://commission.europa.eu/strategy</w:t>
        </w:r>
      </w:hyperlink>
      <w:hyperlink r:id="rId16">
        <w:r>
          <w:rPr>
            <w:color w:val="0563C1"/>
            <w:u w:val="single" w:color="0563C1"/>
          </w:rPr>
          <w:t>-</w:t>
        </w:r>
      </w:hyperlink>
      <w:hyperlink r:id="rId17">
        <w:r>
          <w:rPr>
            <w:color w:val="0563C1"/>
            <w:u w:val="single" w:color="0563C1"/>
          </w:rPr>
          <w:t>and</w:t>
        </w:r>
      </w:hyperlink>
      <w:hyperlink r:id="rId18">
        <w:r>
          <w:rPr>
            <w:color w:val="0563C1"/>
            <w:u w:val="single" w:color="0563C1"/>
          </w:rPr>
          <w:t>-</w:t>
        </w:r>
      </w:hyperlink>
      <w:hyperlink r:id="rId19">
        <w:r>
          <w:rPr>
            <w:color w:val="0563C1"/>
            <w:u w:val="single" w:color="0563C1"/>
          </w:rPr>
          <w:t>policy/priorities</w:t>
        </w:r>
      </w:hyperlink>
      <w:hyperlink r:id="rId20">
        <w:r>
          <w:rPr>
            <w:color w:val="0563C1"/>
            <w:u w:val="single" w:color="0563C1"/>
          </w:rPr>
          <w:t>-</w:t>
        </w:r>
      </w:hyperlink>
      <w:hyperlink r:id="rId21">
        <w:r>
          <w:rPr>
            <w:color w:val="0563C1"/>
            <w:u w:val="single" w:color="0563C1"/>
          </w:rPr>
          <w:t>2019</w:t>
        </w:r>
      </w:hyperlink>
      <w:hyperlink r:id="rId22">
        <w:r>
          <w:rPr>
            <w:color w:val="0563C1"/>
            <w:u w:val="single" w:color="0563C1"/>
          </w:rPr>
          <w:t>-</w:t>
        </w:r>
      </w:hyperlink>
      <w:hyperlink r:id="rId23">
        <w:r>
          <w:rPr>
            <w:color w:val="0563C1"/>
            <w:u w:val="single" w:color="0563C1"/>
          </w:rPr>
          <w:t>2024/european</w:t>
        </w:r>
      </w:hyperlink>
      <w:hyperlink r:id="rId24">
        <w:r>
          <w:rPr>
            <w:rStyle w:val="Hyperlink"/>
          </w:rPr>
          <w:t>https://commission.europa.eu/strategy-and-policy/priorities-2019-2024/european-green-deal_en</w:t>
        </w:r>
      </w:hyperlink>
      <w:hyperlink r:id="rId25">
        <w:r>
          <w:rPr>
            <w:color w:val="0563C1"/>
            <w:u w:val="single" w:color="0563C1"/>
          </w:rPr>
          <w:t>green</w:t>
        </w:r>
      </w:hyperlink>
      <w:hyperlink r:id="rId26">
        <w:r>
          <w:rPr>
            <w:color w:val="0563C1"/>
            <w:u w:val="single" w:color="0563C1"/>
          </w:rPr>
          <w:t>-</w:t>
        </w:r>
      </w:hyperlink>
      <w:hyperlink r:id="rId27">
        <w:r>
          <w:rPr>
            <w:color w:val="0563C1"/>
            <w:u w:val="single" w:color="0563C1"/>
          </w:rPr>
          <w:t>deal_en</w:t>
        </w:r>
      </w:hyperlink>
      <w:hyperlink r:id="rId28">
        <w:r>
          <w:t xml:space="preserve"> </w:t>
        </w:r>
      </w:hyperlink>
      <w:r>
        <w:t>(Accessed: 18 May 2025).</w:t>
      </w:r>
      <w:r>
        <w:rPr>
          <w:rFonts w:cs="Calibri"/>
        </w:rPr>
        <w:t xml:space="preserve"> </w:t>
      </w:r>
    </w:p>
    <w:p w:rsidR="001E0822" w:rsidRDefault="0063235C" w14:paraId="1DCFD223" w14:textId="77777777">
      <w:pPr>
        <w:numPr>
          <w:ilvl w:val="0"/>
          <w:numId w:val="1"/>
        </w:numPr>
        <w:spacing w:after="2"/>
        <w:ind w:right="3" w:hanging="360"/>
      </w:pPr>
      <w:r>
        <w:t>Green Lodging News (2023) Innovative Hotel Sustainability Projects in Practice. Available at: https://www.greenlodgingnews.com/innovative-hotel-sustainabilityprojects/ (Accessed: 18 May 2025).</w:t>
      </w:r>
      <w:r>
        <w:rPr>
          <w:rFonts w:cs="Calibri"/>
        </w:rPr>
        <w:t xml:space="preserve"> </w:t>
      </w:r>
    </w:p>
    <w:p w:rsidR="001E0822" w:rsidRDefault="0063235C" w14:paraId="48BD4149" w14:textId="77777777">
      <w:pPr>
        <w:numPr>
          <w:ilvl w:val="0"/>
          <w:numId w:val="1"/>
        </w:numPr>
        <w:spacing w:after="1"/>
        <w:ind w:right="3" w:hanging="360"/>
      </w:pPr>
      <w:r>
        <w:t xml:space="preserve">Greenview (2022) </w:t>
      </w:r>
      <w:r>
        <w:rPr>
          <w:rFonts w:cs="Calibri"/>
          <w:i/>
        </w:rPr>
        <w:t>Six Senses sustainability best practices</w:t>
      </w:r>
      <w:r>
        <w:t>. Available at: https://www.greenview.sg/six-senses/ (Accessed: 17 May 2025).</w:t>
      </w:r>
      <w:r>
        <w:rPr>
          <w:rFonts w:cs="Calibri"/>
        </w:rPr>
        <w:t xml:space="preserve"> </w:t>
      </w:r>
    </w:p>
    <w:p w:rsidR="001E0822" w:rsidRDefault="0063235C" w14:paraId="1F7E6CAE" w14:textId="77777777">
      <w:pPr>
        <w:numPr>
          <w:ilvl w:val="0"/>
          <w:numId w:val="1"/>
        </w:numPr>
        <w:spacing w:after="1"/>
        <w:ind w:right="3" w:hanging="360"/>
      </w:pPr>
      <w:r>
        <w:t xml:space="preserve">Han, H., Yu, J. and Kim, W. (2020) ‘Environmental corporate social responsibility and the strategy to engage hotel guests’, </w:t>
      </w:r>
      <w:r>
        <w:rPr>
          <w:rFonts w:cs="Calibri"/>
          <w:i/>
        </w:rPr>
        <w:t>International Journal of Hospitality Management</w:t>
      </w:r>
      <w:r>
        <w:t>, 87, 102443. https://doi.org/10.1016/j.ijhm.2020.102443 (Accessed: 17 May 2025).</w:t>
      </w:r>
      <w:r>
        <w:rPr>
          <w:rFonts w:cs="Calibri"/>
        </w:rPr>
        <w:t xml:space="preserve"> </w:t>
      </w:r>
    </w:p>
    <w:p w:rsidR="001E0822" w:rsidRDefault="0063235C" w14:paraId="501C1CE9" w14:textId="77777777">
      <w:pPr>
        <w:numPr>
          <w:ilvl w:val="0"/>
          <w:numId w:val="1"/>
        </w:numPr>
        <w:spacing w:after="1"/>
        <w:ind w:right="3" w:hanging="360"/>
      </w:pPr>
      <w:r>
        <w:t xml:space="preserve">Hilton (2023) </w:t>
      </w:r>
      <w:r>
        <w:rPr>
          <w:rFonts w:cs="Calibri"/>
          <w:i/>
        </w:rPr>
        <w:t>Travel with Purpose: 2023 ESG Summary Report</w:t>
      </w:r>
      <w:r>
        <w:t>. Available at: https://esg.hilton.com/ (Accessed: 17 May 2025).</w:t>
      </w:r>
      <w:r>
        <w:rPr>
          <w:rFonts w:cs="Calibri"/>
        </w:rPr>
        <w:t xml:space="preserve"> </w:t>
      </w:r>
    </w:p>
    <w:p w:rsidR="001E0822" w:rsidRDefault="0063235C" w14:paraId="618DFE58" w14:textId="77777777">
      <w:pPr>
        <w:numPr>
          <w:ilvl w:val="0"/>
          <w:numId w:val="1"/>
        </w:numPr>
        <w:spacing w:after="1"/>
        <w:ind w:right="3" w:hanging="360"/>
      </w:pPr>
      <w:r>
        <w:t xml:space="preserve">Jones, P., Hillier, D. and Comfort, D. (2016) ‘Sustainability in the global hotel industry’, </w:t>
      </w:r>
      <w:r>
        <w:rPr>
          <w:rFonts w:cs="Calibri"/>
          <w:i/>
        </w:rPr>
        <w:t>International Journal of Contemporary Hospitality Management</w:t>
      </w:r>
      <w:r>
        <w:t>, 28(1), pp. 36–67. https://doi.org/10.1108/IJCHM-10-2014-</w:t>
      </w:r>
      <w:r>
        <w:t>0510 (Accessed: 17 May 2025).</w:t>
      </w:r>
      <w:r>
        <w:rPr>
          <w:rFonts w:cs="Calibri"/>
        </w:rPr>
        <w:t xml:space="preserve"> </w:t>
      </w:r>
    </w:p>
    <w:p w:rsidR="001E0822" w:rsidRDefault="0063235C" w14:paraId="1F635ECC" w14:textId="77777777">
      <w:pPr>
        <w:numPr>
          <w:ilvl w:val="0"/>
          <w:numId w:val="1"/>
        </w:numPr>
        <w:spacing w:after="1"/>
        <w:ind w:right="3" w:hanging="360"/>
      </w:pPr>
      <w:r>
        <w:t>Jones, P., Hillier, D. and Comfort, D. (2021) ‘Environmental sustainability in the UK hotel industry: Current trends and future directions’, Tourism and Hospitality Research, 21(1), pp. 3–13. https://doi.org/10.1177/1467358419845082 (Accessed: 18 May 2025).</w:t>
      </w:r>
      <w:r>
        <w:rPr>
          <w:rFonts w:cs="Calibri"/>
        </w:rPr>
        <w:t xml:space="preserve"> </w:t>
      </w:r>
    </w:p>
    <w:p w:rsidR="001E0822" w:rsidRDefault="0063235C" w14:paraId="42387002" w14:textId="77777777">
      <w:pPr>
        <w:numPr>
          <w:ilvl w:val="0"/>
          <w:numId w:val="1"/>
        </w:numPr>
        <w:spacing w:after="1"/>
        <w:ind w:right="3" w:hanging="360"/>
      </w:pPr>
      <w:r>
        <w:t xml:space="preserve">Kuo, Y.F., Chen, L.S. and Chen, C.W. (2022) ‘Assessing the impact of green building certification on hotel performance’, </w:t>
      </w:r>
      <w:r>
        <w:rPr>
          <w:rFonts w:cs="Calibri"/>
          <w:i/>
        </w:rPr>
        <w:t>Sustainability</w:t>
      </w:r>
      <w:r>
        <w:t>, 14(11), 6689. https://doi.org/10.3390/su14116689 (Accessed: 17 May 2025).</w:t>
      </w:r>
      <w:r>
        <w:rPr>
          <w:rFonts w:cs="Calibri"/>
        </w:rPr>
        <w:t xml:space="preserve"> </w:t>
      </w:r>
    </w:p>
    <w:p w:rsidR="001E0822" w:rsidRDefault="0063235C" w14:paraId="0A2DC38A" w14:textId="77777777">
      <w:pPr>
        <w:numPr>
          <w:ilvl w:val="0"/>
          <w:numId w:val="1"/>
        </w:numPr>
        <w:spacing w:after="1"/>
        <w:ind w:right="3" w:hanging="360"/>
      </w:pPr>
      <w:r>
        <w:t xml:space="preserve">Line, N.D. and Hanks, L. (2020) ‘The social and ethical implications of sustainability messaging in hospitality’, </w:t>
      </w:r>
      <w:r>
        <w:rPr>
          <w:rFonts w:cs="Calibri"/>
          <w:i/>
        </w:rPr>
        <w:t>Journal of Business Ethics</w:t>
      </w:r>
      <w:r>
        <w:t>, 161, pp. 183–197. https://doi.org/10.1007/s10551-018-3984-1 (Accessed: 17 May 2025).</w:t>
      </w:r>
      <w:r>
        <w:rPr>
          <w:rFonts w:cs="Calibri"/>
        </w:rPr>
        <w:t xml:space="preserve"> </w:t>
      </w:r>
    </w:p>
    <w:p w:rsidR="001E0822" w:rsidRDefault="0063235C" w14:paraId="18B32B33" w14:textId="77777777">
      <w:pPr>
        <w:numPr>
          <w:ilvl w:val="0"/>
          <w:numId w:val="1"/>
        </w:numPr>
        <w:spacing w:after="1"/>
        <w:ind w:right="3" w:hanging="360"/>
      </w:pPr>
      <w:r>
        <w:t xml:space="preserve">Marriott (2023) </w:t>
      </w:r>
      <w:r>
        <w:rPr>
          <w:rFonts w:cs="Calibri"/>
          <w:i/>
        </w:rPr>
        <w:t>Serve360: Doing good in every direction – Food waste reduction strategy</w:t>
      </w:r>
      <w:r>
        <w:t>. Available at: https://serve360.marriott.com/planet/food-waste/ (Accessed: 17 May 2025).</w:t>
      </w:r>
      <w:r>
        <w:rPr>
          <w:rFonts w:cs="Calibri"/>
        </w:rPr>
        <w:t xml:space="preserve"> </w:t>
      </w:r>
    </w:p>
    <w:p w:rsidR="001E0822" w:rsidRDefault="0063235C" w14:paraId="2C8D017F" w14:textId="77777777">
      <w:pPr>
        <w:numPr>
          <w:ilvl w:val="0"/>
          <w:numId w:val="1"/>
        </w:numPr>
        <w:spacing w:after="2"/>
        <w:ind w:right="3" w:hanging="360"/>
      </w:pPr>
      <w:r>
        <w:t>Sánchez, M.J. and Simón, J.M. (2022) ‘Sustainability reporting in the hotel industry: A review of global practices and implications for future research’, Journal of Sustainable Tourism, 30(7), pp. 1523–1541. https://doi.org/10.1080/09669582.2021.1936133 (Accessed: 18 May 2025).</w:t>
      </w:r>
      <w:r>
        <w:rPr>
          <w:rFonts w:cs="Calibri"/>
        </w:rPr>
        <w:t xml:space="preserve"> </w:t>
      </w:r>
    </w:p>
    <w:p w:rsidR="001E0822" w:rsidRDefault="0063235C" w14:paraId="387F20EE" w14:textId="77777777">
      <w:pPr>
        <w:numPr>
          <w:ilvl w:val="0"/>
          <w:numId w:val="1"/>
        </w:numPr>
        <w:spacing w:after="1"/>
        <w:ind w:right="3" w:hanging="360"/>
      </w:pPr>
      <w:r>
        <w:t xml:space="preserve">Scandic Hotels (2023) </w:t>
      </w:r>
      <w:r>
        <w:rPr>
          <w:rFonts w:cs="Calibri"/>
          <w:i/>
        </w:rPr>
        <w:t>Sustainability at Scandic</w:t>
      </w:r>
      <w:r>
        <w:t>. Available at: https://www.scandichotelsgroup.com/sustainability/ (Accessed: 18 May 2025).</w:t>
      </w:r>
      <w:r>
        <w:rPr>
          <w:rFonts w:cs="Calibri"/>
        </w:rPr>
        <w:t xml:space="preserve"> </w:t>
      </w:r>
    </w:p>
    <w:p w:rsidR="001E0822" w:rsidRDefault="0063235C" w14:paraId="001F225B" w14:textId="77777777">
      <w:pPr>
        <w:numPr>
          <w:ilvl w:val="0"/>
          <w:numId w:val="1"/>
        </w:numPr>
        <w:spacing w:after="135" w:line="259" w:lineRule="auto"/>
        <w:ind w:right="3" w:hanging="360"/>
      </w:pPr>
      <w:r>
        <w:t xml:space="preserve">UNEP (United Nations Environment Programme) (2022) </w:t>
      </w:r>
      <w:r>
        <w:rPr>
          <w:rFonts w:cs="Calibri"/>
          <w:i/>
        </w:rPr>
        <w:t xml:space="preserve">Business and climate change: </w:t>
      </w:r>
    </w:p>
    <w:p w:rsidR="001E0822" w:rsidRDefault="0063235C" w14:paraId="4575B302" w14:textId="77777777">
      <w:pPr>
        <w:tabs>
          <w:tab w:val="center" w:pos="898"/>
          <w:tab w:val="center" w:pos="1986"/>
          <w:tab w:val="center" w:pos="3265"/>
          <w:tab w:val="center" w:pos="4461"/>
          <w:tab w:val="center" w:pos="5389"/>
          <w:tab w:val="center" w:pos="6047"/>
          <w:tab w:val="center" w:pos="6847"/>
          <w:tab w:val="center" w:pos="7932"/>
          <w:tab w:val="right" w:pos="9039"/>
        </w:tabs>
        <w:spacing w:after="124" w:line="259" w:lineRule="auto"/>
        <w:ind w:left="0" w:right="0" w:firstLine="0"/>
        <w:jc w:val="left"/>
      </w:pPr>
      <w:r>
        <w:rPr>
          <w:rFonts w:cs="Calibri"/>
          <w:sz w:val="22"/>
        </w:rPr>
        <w:tab/>
      </w:r>
      <w:r>
        <w:rPr>
          <w:rFonts w:cs="Calibri"/>
          <w:i/>
        </w:rPr>
        <w:t xml:space="preserve">The </w:t>
      </w:r>
      <w:r>
        <w:rPr>
          <w:rFonts w:cs="Calibri"/>
          <w:i/>
        </w:rPr>
        <w:tab/>
      </w:r>
      <w:r>
        <w:rPr>
          <w:rFonts w:cs="Calibri"/>
          <w:i/>
        </w:rPr>
        <w:t xml:space="preserve">hospitality </w:t>
      </w:r>
      <w:r>
        <w:rPr>
          <w:rFonts w:cs="Calibri"/>
          <w:i/>
        </w:rPr>
        <w:tab/>
      </w:r>
      <w:r>
        <w:rPr>
          <w:rFonts w:cs="Calibri"/>
          <w:i/>
        </w:rPr>
        <w:t xml:space="preserve">sector's </w:t>
      </w:r>
      <w:r>
        <w:rPr>
          <w:rFonts w:cs="Calibri"/>
          <w:i/>
        </w:rPr>
        <w:tab/>
      </w:r>
      <w:r>
        <w:rPr>
          <w:rFonts w:cs="Calibri"/>
          <w:i/>
        </w:rPr>
        <w:t xml:space="preserve">pathway </w:t>
      </w:r>
      <w:r>
        <w:rPr>
          <w:rFonts w:cs="Calibri"/>
          <w:i/>
        </w:rPr>
        <w:tab/>
      </w:r>
      <w:r>
        <w:rPr>
          <w:rFonts w:cs="Calibri"/>
          <w:i/>
        </w:rPr>
        <w:t xml:space="preserve">to </w:t>
      </w:r>
      <w:r>
        <w:rPr>
          <w:rFonts w:cs="Calibri"/>
          <w:i/>
        </w:rPr>
        <w:tab/>
      </w:r>
      <w:r>
        <w:rPr>
          <w:rFonts w:cs="Calibri"/>
          <w:i/>
        </w:rPr>
        <w:t xml:space="preserve">net </w:t>
      </w:r>
      <w:r>
        <w:rPr>
          <w:rFonts w:cs="Calibri"/>
          <w:i/>
        </w:rPr>
        <w:tab/>
      </w:r>
      <w:r>
        <w:rPr>
          <w:rFonts w:cs="Calibri"/>
          <w:i/>
        </w:rPr>
        <w:t>zero</w:t>
      </w:r>
      <w:r>
        <w:t xml:space="preserve">. </w:t>
      </w:r>
      <w:r>
        <w:tab/>
      </w:r>
      <w:r>
        <w:t xml:space="preserve">Available </w:t>
      </w:r>
      <w:r>
        <w:tab/>
      </w:r>
      <w:r>
        <w:t xml:space="preserve">at: </w:t>
      </w:r>
    </w:p>
    <w:p w:rsidR="001E0822" w:rsidRDefault="0063235C" w14:paraId="4F61252D" w14:textId="77777777">
      <w:pPr>
        <w:spacing w:after="1"/>
        <w:ind w:left="731" w:right="3"/>
      </w:pPr>
      <w:r>
        <w:t>https://www.unep.org/resources/report/business-and-climate-change-hospitalitypathway (Accessed: 18 May 2025).</w:t>
      </w:r>
      <w:r>
        <w:rPr>
          <w:rFonts w:cs="Calibri"/>
        </w:rPr>
        <w:t xml:space="preserve"> </w:t>
      </w:r>
    </w:p>
    <w:p w:rsidR="001E0822" w:rsidRDefault="0063235C" w14:paraId="5CDC0238" w14:textId="77777777">
      <w:pPr>
        <w:numPr>
          <w:ilvl w:val="0"/>
          <w:numId w:val="1"/>
        </w:numPr>
        <w:spacing w:after="124" w:line="259" w:lineRule="auto"/>
        <w:ind w:right="3" w:hanging="360"/>
      </w:pPr>
      <w:r>
        <w:t xml:space="preserve">UNWTO (2022) </w:t>
      </w:r>
      <w:r>
        <w:rPr>
          <w:rFonts w:cs="Calibri"/>
          <w:i/>
        </w:rPr>
        <w:t>Sustainable tourism case studies: ITC Grand Chola, India</w:t>
      </w:r>
      <w:r>
        <w:t xml:space="preserve">. Available at: </w:t>
      </w:r>
    </w:p>
    <w:p w:rsidR="001E0822" w:rsidRDefault="0063235C" w14:paraId="7F4DF422" w14:textId="77777777">
      <w:pPr>
        <w:spacing w:after="1"/>
        <w:ind w:left="731" w:right="3"/>
      </w:pPr>
      <w:r>
        <w:t>https://www.unwto.org/sustainable-development/case-studies/itc-grand-chola (Accessed: 17 May 2025).</w:t>
      </w:r>
      <w:r>
        <w:rPr>
          <w:rFonts w:cs="Calibri"/>
        </w:rPr>
        <w:t xml:space="preserve"> </w:t>
      </w:r>
    </w:p>
    <w:p w:rsidR="001E0822" w:rsidRDefault="0063235C" w14:paraId="6C9BBBBA" w14:textId="77777777">
      <w:pPr>
        <w:numPr>
          <w:ilvl w:val="0"/>
          <w:numId w:val="1"/>
        </w:numPr>
        <w:spacing w:after="1"/>
        <w:ind w:right="3" w:hanging="360"/>
      </w:pPr>
      <w:r>
        <w:t>UNWTO (2023) Sustainable Development of Tourism. United Nations World Tourism Organization. Available at: https://www.unwto.org/sustainable-development (Accessed: 18 May 2025).</w:t>
      </w:r>
      <w:r>
        <w:rPr>
          <w:rFonts w:cs="Calibri"/>
        </w:rPr>
        <w:t xml:space="preserve"> </w:t>
      </w:r>
    </w:p>
    <w:p w:rsidR="001E0822" w:rsidRDefault="0063235C" w14:paraId="2D7DC6AF" w14:textId="77777777">
      <w:pPr>
        <w:numPr>
          <w:ilvl w:val="0"/>
          <w:numId w:val="1"/>
        </w:numPr>
        <w:spacing w:after="1"/>
        <w:ind w:right="3" w:hanging="360"/>
      </w:pPr>
      <w:r>
        <w:t>WTTC (2021) Hotel Sustainability Basics: A globally recognised standard. World Travel &amp; Tourism Council. Available at: https://wttc.org/Initiatives/Sustainability/HotelSustainability-Basics (Accessed: 18 May 2025).</w:t>
      </w:r>
      <w:r>
        <w:rPr>
          <w:rFonts w:cs="Calibri"/>
        </w:rPr>
        <w:t xml:space="preserve"> </w:t>
      </w:r>
    </w:p>
    <w:p w:rsidR="001E0822" w:rsidRDefault="0063235C" w14:paraId="4D3BE1A5" w14:textId="77777777">
      <w:pPr>
        <w:numPr>
          <w:ilvl w:val="0"/>
          <w:numId w:val="1"/>
        </w:numPr>
        <w:spacing w:after="1"/>
        <w:ind w:right="3" w:hanging="360"/>
      </w:pPr>
      <w:r>
        <w:t xml:space="preserve">Zhou, Y., Wei, Z. and Zhang, Y. (2021) ‘Smart energy systems in hospitality: Current applications and future potential’, </w:t>
      </w:r>
      <w:r>
        <w:rPr>
          <w:rFonts w:cs="Calibri"/>
          <w:i/>
        </w:rPr>
        <w:t>Energy Reports</w:t>
      </w:r>
      <w:r>
        <w:t>, 7, pp. 5769–5780. https://doi.org/10.1016/j.egyr.2021.08.152 (Accessed: 17 May 2025).</w:t>
      </w:r>
      <w:r>
        <w:rPr>
          <w:rFonts w:cs="Calibri"/>
        </w:rPr>
        <w:t xml:space="preserve"> </w:t>
      </w:r>
    </w:p>
    <w:sectPr w:rsidR="001E0822">
      <w:pgSz w:w="11905" w:h="16840" w:orient="portrait"/>
      <w:pgMar w:top="1490" w:right="1425" w:bottom="76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44B97"/>
    <w:multiLevelType w:val="hybridMultilevel"/>
    <w:tmpl w:val="FFFFFFFF"/>
    <w:lvl w:ilvl="0" w:tplc="5512EE28">
      <w:start w:val="1"/>
      <w:numFmt w:val="decimal"/>
      <w:pStyle w:val="Heading1"/>
      <w:lvlText w:val="%1."/>
      <w:lvlJc w:val="left"/>
      <w:pPr>
        <w:ind w:left="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1" w:tplc="2F62418A">
      <w:start w:val="1"/>
      <w:numFmt w:val="lowerLetter"/>
      <w:lvlText w:val="%2"/>
      <w:lvlJc w:val="left"/>
      <w:pPr>
        <w:ind w:left="108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2" w:tplc="B0320BFE">
      <w:start w:val="1"/>
      <w:numFmt w:val="lowerRoman"/>
      <w:lvlText w:val="%3"/>
      <w:lvlJc w:val="left"/>
      <w:pPr>
        <w:ind w:left="180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3" w:tplc="54747AE4">
      <w:start w:val="1"/>
      <w:numFmt w:val="decimal"/>
      <w:lvlText w:val="%4"/>
      <w:lvlJc w:val="left"/>
      <w:pPr>
        <w:ind w:left="252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4" w:tplc="FADC64A2">
      <w:start w:val="1"/>
      <w:numFmt w:val="lowerLetter"/>
      <w:lvlText w:val="%5"/>
      <w:lvlJc w:val="left"/>
      <w:pPr>
        <w:ind w:left="324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5" w:tplc="F634F150">
      <w:start w:val="1"/>
      <w:numFmt w:val="lowerRoman"/>
      <w:lvlText w:val="%6"/>
      <w:lvlJc w:val="left"/>
      <w:pPr>
        <w:ind w:left="396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6" w:tplc="48600E42">
      <w:start w:val="1"/>
      <w:numFmt w:val="decimal"/>
      <w:lvlText w:val="%7"/>
      <w:lvlJc w:val="left"/>
      <w:pPr>
        <w:ind w:left="468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7" w:tplc="74D6A6F2">
      <w:start w:val="1"/>
      <w:numFmt w:val="lowerLetter"/>
      <w:lvlText w:val="%8"/>
      <w:lvlJc w:val="left"/>
      <w:pPr>
        <w:ind w:left="540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lvl w:ilvl="8" w:tplc="FBAEDBBC">
      <w:start w:val="1"/>
      <w:numFmt w:val="lowerRoman"/>
      <w:lvlText w:val="%9"/>
      <w:lvlJc w:val="left"/>
      <w:pPr>
        <w:ind w:left="6120"/>
      </w:pPr>
      <w:rPr>
        <w:rFonts w:ascii="Calibri" w:hAnsi="Calibri" w:eastAsia="Calibri" w:cs="Calibri"/>
        <w:b/>
        <w:bCs/>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79226C7A"/>
    <w:multiLevelType w:val="hybridMultilevel"/>
    <w:tmpl w:val="FFFFFFFF"/>
    <w:lvl w:ilvl="0" w:tplc="91FE3BD8">
      <w:start w:val="1"/>
      <w:numFmt w:val="decimal"/>
      <w:lvlText w:val="%1."/>
      <w:lvlJc w:val="left"/>
      <w:pPr>
        <w:ind w:left="721"/>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525643E2">
      <w:start w:val="1"/>
      <w:numFmt w:val="lowerLetter"/>
      <w:lvlText w:val="%2"/>
      <w:lvlJc w:val="left"/>
      <w:pPr>
        <w:ind w:left="120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849E4434">
      <w:start w:val="1"/>
      <w:numFmt w:val="lowerRoman"/>
      <w:lvlText w:val="%3"/>
      <w:lvlJc w:val="left"/>
      <w:pPr>
        <w:ind w:left="192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E54C2CB4">
      <w:start w:val="1"/>
      <w:numFmt w:val="decimal"/>
      <w:lvlText w:val="%4"/>
      <w:lvlJc w:val="left"/>
      <w:pPr>
        <w:ind w:left="264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4E5A3C2C">
      <w:start w:val="1"/>
      <w:numFmt w:val="lowerLetter"/>
      <w:lvlText w:val="%5"/>
      <w:lvlJc w:val="left"/>
      <w:pPr>
        <w:ind w:left="336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C5807192">
      <w:start w:val="1"/>
      <w:numFmt w:val="lowerRoman"/>
      <w:lvlText w:val="%6"/>
      <w:lvlJc w:val="left"/>
      <w:pPr>
        <w:ind w:left="408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5B3A4EC6">
      <w:start w:val="1"/>
      <w:numFmt w:val="decimal"/>
      <w:lvlText w:val="%7"/>
      <w:lvlJc w:val="left"/>
      <w:pPr>
        <w:ind w:left="480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681C61A2">
      <w:start w:val="1"/>
      <w:numFmt w:val="lowerLetter"/>
      <w:lvlText w:val="%8"/>
      <w:lvlJc w:val="left"/>
      <w:pPr>
        <w:ind w:left="552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DE90D61E">
      <w:start w:val="1"/>
      <w:numFmt w:val="lowerRoman"/>
      <w:lvlText w:val="%9"/>
      <w:lvlJc w:val="left"/>
      <w:pPr>
        <w:ind w:left="624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num w:numId="1" w16cid:durableId="254361199">
    <w:abstractNumId w:val="1"/>
  </w:num>
  <w:num w:numId="2" w16cid:durableId="124105913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10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822"/>
    <w:rsid w:val="001E0822"/>
    <w:rsid w:val="0063235C"/>
    <w:rsid w:val="00B43430"/>
    <w:rsid w:val="2E3DA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3686DC"/>
  <w15:docId w15:val="{F1D8921C-2760-B34E-9F01-787CFC6BD8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59" w:line="360" w:lineRule="auto"/>
      <w:ind w:left="10" w:right="7" w:hanging="10"/>
      <w:jc w:val="both"/>
    </w:pPr>
    <w:rPr>
      <w:rFonts w:ascii="Calibri" w:hAnsi="Calibri" w:eastAsia="Calibri" w:cs="Times New Roman"/>
      <w:color w:val="000000"/>
      <w:lang w:val="en" w:eastAsia="en"/>
    </w:rPr>
  </w:style>
  <w:style w:type="paragraph" w:styleId="Heading1">
    <w:name w:val="heading 1"/>
    <w:next w:val="Normal"/>
    <w:link w:val="Heading1Char"/>
    <w:uiPriority w:val="9"/>
    <w:qFormat/>
    <w:pPr>
      <w:keepNext/>
      <w:keepLines/>
      <w:numPr>
        <w:numId w:val="2"/>
      </w:numPr>
      <w:spacing w:after="282" w:line="259" w:lineRule="auto"/>
      <w:ind w:left="10" w:hanging="10"/>
      <w:outlineLvl w:val="0"/>
    </w:pPr>
    <w:rPr>
      <w:rFonts w:ascii="Calibri" w:hAnsi="Calibri" w:eastAsia="Calibri" w:cs="Calibri"/>
      <w:b/>
      <w:i/>
      <w:color w:val="000000"/>
    </w:rPr>
  </w:style>
  <w:style w:type="paragraph" w:styleId="Heading2">
    <w:name w:val="heading 2"/>
    <w:next w:val="Normal"/>
    <w:link w:val="Heading2Char"/>
    <w:uiPriority w:val="9"/>
    <w:unhideWhenUsed/>
    <w:qFormat/>
    <w:pPr>
      <w:keepNext/>
      <w:keepLines/>
      <w:spacing w:after="282" w:line="259" w:lineRule="auto"/>
      <w:ind w:left="10" w:hanging="10"/>
      <w:outlineLvl w:val="1"/>
    </w:pPr>
    <w:rPr>
      <w:rFonts w:ascii="Calibri" w:hAnsi="Calibri" w:eastAsia="Calibri" w:cs="Calibri"/>
      <w:b/>
      <w:i/>
      <w:color w:val="000000"/>
    </w:rPr>
  </w:style>
  <w:style w:type="paragraph" w:styleId="Heading3">
    <w:name w:val="heading 3"/>
    <w:next w:val="Normal"/>
    <w:link w:val="Heading3Char"/>
    <w:uiPriority w:val="9"/>
    <w:semiHidden/>
    <w:unhideWhenUsed/>
    <w:qFormat/>
    <w:pPr>
      <w:keepNext/>
      <w:keepLines/>
      <w:spacing w:after="284" w:line="259" w:lineRule="auto"/>
      <w:ind w:left="10" w:hanging="10"/>
      <w:outlineLvl w:val="2"/>
    </w:pPr>
    <w:rPr>
      <w:rFonts w:ascii="Calibri" w:hAnsi="Calibri" w:eastAsia="Calibri" w:cs="Calibri"/>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Calibri" w:hAnsi="Calibri" w:eastAsia="Calibri" w:cs="Calibri"/>
      <w:b/>
      <w:i/>
      <w:color w:val="000000"/>
      <w:sz w:val="24"/>
    </w:rPr>
  </w:style>
  <w:style w:type="character" w:styleId="Heading3Char" w:customStyle="1">
    <w:name w:val="Heading 3 Char"/>
    <w:link w:val="Heading3"/>
    <w:rPr>
      <w:rFonts w:ascii="Calibri" w:hAnsi="Calibri" w:eastAsia="Calibri" w:cs="Calibri"/>
      <w:b/>
      <w:color w:val="000000"/>
      <w:sz w:val="24"/>
    </w:rPr>
  </w:style>
  <w:style w:type="character" w:styleId="Heading1Char" w:customStyle="1">
    <w:name w:val="Heading 1 Char"/>
    <w:link w:val="Heading1"/>
    <w:rPr>
      <w:rFonts w:ascii="Calibri" w:hAnsi="Calibri" w:eastAsia="Calibri" w:cs="Calibri"/>
      <w:b/>
      <w:i/>
      <w:color w:val="000000"/>
      <w:sz w:val="24"/>
    </w:rPr>
  </w:style>
  <w:style w:type="paragraph" w:styleId="TOC1">
    <w:name w:val="toc 1"/>
    <w:hidden/>
    <w:pPr>
      <w:spacing w:after="224" w:line="259" w:lineRule="auto"/>
      <w:ind w:left="25" w:right="25" w:hanging="10"/>
    </w:pPr>
    <w:rPr>
      <w:rFonts w:ascii="Calibri" w:hAnsi="Calibri"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0.png" Id="rId8" /><Relationship Type="http://schemas.openxmlformats.org/officeDocument/2006/relationships/hyperlink" Target="https://www.epa.gov/watersense/hotels" TargetMode="External" Id="rId13" /><Relationship Type="http://schemas.openxmlformats.org/officeDocument/2006/relationships/hyperlink" Target="https://commission.europa.eu/strategy-and-policy/priorities-2019-2024/european-green-deal_en" TargetMode="External" Id="rId18" /><Relationship Type="http://schemas.openxmlformats.org/officeDocument/2006/relationships/hyperlink" Target="https://commission.europa.eu/strategy-and-policy/priorities-2019-2024/european-green-deal_en" TargetMode="External" Id="rId26" /><Relationship Type="http://schemas.openxmlformats.org/officeDocument/2006/relationships/settings" Target="settings.xml" Id="rId3" /><Relationship Type="http://schemas.openxmlformats.org/officeDocument/2006/relationships/hyperlink" Target="https://commission.europa.eu/strategy-and-policy/priorities-2019-2024/european-green-deal_en" TargetMode="External" Id="rId21" /><Relationship Type="http://schemas.openxmlformats.org/officeDocument/2006/relationships/image" Target="media/image2.png" Id="rId7" /><Relationship Type="http://schemas.openxmlformats.org/officeDocument/2006/relationships/hyperlink" Target="https://www.breeam.com/" TargetMode="External" Id="rId12" /><Relationship Type="http://schemas.openxmlformats.org/officeDocument/2006/relationships/hyperlink" Target="https://commission.europa.eu/strategy-and-policy/priorities-2019-2024/european-green-deal_en" TargetMode="External" Id="rId17" /><Relationship Type="http://schemas.openxmlformats.org/officeDocument/2006/relationships/hyperlink" Target="https://commission.europa.eu/strategy-and-policy/priorities-2019-2024/european-green-deal_en" TargetMode="External" Id="rId25" /><Relationship Type="http://schemas.openxmlformats.org/officeDocument/2006/relationships/styles" Target="styles.xml" Id="rId2" /><Relationship Type="http://schemas.openxmlformats.org/officeDocument/2006/relationships/hyperlink" Target="https://commission.europa.eu/strategy-and-policy/priorities-2019-2024/european-green-deal_en" TargetMode="External" Id="rId16" /><Relationship Type="http://schemas.openxmlformats.org/officeDocument/2006/relationships/hyperlink" Target="https://commission.europa.eu/strategy-and-policy/priorities-2019-2024/european-green-deal_en" TargetMode="External"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image" Target="media/image10.png" Id="rId6" /><Relationship Type="http://schemas.openxmlformats.org/officeDocument/2006/relationships/hyperlink" Target="https://www.breeam.com/" TargetMode="External" Id="rId11" /><Relationship Type="http://schemas.openxmlformats.org/officeDocument/2006/relationships/hyperlink" Target="https://commission.europa.eu/strategy-and-policy/priorities-2019-2024/european-green-deal_en" TargetMode="External" Id="rId24" /><Relationship Type="http://schemas.openxmlformats.org/officeDocument/2006/relationships/image" Target="media/image1.png" Id="rId5" /><Relationship Type="http://schemas.openxmlformats.org/officeDocument/2006/relationships/hyperlink" Target="https://commission.europa.eu/strategy-and-policy/priorities-2019-2024/european-green-deal_en" TargetMode="External" Id="rId15" /><Relationship Type="http://schemas.openxmlformats.org/officeDocument/2006/relationships/hyperlink" Target="https://commission.europa.eu/strategy-and-policy/priorities-2019-2024/european-green-deal_en" TargetMode="External" Id="rId23" /><Relationship Type="http://schemas.openxmlformats.org/officeDocument/2006/relationships/hyperlink" Target="https://commission.europa.eu/strategy-and-policy/priorities-2019-2024/european-green-deal_en" TargetMode="External" Id="rId28" /><Relationship Type="http://schemas.openxmlformats.org/officeDocument/2006/relationships/hyperlink" Target="https://www.breeam.com/" TargetMode="External" Id="rId10" /><Relationship Type="http://schemas.openxmlformats.org/officeDocument/2006/relationships/hyperlink" Target="https://commission.europa.eu/strategy-and-policy/priorities-2019-2024/european-green-deal_en" TargetMode="External" Id="rId19" /><Relationship Type="http://schemas.openxmlformats.org/officeDocument/2006/relationships/webSettings" Target="webSettings.xml" Id="rId4" /><Relationship Type="http://schemas.openxmlformats.org/officeDocument/2006/relationships/hyperlink" Target="https://www.breeam.com/" TargetMode="External" Id="rId9" /><Relationship Type="http://schemas.openxmlformats.org/officeDocument/2006/relationships/hyperlink" Target="https://www.epa.gov/watersense/hotels" TargetMode="External" Id="rId14" /><Relationship Type="http://schemas.openxmlformats.org/officeDocument/2006/relationships/hyperlink" Target="https://commission.europa.eu/strategy-and-policy/priorities-2019-2024/european-green-deal_en" TargetMode="External" Id="rId22" /><Relationship Type="http://schemas.openxmlformats.org/officeDocument/2006/relationships/hyperlink" Target="https://commission.europa.eu/strategy-and-policy/priorities-2019-2024/european-green-deal_en" TargetMode="External" Id="rId27" /><Relationship Type="http://schemas.openxmlformats.org/officeDocument/2006/relationships/theme" Target="theme/theme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Md Jaglu Uddin (2209549)</lastModifiedBy>
  <revision>3</revision>
  <dcterms:created xsi:type="dcterms:W3CDTF">2025-05-21T00:23:00.0000000Z</dcterms:created>
  <dcterms:modified xsi:type="dcterms:W3CDTF">2025-05-23T14:43:09.6680062Z</dcterms:modified>
</coreProperties>
</file>