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65026998"/>
        <w:docPartObj>
          <w:docPartGallery w:val="Cover Pages"/>
          <w:docPartUnique/>
        </w:docPartObj>
      </w:sdtPr>
      <w:sdtEndPr>
        <w:rPr>
          <w:rFonts w:ascii="Arial" w:hAnsi="Arial" w:cs="Arial"/>
          <w:lang w:val="en-US"/>
        </w:rPr>
      </w:sdtEndPr>
      <w:sdtContent>
        <w:p w14:paraId="317267D9" w14:textId="0837D068" w:rsidR="00487B23" w:rsidRDefault="00487B23">
          <w:r>
            <w:rPr>
              <w:noProof/>
            </w:rPr>
            <mc:AlternateContent>
              <mc:Choice Requires="wpg">
                <w:drawing>
                  <wp:anchor distT="0" distB="0" distL="114300" distR="114300" simplePos="0" relativeHeight="251659264" behindDoc="1" locked="0" layoutInCell="1" allowOverlap="1" wp14:anchorId="0D06AEB3" wp14:editId="67330D65">
                    <wp:simplePos x="0" y="0"/>
                    <wp:positionH relativeFrom="page">
                      <wp:posOffset>434340</wp:posOffset>
                    </wp:positionH>
                    <wp:positionV relativeFrom="page">
                      <wp:posOffset>487680</wp:posOffset>
                    </wp:positionV>
                    <wp:extent cx="6868478" cy="9171326"/>
                    <wp:effectExtent l="0" t="0" r="8890" b="10795"/>
                    <wp:wrapNone/>
                    <wp:docPr id="48" name="Group 64"/>
                    <wp:cNvGraphicFramePr/>
                    <a:graphic xmlns:a="http://schemas.openxmlformats.org/drawingml/2006/main">
                      <a:graphicData uri="http://schemas.microsoft.com/office/word/2010/wordprocessingGroup">
                        <wpg:wgp>
                          <wpg:cNvGrpSpPr/>
                          <wpg:grpSpPr>
                            <a:xfrm>
                              <a:off x="0" y="0"/>
                              <a:ext cx="6868478" cy="9171326"/>
                              <a:chOff x="-15240" y="0"/>
                              <a:chExt cx="6868478" cy="9171326"/>
                            </a:xfrm>
                          </wpg:grpSpPr>
                          <wpg:grpSp>
                            <wpg:cNvPr id="49" name="Group 49"/>
                            <wpg:cNvGrpSpPr/>
                            <wpg:grpSpPr>
                              <a:xfrm>
                                <a:off x="-15240" y="0"/>
                                <a:ext cx="6868478" cy="9144000"/>
                                <a:chOff x="-15240" y="0"/>
                                <a:chExt cx="6868478" cy="9144000"/>
                              </a:xfrm>
                            </wpg:grpSpPr>
                            <wps:wsp>
                              <wps:cNvPr id="54" name="Rectangle 54"/>
                              <wps:cNvSpPr/>
                              <wps:spPr>
                                <a:xfrm>
                                  <a:off x="-15240" y="0"/>
                                  <a:ext cx="6680835"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D45196C" w14:textId="6441569C" w:rsidR="00487B23" w:rsidRPr="009D4E9C" w:rsidRDefault="00487B23" w:rsidP="00487B23">
                                    <w:pPr>
                                      <w:spacing w:before="212"/>
                                      <w:rPr>
                                        <w:rFonts w:asciiTheme="minorBidi" w:hAnsiTheme="minorBidi"/>
                                        <w:sz w:val="40"/>
                                        <w:szCs w:val="40"/>
                                      </w:rPr>
                                    </w:pPr>
                                    <w:r w:rsidRPr="009D4E9C">
                                      <w:rPr>
                                        <w:rFonts w:asciiTheme="minorBidi" w:hAnsiTheme="minorBidi"/>
                                        <w:b/>
                                        <w:bCs/>
                                        <w:sz w:val="40"/>
                                        <w:szCs w:val="40"/>
                                      </w:rPr>
                                      <w:t xml:space="preserve">Module Name: </w:t>
                                    </w:r>
                                    <w:r w:rsidR="00A8620F" w:rsidRPr="009D4E9C">
                                      <w:rPr>
                                        <w:rFonts w:asciiTheme="minorBidi" w:hAnsiTheme="minorBidi"/>
                                        <w:sz w:val="40"/>
                                        <w:szCs w:val="40"/>
                                      </w:rPr>
                                      <w:t>Problem Solving and Innovation</w:t>
                                    </w:r>
                                  </w:p>
                                  <w:p w14:paraId="4EED0DE3" w14:textId="737E66DA" w:rsidR="00487B23" w:rsidRPr="009D4E9C" w:rsidRDefault="00487B23" w:rsidP="00487B23">
                                    <w:pPr>
                                      <w:spacing w:before="212"/>
                                      <w:rPr>
                                        <w:rFonts w:asciiTheme="minorBidi" w:hAnsiTheme="minorBidi"/>
                                        <w:b/>
                                        <w:bCs/>
                                        <w:sz w:val="40"/>
                                        <w:szCs w:val="40"/>
                                      </w:rPr>
                                    </w:pPr>
                                    <w:r w:rsidRPr="009D4E9C">
                                      <w:rPr>
                                        <w:rFonts w:asciiTheme="minorBidi" w:hAnsiTheme="minorBidi"/>
                                        <w:b/>
                                        <w:bCs/>
                                        <w:sz w:val="40"/>
                                        <w:szCs w:val="40"/>
                                      </w:rPr>
                                      <w:t xml:space="preserve">Module Code:  </w:t>
                                    </w:r>
                                    <w:r w:rsidRPr="009D4E9C">
                                      <w:rPr>
                                        <w:rFonts w:asciiTheme="minorBidi" w:hAnsiTheme="minorBidi"/>
                                        <w:sz w:val="40"/>
                                        <w:szCs w:val="40"/>
                                      </w:rPr>
                                      <w:t>BMSW401</w:t>
                                    </w:r>
                                    <w:r w:rsidR="009D4E9C" w:rsidRPr="009D4E9C">
                                      <w:rPr>
                                        <w:rFonts w:asciiTheme="minorBidi" w:hAnsiTheme="minorBidi"/>
                                        <w:sz w:val="40"/>
                                        <w:szCs w:val="40"/>
                                      </w:rPr>
                                      <w:t>4</w:t>
                                    </w:r>
                                  </w:p>
                                  <w:p w14:paraId="773AAC81" w14:textId="65FBD5C8" w:rsidR="00487B23" w:rsidRPr="009D4E9C" w:rsidRDefault="00487B23" w:rsidP="00487B23">
                                    <w:pPr>
                                      <w:spacing w:before="212"/>
                                      <w:rPr>
                                        <w:rFonts w:asciiTheme="minorBidi" w:hAnsiTheme="minorBidi"/>
                                        <w:sz w:val="40"/>
                                        <w:szCs w:val="40"/>
                                      </w:rPr>
                                    </w:pPr>
                                    <w:r w:rsidRPr="009D4E9C">
                                      <w:rPr>
                                        <w:rFonts w:asciiTheme="minorBidi" w:hAnsiTheme="minorBidi"/>
                                        <w:b/>
                                        <w:bCs/>
                                        <w:sz w:val="40"/>
                                        <w:szCs w:val="40"/>
                                      </w:rPr>
                                      <w:t xml:space="preserve">Assessment 2: </w:t>
                                    </w:r>
                                    <w:r w:rsidR="009D4E9C" w:rsidRPr="009D4E9C">
                                      <w:rPr>
                                        <w:rFonts w:asciiTheme="minorBidi" w:hAnsiTheme="minorBidi"/>
                                        <w:sz w:val="40"/>
                                        <w:szCs w:val="40"/>
                                      </w:rPr>
                                      <w:t>Understanding the Business Environment of the Influencer industry</w:t>
                                    </w:r>
                                  </w:p>
                                  <w:p w14:paraId="20F8D869" w14:textId="77777777" w:rsidR="00487B23" w:rsidRPr="009D4E9C" w:rsidRDefault="00487B23" w:rsidP="00487B23">
                                    <w:pPr>
                                      <w:spacing w:before="3"/>
                                      <w:rPr>
                                        <w:rFonts w:asciiTheme="minorBidi" w:hAnsiTheme="minorBidi"/>
                                        <w:b/>
                                        <w:sz w:val="40"/>
                                        <w:szCs w:val="40"/>
                                      </w:rPr>
                                    </w:pPr>
                                    <w:r w:rsidRPr="009D4E9C">
                                      <w:rPr>
                                        <w:rFonts w:asciiTheme="minorBidi" w:hAnsiTheme="minorBidi"/>
                                        <w:b/>
                                        <w:sz w:val="40"/>
                                        <w:szCs w:val="40"/>
                                      </w:rPr>
                                      <w:t xml:space="preserve">Student Name: </w:t>
                                    </w:r>
                                    <w:r w:rsidRPr="009D4E9C">
                                      <w:rPr>
                                        <w:rFonts w:asciiTheme="minorBidi" w:hAnsiTheme="minorBidi"/>
                                        <w:bCs/>
                                        <w:sz w:val="40"/>
                                        <w:szCs w:val="40"/>
                                      </w:rPr>
                                      <w:t>Miklos Mark Gal</w:t>
                                    </w:r>
                                  </w:p>
                                  <w:p w14:paraId="4A743A83" w14:textId="62A5F953" w:rsidR="009D4E9C" w:rsidRPr="009D4E9C" w:rsidRDefault="00487B23" w:rsidP="00487B23">
                                    <w:pPr>
                                      <w:spacing w:before="3"/>
                                      <w:rPr>
                                        <w:rFonts w:asciiTheme="minorBidi" w:hAnsiTheme="minorBidi"/>
                                        <w:bCs/>
                                        <w:sz w:val="40"/>
                                        <w:szCs w:val="40"/>
                                      </w:rPr>
                                    </w:pPr>
                                    <w:r w:rsidRPr="009D4E9C">
                                      <w:rPr>
                                        <w:rFonts w:asciiTheme="minorBidi" w:hAnsiTheme="minorBidi"/>
                                        <w:b/>
                                        <w:sz w:val="40"/>
                                        <w:szCs w:val="40"/>
                                      </w:rPr>
                                      <w:t xml:space="preserve">Student Number: </w:t>
                                    </w:r>
                                    <w:r w:rsidRPr="009D4E9C">
                                      <w:rPr>
                                        <w:rFonts w:asciiTheme="minorBidi" w:hAnsiTheme="minorBidi"/>
                                        <w:bCs/>
                                        <w:sz w:val="40"/>
                                        <w:szCs w:val="40"/>
                                      </w:rPr>
                                      <w:t>2514520</w:t>
                                    </w:r>
                                  </w:p>
                                  <w:p w14:paraId="7330A960" w14:textId="363052DF" w:rsidR="00487B23" w:rsidRPr="009D4E9C" w:rsidRDefault="00487B23" w:rsidP="00487B23">
                                    <w:pPr>
                                      <w:rPr>
                                        <w:rFonts w:asciiTheme="minorBidi" w:hAnsiTheme="minorBidi"/>
                                        <w:bCs/>
                                        <w:sz w:val="40"/>
                                        <w:szCs w:val="40"/>
                                      </w:rPr>
                                    </w:pPr>
                                    <w:r w:rsidRPr="009D4E9C">
                                      <w:rPr>
                                        <w:rFonts w:asciiTheme="minorBidi" w:hAnsiTheme="minorBidi"/>
                                        <w:b/>
                                        <w:sz w:val="40"/>
                                        <w:szCs w:val="40"/>
                                      </w:rPr>
                                      <w:t xml:space="preserve">Lecturer: </w:t>
                                    </w:r>
                                    <w:r w:rsidRPr="009D4E9C">
                                      <w:rPr>
                                        <w:rFonts w:asciiTheme="minorBidi" w:hAnsiTheme="minorBidi"/>
                                        <w:bCs/>
                                        <w:sz w:val="40"/>
                                        <w:szCs w:val="40"/>
                                      </w:rPr>
                                      <w:t>Chris Wilkin</w:t>
                                    </w:r>
                                    <w:r w:rsidRPr="009D4E9C">
                                      <w:rPr>
                                        <w:rFonts w:asciiTheme="minorBidi" w:hAnsiTheme="minorBidi"/>
                                        <w:b/>
                                        <w:sz w:val="40"/>
                                        <w:szCs w:val="40"/>
                                      </w:rPr>
                                      <w:br/>
                                      <w:t xml:space="preserve">Deadline: </w:t>
                                    </w:r>
                                    <w:r w:rsidRPr="009D4E9C">
                                      <w:rPr>
                                        <w:rFonts w:asciiTheme="minorBidi" w:hAnsiTheme="minorBidi"/>
                                        <w:bCs/>
                                        <w:sz w:val="40"/>
                                        <w:szCs w:val="40"/>
                                      </w:rPr>
                                      <w:t xml:space="preserve">Friday </w:t>
                                    </w:r>
                                    <w:r w:rsidR="007919D9">
                                      <w:rPr>
                                        <w:rFonts w:asciiTheme="minorBidi" w:hAnsiTheme="minorBidi"/>
                                        <w:bCs/>
                                        <w:sz w:val="40"/>
                                        <w:szCs w:val="40"/>
                                      </w:rPr>
                                      <w:t>10</w:t>
                                    </w:r>
                                    <w:r w:rsidRPr="009D4E9C">
                                      <w:rPr>
                                        <w:rFonts w:asciiTheme="minorBidi" w:hAnsiTheme="minorBidi"/>
                                        <w:bCs/>
                                        <w:sz w:val="40"/>
                                        <w:szCs w:val="40"/>
                                        <w:vertAlign w:val="superscript"/>
                                      </w:rPr>
                                      <w:t>th</w:t>
                                    </w:r>
                                    <w:r w:rsidRPr="009D4E9C">
                                      <w:rPr>
                                        <w:rFonts w:asciiTheme="minorBidi" w:hAnsiTheme="minorBidi"/>
                                        <w:bCs/>
                                        <w:sz w:val="40"/>
                                        <w:szCs w:val="40"/>
                                      </w:rPr>
                                      <w:t xml:space="preserve"> July 2026  23:59PM</w:t>
                                    </w:r>
                                  </w:p>
                                  <w:p w14:paraId="1C3B30ED" w14:textId="77777777" w:rsidR="00487B23" w:rsidRDefault="00487B23">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7" y="6736080"/>
                                <a:ext cx="6843395" cy="243524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A8368B" w14:textId="3AA91283" w:rsidR="00487B23" w:rsidRDefault="00487B23">
                                  <w:pPr>
                                    <w:pStyle w:val="NoSpacing"/>
                                    <w:spacing w:before="120"/>
                                    <w:rPr>
                                      <w:color w:val="156082"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D06AEB3" id="Group 64" o:spid="_x0000_s1026" style="position:absolute;margin-left:34.2pt;margin-top:38.4pt;width:540.85pt;height:722.15pt;z-index:-251657216;mso-position-horizontal-relative:page;mso-position-vertical-relative:page" coordorigin="-152" coordsize="68684,917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">
                    <v:group id="Group 49" o:spid="_x0000_s1027" style="position:absolute;left:-152;width:68684;height:91440" coordorigin="-152" coordsize="68684,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left:-152;width:66807;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" fillcolor="#102e4b [3122]" stroked="f" strokeweight="1.5pt">
                        <v:fill color2="#0c233a [2882]" angle="348" colors="0 #457c94;6554f #457c94" focus="100%" type="gradient"/>
                        <v:textbox inset="54pt,54pt,1in,5in">
                          <w:txbxContent>
                            <w:p w14:paraId="2D45196C" w14:textId="6441569C" w:rsidR="00487B23" w:rsidRPr="009D4E9C" w:rsidRDefault="00487B23" w:rsidP="00487B23">
                              <w:pPr>
                                <w:spacing w:before="212"/>
                                <w:rPr>
                                  <w:rFonts w:asciiTheme="minorBidi" w:hAnsiTheme="minorBidi"/>
                                  <w:sz w:val="40"/>
                                  <w:szCs w:val="40"/>
                                </w:rPr>
                              </w:pPr>
                              <w:r w:rsidRPr="009D4E9C">
                                <w:rPr>
                                  <w:rFonts w:asciiTheme="minorBidi" w:hAnsiTheme="minorBidi"/>
                                  <w:b/>
                                  <w:bCs/>
                                  <w:sz w:val="40"/>
                                  <w:szCs w:val="40"/>
                                </w:rPr>
                                <w:t xml:space="preserve">Module Name: </w:t>
                              </w:r>
                              <w:r w:rsidR="00A8620F" w:rsidRPr="009D4E9C">
                                <w:rPr>
                                  <w:rFonts w:asciiTheme="minorBidi" w:hAnsiTheme="minorBidi"/>
                                  <w:sz w:val="40"/>
                                  <w:szCs w:val="40"/>
                                </w:rPr>
                                <w:t>Problem Solving and Innovation</w:t>
                              </w:r>
                            </w:p>
                            <w:p w14:paraId="4EED0DE3" w14:textId="737E66DA" w:rsidR="00487B23" w:rsidRPr="009D4E9C" w:rsidRDefault="00487B23" w:rsidP="00487B23">
                              <w:pPr>
                                <w:spacing w:before="212"/>
                                <w:rPr>
                                  <w:rFonts w:asciiTheme="minorBidi" w:hAnsiTheme="minorBidi"/>
                                  <w:b/>
                                  <w:bCs/>
                                  <w:sz w:val="40"/>
                                  <w:szCs w:val="40"/>
                                </w:rPr>
                              </w:pPr>
                              <w:r w:rsidRPr="009D4E9C">
                                <w:rPr>
                                  <w:rFonts w:asciiTheme="minorBidi" w:hAnsiTheme="minorBidi"/>
                                  <w:b/>
                                  <w:bCs/>
                                  <w:sz w:val="40"/>
                                  <w:szCs w:val="40"/>
                                </w:rPr>
                                <w:t xml:space="preserve">Module Code:  </w:t>
                              </w:r>
                              <w:r w:rsidRPr="009D4E9C">
                                <w:rPr>
                                  <w:rFonts w:asciiTheme="minorBidi" w:hAnsiTheme="minorBidi"/>
                                  <w:sz w:val="40"/>
                                  <w:szCs w:val="40"/>
                                </w:rPr>
                                <w:t>BMSW401</w:t>
                              </w:r>
                              <w:r w:rsidR="009D4E9C" w:rsidRPr="009D4E9C">
                                <w:rPr>
                                  <w:rFonts w:asciiTheme="minorBidi" w:hAnsiTheme="minorBidi"/>
                                  <w:sz w:val="40"/>
                                  <w:szCs w:val="40"/>
                                </w:rPr>
                                <w:t>4</w:t>
                              </w:r>
                            </w:p>
                            <w:p w14:paraId="773AAC81" w14:textId="65FBD5C8" w:rsidR="00487B23" w:rsidRPr="009D4E9C" w:rsidRDefault="00487B23" w:rsidP="00487B23">
                              <w:pPr>
                                <w:spacing w:before="212"/>
                                <w:rPr>
                                  <w:rFonts w:asciiTheme="minorBidi" w:hAnsiTheme="minorBidi"/>
                                  <w:sz w:val="40"/>
                                  <w:szCs w:val="40"/>
                                </w:rPr>
                              </w:pPr>
                              <w:r w:rsidRPr="009D4E9C">
                                <w:rPr>
                                  <w:rFonts w:asciiTheme="minorBidi" w:hAnsiTheme="minorBidi"/>
                                  <w:b/>
                                  <w:bCs/>
                                  <w:sz w:val="40"/>
                                  <w:szCs w:val="40"/>
                                </w:rPr>
                                <w:t xml:space="preserve">Assessment 2: </w:t>
                              </w:r>
                              <w:r w:rsidR="009D4E9C" w:rsidRPr="009D4E9C">
                                <w:rPr>
                                  <w:rFonts w:asciiTheme="minorBidi" w:hAnsiTheme="minorBidi"/>
                                  <w:sz w:val="40"/>
                                  <w:szCs w:val="40"/>
                                </w:rPr>
                                <w:t>Understanding the Business Environment of the Influencer industry</w:t>
                              </w:r>
                            </w:p>
                            <w:p w14:paraId="20F8D869" w14:textId="77777777" w:rsidR="00487B23" w:rsidRPr="009D4E9C" w:rsidRDefault="00487B23" w:rsidP="00487B23">
                              <w:pPr>
                                <w:spacing w:before="3"/>
                                <w:rPr>
                                  <w:rFonts w:asciiTheme="minorBidi" w:hAnsiTheme="minorBidi"/>
                                  <w:b/>
                                  <w:sz w:val="40"/>
                                  <w:szCs w:val="40"/>
                                </w:rPr>
                              </w:pPr>
                              <w:r w:rsidRPr="009D4E9C">
                                <w:rPr>
                                  <w:rFonts w:asciiTheme="minorBidi" w:hAnsiTheme="minorBidi"/>
                                  <w:b/>
                                  <w:sz w:val="40"/>
                                  <w:szCs w:val="40"/>
                                </w:rPr>
                                <w:t xml:space="preserve">Student Name: </w:t>
                              </w:r>
                              <w:r w:rsidRPr="009D4E9C">
                                <w:rPr>
                                  <w:rFonts w:asciiTheme="minorBidi" w:hAnsiTheme="minorBidi"/>
                                  <w:bCs/>
                                  <w:sz w:val="40"/>
                                  <w:szCs w:val="40"/>
                                </w:rPr>
                                <w:t>Miklos Mark Gal</w:t>
                              </w:r>
                            </w:p>
                            <w:p w14:paraId="4A743A83" w14:textId="62A5F953" w:rsidR="009D4E9C" w:rsidRPr="009D4E9C" w:rsidRDefault="00487B23" w:rsidP="00487B23">
                              <w:pPr>
                                <w:spacing w:before="3"/>
                                <w:rPr>
                                  <w:rFonts w:asciiTheme="minorBidi" w:hAnsiTheme="minorBidi"/>
                                  <w:bCs/>
                                  <w:sz w:val="40"/>
                                  <w:szCs w:val="40"/>
                                </w:rPr>
                              </w:pPr>
                              <w:r w:rsidRPr="009D4E9C">
                                <w:rPr>
                                  <w:rFonts w:asciiTheme="minorBidi" w:hAnsiTheme="minorBidi"/>
                                  <w:b/>
                                  <w:sz w:val="40"/>
                                  <w:szCs w:val="40"/>
                                </w:rPr>
                                <w:t xml:space="preserve">Student Number: </w:t>
                              </w:r>
                              <w:r w:rsidRPr="009D4E9C">
                                <w:rPr>
                                  <w:rFonts w:asciiTheme="minorBidi" w:hAnsiTheme="minorBidi"/>
                                  <w:bCs/>
                                  <w:sz w:val="40"/>
                                  <w:szCs w:val="40"/>
                                </w:rPr>
                                <w:t>2514520</w:t>
                              </w:r>
                            </w:p>
                            <w:p w14:paraId="7330A960" w14:textId="363052DF" w:rsidR="00487B23" w:rsidRPr="009D4E9C" w:rsidRDefault="00487B23" w:rsidP="00487B23">
                              <w:pPr>
                                <w:rPr>
                                  <w:rFonts w:asciiTheme="minorBidi" w:hAnsiTheme="minorBidi"/>
                                  <w:bCs/>
                                  <w:sz w:val="40"/>
                                  <w:szCs w:val="40"/>
                                </w:rPr>
                              </w:pPr>
                              <w:r w:rsidRPr="009D4E9C">
                                <w:rPr>
                                  <w:rFonts w:asciiTheme="minorBidi" w:hAnsiTheme="minorBidi"/>
                                  <w:b/>
                                  <w:sz w:val="40"/>
                                  <w:szCs w:val="40"/>
                                </w:rPr>
                                <w:t xml:space="preserve">Lecturer: </w:t>
                              </w:r>
                              <w:r w:rsidRPr="009D4E9C">
                                <w:rPr>
                                  <w:rFonts w:asciiTheme="minorBidi" w:hAnsiTheme="minorBidi"/>
                                  <w:bCs/>
                                  <w:sz w:val="40"/>
                                  <w:szCs w:val="40"/>
                                </w:rPr>
                                <w:t>Chris Wilkin</w:t>
                              </w:r>
                              <w:r w:rsidRPr="009D4E9C">
                                <w:rPr>
                                  <w:rFonts w:asciiTheme="minorBidi" w:hAnsiTheme="minorBidi"/>
                                  <w:b/>
                                  <w:sz w:val="40"/>
                                  <w:szCs w:val="40"/>
                                </w:rPr>
                                <w:br/>
                                <w:t xml:space="preserve">Deadline: </w:t>
                              </w:r>
                              <w:r w:rsidRPr="009D4E9C">
                                <w:rPr>
                                  <w:rFonts w:asciiTheme="minorBidi" w:hAnsiTheme="minorBidi"/>
                                  <w:bCs/>
                                  <w:sz w:val="40"/>
                                  <w:szCs w:val="40"/>
                                </w:rPr>
                                <w:t xml:space="preserve">Friday </w:t>
                              </w:r>
                              <w:r w:rsidR="007919D9">
                                <w:rPr>
                                  <w:rFonts w:asciiTheme="minorBidi" w:hAnsiTheme="minorBidi"/>
                                  <w:bCs/>
                                  <w:sz w:val="40"/>
                                  <w:szCs w:val="40"/>
                                </w:rPr>
                                <w:t>10</w:t>
                              </w:r>
                              <w:r w:rsidRPr="009D4E9C">
                                <w:rPr>
                                  <w:rFonts w:asciiTheme="minorBidi" w:hAnsiTheme="minorBidi"/>
                                  <w:bCs/>
                                  <w:sz w:val="40"/>
                                  <w:szCs w:val="40"/>
                                  <w:vertAlign w:val="superscript"/>
                                </w:rPr>
                                <w:t>th</w:t>
                              </w:r>
                              <w:r w:rsidRPr="009D4E9C">
                                <w:rPr>
                                  <w:rFonts w:asciiTheme="minorBidi" w:hAnsiTheme="minorBidi"/>
                                  <w:bCs/>
                                  <w:sz w:val="40"/>
                                  <w:szCs w:val="40"/>
                                </w:rPr>
                                <w:t xml:space="preserve"> July 2026  23:59PM</w:t>
                              </w:r>
                            </w:p>
                            <w:p w14:paraId="1C3B30ED" w14:textId="77777777" w:rsidR="00487B23" w:rsidRDefault="00487B23">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67360;width:68434;height:2435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7FA8368B" w14:textId="3AA91283" w:rsidR="00487B23" w:rsidRDefault="00487B23">
                            <w:pPr>
                              <w:pStyle w:val="NoSpacing"/>
                              <w:spacing w:before="120"/>
                              <w:rPr>
                                <w:color w:val="156082" w:themeColor="accent1"/>
                                <w:sz w:val="36"/>
                                <w:szCs w:val="36"/>
                              </w:rPr>
                            </w:pPr>
                          </w:p>
                        </w:txbxContent>
                      </v:textbox>
                    </v:shape>
                    <w10:wrap anchorx="page" anchory="page"/>
                  </v:group>
                </w:pict>
              </mc:Fallback>
            </mc:AlternateContent>
          </w:r>
        </w:p>
        <w:p w14:paraId="3283C2B8" w14:textId="36864270" w:rsidR="00487B23" w:rsidRDefault="00487B23">
          <w:pPr>
            <w:rPr>
              <w:rFonts w:ascii="Arial" w:hAnsi="Arial" w:cs="Arial"/>
              <w:lang w:val="en-US"/>
            </w:rPr>
          </w:pPr>
          <w:r>
            <w:rPr>
              <w:rFonts w:ascii="Arial" w:hAnsi="Arial" w:cs="Arial"/>
              <w:lang w:val="en-US"/>
            </w:rPr>
            <w:br w:type="page"/>
          </w:r>
        </w:p>
      </w:sdtContent>
    </w:sdt>
    <w:p w14:paraId="3F5678FE" w14:textId="77777777" w:rsidR="00487B23" w:rsidRDefault="00487B23" w:rsidP="00487B23">
      <w:pPr>
        <w:spacing w:line="360" w:lineRule="auto"/>
        <w:rPr>
          <w:rFonts w:ascii="Arial" w:hAnsi="Arial" w:cs="Arial"/>
          <w:lang w:val="en-US"/>
        </w:rPr>
      </w:pPr>
    </w:p>
    <w:sdt>
      <w:sdtPr>
        <w:rPr>
          <w:rFonts w:asciiTheme="minorHAnsi" w:eastAsiaTheme="minorHAnsi" w:hAnsiTheme="minorHAnsi" w:cstheme="minorBidi"/>
          <w:color w:val="auto"/>
          <w:kern w:val="2"/>
          <w:sz w:val="24"/>
          <w:szCs w:val="24"/>
          <w:lang w:val="en-GB"/>
          <w14:ligatures w14:val="standardContextual"/>
        </w:rPr>
        <w:id w:val="-1513986571"/>
        <w:docPartObj>
          <w:docPartGallery w:val="Table of Contents"/>
          <w:docPartUnique/>
        </w:docPartObj>
      </w:sdtPr>
      <w:sdtEndPr>
        <w:rPr>
          <w:b/>
          <w:bCs/>
          <w:noProof/>
        </w:rPr>
      </w:sdtEndPr>
      <w:sdtContent>
        <w:p w14:paraId="4B138EFE" w14:textId="02411C40" w:rsidR="00487B23" w:rsidRDefault="00107A56">
          <w:pPr>
            <w:pStyle w:val="TOCHeading"/>
          </w:pPr>
          <w:r>
            <w:t xml:space="preserve">Table of </w:t>
          </w:r>
          <w:r w:rsidR="00487B23">
            <w:t>Contents</w:t>
          </w:r>
        </w:p>
        <w:p w14:paraId="62C6FE8F" w14:textId="0336CCE6" w:rsidR="00EA7D45" w:rsidRPr="00E51190" w:rsidRDefault="00487B23">
          <w:pPr>
            <w:pStyle w:val="TOC1"/>
            <w:tabs>
              <w:tab w:val="right" w:leader="dot" w:pos="9016"/>
            </w:tabs>
            <w:rPr>
              <w:rFonts w:ascii="Arial" w:eastAsiaTheme="minorEastAsia" w:hAnsi="Arial" w:cs="Arial"/>
              <w:noProof/>
              <w:lang w:eastAsia="en-GB"/>
            </w:rPr>
          </w:pPr>
          <w:r w:rsidRPr="00E51190">
            <w:rPr>
              <w:rFonts w:ascii="Arial" w:hAnsi="Arial" w:cs="Arial"/>
            </w:rPr>
            <w:fldChar w:fldCharType="begin"/>
          </w:r>
          <w:r w:rsidRPr="00E51190">
            <w:rPr>
              <w:rFonts w:ascii="Arial" w:hAnsi="Arial" w:cs="Arial"/>
            </w:rPr>
            <w:instrText xml:space="preserve"> TOC \o "1-3" \h \z \u </w:instrText>
          </w:r>
          <w:r w:rsidRPr="00E51190">
            <w:rPr>
              <w:rFonts w:ascii="Arial" w:hAnsi="Arial" w:cs="Arial"/>
            </w:rPr>
            <w:fldChar w:fldCharType="separate"/>
          </w:r>
          <w:hyperlink w:anchor="_Toc234520239" w:history="1">
            <w:r w:rsidR="00EA7D45" w:rsidRPr="00E51190">
              <w:rPr>
                <w:rStyle w:val="Hyperlink"/>
                <w:rFonts w:ascii="Arial" w:hAnsi="Arial" w:cs="Arial"/>
                <w:noProof/>
                <w:lang w:val="en-US"/>
              </w:rPr>
              <w:t>Introduction</w:t>
            </w:r>
            <w:r w:rsidR="00EA7D45" w:rsidRPr="00E51190">
              <w:rPr>
                <w:rFonts w:ascii="Arial" w:hAnsi="Arial" w:cs="Arial"/>
                <w:noProof/>
                <w:webHidden/>
              </w:rPr>
              <w:tab/>
            </w:r>
            <w:r w:rsidR="00EA7D45" w:rsidRPr="00E51190">
              <w:rPr>
                <w:rFonts w:ascii="Arial" w:hAnsi="Arial" w:cs="Arial"/>
                <w:noProof/>
                <w:webHidden/>
              </w:rPr>
              <w:fldChar w:fldCharType="begin"/>
            </w:r>
            <w:r w:rsidR="00EA7D45" w:rsidRPr="00E51190">
              <w:rPr>
                <w:rFonts w:ascii="Arial" w:hAnsi="Arial" w:cs="Arial"/>
                <w:noProof/>
                <w:webHidden/>
              </w:rPr>
              <w:instrText xml:space="preserve"> PAGEREF _Toc234520239 \h </w:instrText>
            </w:r>
            <w:r w:rsidR="00EA7D45" w:rsidRPr="00E51190">
              <w:rPr>
                <w:rFonts w:ascii="Arial" w:hAnsi="Arial" w:cs="Arial"/>
                <w:noProof/>
                <w:webHidden/>
              </w:rPr>
            </w:r>
            <w:r w:rsidR="00EA7D45" w:rsidRPr="00E51190">
              <w:rPr>
                <w:rFonts w:ascii="Arial" w:hAnsi="Arial" w:cs="Arial"/>
                <w:noProof/>
                <w:webHidden/>
              </w:rPr>
              <w:fldChar w:fldCharType="separate"/>
            </w:r>
            <w:r w:rsidR="00EA7D45" w:rsidRPr="00E51190">
              <w:rPr>
                <w:rFonts w:ascii="Arial" w:hAnsi="Arial" w:cs="Arial"/>
                <w:noProof/>
                <w:webHidden/>
              </w:rPr>
              <w:t>2</w:t>
            </w:r>
            <w:r w:rsidR="00EA7D45" w:rsidRPr="00E51190">
              <w:rPr>
                <w:rFonts w:ascii="Arial" w:hAnsi="Arial" w:cs="Arial"/>
                <w:noProof/>
                <w:webHidden/>
              </w:rPr>
              <w:fldChar w:fldCharType="end"/>
            </w:r>
          </w:hyperlink>
        </w:p>
        <w:p w14:paraId="0720ABFD" w14:textId="2B5CE243" w:rsidR="00EA7D45" w:rsidRPr="00E51190" w:rsidRDefault="00EA7D45">
          <w:pPr>
            <w:pStyle w:val="TOC1"/>
            <w:tabs>
              <w:tab w:val="right" w:leader="dot" w:pos="9016"/>
            </w:tabs>
            <w:rPr>
              <w:rFonts w:ascii="Arial" w:eastAsiaTheme="minorEastAsia" w:hAnsi="Arial" w:cs="Arial"/>
              <w:noProof/>
              <w:lang w:eastAsia="en-GB"/>
            </w:rPr>
          </w:pPr>
          <w:hyperlink w:anchor="_Toc234520240" w:history="1">
            <w:r w:rsidRPr="00E51190">
              <w:rPr>
                <w:rStyle w:val="Hyperlink"/>
                <w:rFonts w:ascii="Arial" w:hAnsi="Arial" w:cs="Arial"/>
                <w:noProof/>
                <w:lang w:val="en-US"/>
              </w:rPr>
              <w:t>STEEPLE Analysis</w:t>
            </w:r>
            <w:r w:rsidRPr="00E51190">
              <w:rPr>
                <w:rFonts w:ascii="Arial" w:hAnsi="Arial" w:cs="Arial"/>
                <w:noProof/>
                <w:webHidden/>
              </w:rPr>
              <w:tab/>
            </w:r>
            <w:r w:rsidRPr="00E51190">
              <w:rPr>
                <w:rFonts w:ascii="Arial" w:hAnsi="Arial" w:cs="Arial"/>
                <w:noProof/>
                <w:webHidden/>
              </w:rPr>
              <w:fldChar w:fldCharType="begin"/>
            </w:r>
            <w:r w:rsidRPr="00E51190">
              <w:rPr>
                <w:rFonts w:ascii="Arial" w:hAnsi="Arial" w:cs="Arial"/>
                <w:noProof/>
                <w:webHidden/>
              </w:rPr>
              <w:instrText xml:space="preserve"> PAGEREF _Toc234520240 \h </w:instrText>
            </w:r>
            <w:r w:rsidRPr="00E51190">
              <w:rPr>
                <w:rFonts w:ascii="Arial" w:hAnsi="Arial" w:cs="Arial"/>
                <w:noProof/>
                <w:webHidden/>
              </w:rPr>
            </w:r>
            <w:r w:rsidRPr="00E51190">
              <w:rPr>
                <w:rFonts w:ascii="Arial" w:hAnsi="Arial" w:cs="Arial"/>
                <w:noProof/>
                <w:webHidden/>
              </w:rPr>
              <w:fldChar w:fldCharType="separate"/>
            </w:r>
            <w:r w:rsidRPr="00E51190">
              <w:rPr>
                <w:rFonts w:ascii="Arial" w:hAnsi="Arial" w:cs="Arial"/>
                <w:noProof/>
                <w:webHidden/>
              </w:rPr>
              <w:t>2</w:t>
            </w:r>
            <w:r w:rsidRPr="00E51190">
              <w:rPr>
                <w:rFonts w:ascii="Arial" w:hAnsi="Arial" w:cs="Arial"/>
                <w:noProof/>
                <w:webHidden/>
              </w:rPr>
              <w:fldChar w:fldCharType="end"/>
            </w:r>
          </w:hyperlink>
        </w:p>
        <w:p w14:paraId="0B72BBF1" w14:textId="12469BF1" w:rsidR="00EA7D45" w:rsidRPr="00E51190" w:rsidRDefault="00EA7D45">
          <w:pPr>
            <w:pStyle w:val="TOC1"/>
            <w:tabs>
              <w:tab w:val="right" w:leader="dot" w:pos="9016"/>
            </w:tabs>
            <w:rPr>
              <w:rFonts w:ascii="Arial" w:eastAsiaTheme="minorEastAsia" w:hAnsi="Arial" w:cs="Arial"/>
              <w:noProof/>
              <w:lang w:eastAsia="en-GB"/>
            </w:rPr>
          </w:pPr>
          <w:hyperlink w:anchor="_Toc234520241" w:history="1">
            <w:r w:rsidRPr="00E51190">
              <w:rPr>
                <w:rStyle w:val="Hyperlink"/>
                <w:rFonts w:ascii="Arial" w:hAnsi="Arial" w:cs="Arial"/>
                <w:noProof/>
                <w:lang w:val="en-US"/>
              </w:rPr>
              <w:t>SWOT Analysis</w:t>
            </w:r>
            <w:r w:rsidRPr="00E51190">
              <w:rPr>
                <w:rFonts w:ascii="Arial" w:hAnsi="Arial" w:cs="Arial"/>
                <w:noProof/>
                <w:webHidden/>
              </w:rPr>
              <w:tab/>
            </w:r>
            <w:r w:rsidRPr="00E51190">
              <w:rPr>
                <w:rFonts w:ascii="Arial" w:hAnsi="Arial" w:cs="Arial"/>
                <w:noProof/>
                <w:webHidden/>
              </w:rPr>
              <w:fldChar w:fldCharType="begin"/>
            </w:r>
            <w:r w:rsidRPr="00E51190">
              <w:rPr>
                <w:rFonts w:ascii="Arial" w:hAnsi="Arial" w:cs="Arial"/>
                <w:noProof/>
                <w:webHidden/>
              </w:rPr>
              <w:instrText xml:space="preserve"> PAGEREF _Toc234520241 \h </w:instrText>
            </w:r>
            <w:r w:rsidRPr="00E51190">
              <w:rPr>
                <w:rFonts w:ascii="Arial" w:hAnsi="Arial" w:cs="Arial"/>
                <w:noProof/>
                <w:webHidden/>
              </w:rPr>
            </w:r>
            <w:r w:rsidRPr="00E51190">
              <w:rPr>
                <w:rFonts w:ascii="Arial" w:hAnsi="Arial" w:cs="Arial"/>
                <w:noProof/>
                <w:webHidden/>
              </w:rPr>
              <w:fldChar w:fldCharType="separate"/>
            </w:r>
            <w:r w:rsidRPr="00E51190">
              <w:rPr>
                <w:rFonts w:ascii="Arial" w:hAnsi="Arial" w:cs="Arial"/>
                <w:noProof/>
                <w:webHidden/>
              </w:rPr>
              <w:t>4</w:t>
            </w:r>
            <w:r w:rsidRPr="00E51190">
              <w:rPr>
                <w:rFonts w:ascii="Arial" w:hAnsi="Arial" w:cs="Arial"/>
                <w:noProof/>
                <w:webHidden/>
              </w:rPr>
              <w:fldChar w:fldCharType="end"/>
            </w:r>
          </w:hyperlink>
        </w:p>
        <w:p w14:paraId="4BA0B46A" w14:textId="5AD3B106" w:rsidR="00EA7D45" w:rsidRPr="00E51190" w:rsidRDefault="00EA7D45">
          <w:pPr>
            <w:pStyle w:val="TOC1"/>
            <w:tabs>
              <w:tab w:val="right" w:leader="dot" w:pos="9016"/>
            </w:tabs>
            <w:rPr>
              <w:rFonts w:ascii="Arial" w:eastAsiaTheme="minorEastAsia" w:hAnsi="Arial" w:cs="Arial"/>
              <w:noProof/>
              <w:lang w:eastAsia="en-GB"/>
            </w:rPr>
          </w:pPr>
          <w:hyperlink w:anchor="_Toc234520242" w:history="1">
            <w:r w:rsidRPr="00E51190">
              <w:rPr>
                <w:rStyle w:val="Hyperlink"/>
                <w:rFonts w:ascii="Arial" w:hAnsi="Arial" w:cs="Arial"/>
                <w:noProof/>
                <w:lang w:val="en-US"/>
              </w:rPr>
              <w:t>Future Lens and DPSIR</w:t>
            </w:r>
            <w:r w:rsidRPr="00E51190">
              <w:rPr>
                <w:rFonts w:ascii="Arial" w:hAnsi="Arial" w:cs="Arial"/>
                <w:noProof/>
                <w:webHidden/>
              </w:rPr>
              <w:tab/>
            </w:r>
            <w:r w:rsidRPr="00E51190">
              <w:rPr>
                <w:rFonts w:ascii="Arial" w:hAnsi="Arial" w:cs="Arial"/>
                <w:noProof/>
                <w:webHidden/>
              </w:rPr>
              <w:fldChar w:fldCharType="begin"/>
            </w:r>
            <w:r w:rsidRPr="00E51190">
              <w:rPr>
                <w:rFonts w:ascii="Arial" w:hAnsi="Arial" w:cs="Arial"/>
                <w:noProof/>
                <w:webHidden/>
              </w:rPr>
              <w:instrText xml:space="preserve"> PAGEREF _Toc234520242 \h </w:instrText>
            </w:r>
            <w:r w:rsidRPr="00E51190">
              <w:rPr>
                <w:rFonts w:ascii="Arial" w:hAnsi="Arial" w:cs="Arial"/>
                <w:noProof/>
                <w:webHidden/>
              </w:rPr>
            </w:r>
            <w:r w:rsidRPr="00E51190">
              <w:rPr>
                <w:rFonts w:ascii="Arial" w:hAnsi="Arial" w:cs="Arial"/>
                <w:noProof/>
                <w:webHidden/>
              </w:rPr>
              <w:fldChar w:fldCharType="separate"/>
            </w:r>
            <w:r w:rsidRPr="00E51190">
              <w:rPr>
                <w:rFonts w:ascii="Arial" w:hAnsi="Arial" w:cs="Arial"/>
                <w:noProof/>
                <w:webHidden/>
              </w:rPr>
              <w:t>5</w:t>
            </w:r>
            <w:r w:rsidRPr="00E51190">
              <w:rPr>
                <w:rFonts w:ascii="Arial" w:hAnsi="Arial" w:cs="Arial"/>
                <w:noProof/>
                <w:webHidden/>
              </w:rPr>
              <w:fldChar w:fldCharType="end"/>
            </w:r>
          </w:hyperlink>
        </w:p>
        <w:p w14:paraId="6F361242" w14:textId="229D486C" w:rsidR="00EA7D45" w:rsidRPr="00E51190" w:rsidRDefault="00EA7D45">
          <w:pPr>
            <w:pStyle w:val="TOC1"/>
            <w:tabs>
              <w:tab w:val="right" w:leader="dot" w:pos="9016"/>
            </w:tabs>
            <w:rPr>
              <w:rFonts w:ascii="Arial" w:eastAsiaTheme="minorEastAsia" w:hAnsi="Arial" w:cs="Arial"/>
              <w:noProof/>
              <w:lang w:eastAsia="en-GB"/>
            </w:rPr>
          </w:pPr>
          <w:hyperlink w:anchor="_Toc234520243" w:history="1">
            <w:r w:rsidRPr="00E51190">
              <w:rPr>
                <w:rStyle w:val="Hyperlink"/>
                <w:rFonts w:ascii="Arial" w:hAnsi="Arial" w:cs="Arial"/>
                <w:noProof/>
                <w:lang w:val="en-US"/>
              </w:rPr>
              <w:t>Recommendations</w:t>
            </w:r>
            <w:r w:rsidRPr="00E51190">
              <w:rPr>
                <w:rFonts w:ascii="Arial" w:hAnsi="Arial" w:cs="Arial"/>
                <w:noProof/>
                <w:webHidden/>
              </w:rPr>
              <w:tab/>
            </w:r>
            <w:r w:rsidRPr="00E51190">
              <w:rPr>
                <w:rFonts w:ascii="Arial" w:hAnsi="Arial" w:cs="Arial"/>
                <w:noProof/>
                <w:webHidden/>
              </w:rPr>
              <w:fldChar w:fldCharType="begin"/>
            </w:r>
            <w:r w:rsidRPr="00E51190">
              <w:rPr>
                <w:rFonts w:ascii="Arial" w:hAnsi="Arial" w:cs="Arial"/>
                <w:noProof/>
                <w:webHidden/>
              </w:rPr>
              <w:instrText xml:space="preserve"> PAGEREF _Toc234520243 \h </w:instrText>
            </w:r>
            <w:r w:rsidRPr="00E51190">
              <w:rPr>
                <w:rFonts w:ascii="Arial" w:hAnsi="Arial" w:cs="Arial"/>
                <w:noProof/>
                <w:webHidden/>
              </w:rPr>
            </w:r>
            <w:r w:rsidRPr="00E51190">
              <w:rPr>
                <w:rFonts w:ascii="Arial" w:hAnsi="Arial" w:cs="Arial"/>
                <w:noProof/>
                <w:webHidden/>
              </w:rPr>
              <w:fldChar w:fldCharType="separate"/>
            </w:r>
            <w:r w:rsidRPr="00E51190">
              <w:rPr>
                <w:rFonts w:ascii="Arial" w:hAnsi="Arial" w:cs="Arial"/>
                <w:noProof/>
                <w:webHidden/>
              </w:rPr>
              <w:t>6</w:t>
            </w:r>
            <w:r w:rsidRPr="00E51190">
              <w:rPr>
                <w:rFonts w:ascii="Arial" w:hAnsi="Arial" w:cs="Arial"/>
                <w:noProof/>
                <w:webHidden/>
              </w:rPr>
              <w:fldChar w:fldCharType="end"/>
            </w:r>
          </w:hyperlink>
        </w:p>
        <w:p w14:paraId="08676052" w14:textId="436467F1" w:rsidR="00EA7D45" w:rsidRPr="00E51190" w:rsidRDefault="00EA7D45">
          <w:pPr>
            <w:pStyle w:val="TOC1"/>
            <w:tabs>
              <w:tab w:val="right" w:leader="dot" w:pos="9016"/>
            </w:tabs>
            <w:rPr>
              <w:rFonts w:ascii="Arial" w:eastAsiaTheme="minorEastAsia" w:hAnsi="Arial" w:cs="Arial"/>
              <w:noProof/>
              <w:lang w:eastAsia="en-GB"/>
            </w:rPr>
          </w:pPr>
          <w:hyperlink w:anchor="_Toc234520244" w:history="1">
            <w:r w:rsidRPr="00E51190">
              <w:rPr>
                <w:rStyle w:val="Hyperlink"/>
                <w:rFonts w:ascii="Arial" w:hAnsi="Arial" w:cs="Arial"/>
                <w:noProof/>
                <w:lang w:val="en-US"/>
              </w:rPr>
              <w:t>Conclusion</w:t>
            </w:r>
            <w:r w:rsidRPr="00E51190">
              <w:rPr>
                <w:rFonts w:ascii="Arial" w:hAnsi="Arial" w:cs="Arial"/>
                <w:noProof/>
                <w:webHidden/>
              </w:rPr>
              <w:tab/>
            </w:r>
            <w:r w:rsidRPr="00E51190">
              <w:rPr>
                <w:rFonts w:ascii="Arial" w:hAnsi="Arial" w:cs="Arial"/>
                <w:noProof/>
                <w:webHidden/>
              </w:rPr>
              <w:fldChar w:fldCharType="begin"/>
            </w:r>
            <w:r w:rsidRPr="00E51190">
              <w:rPr>
                <w:rFonts w:ascii="Arial" w:hAnsi="Arial" w:cs="Arial"/>
                <w:noProof/>
                <w:webHidden/>
              </w:rPr>
              <w:instrText xml:space="preserve"> PAGEREF _Toc234520244 \h </w:instrText>
            </w:r>
            <w:r w:rsidRPr="00E51190">
              <w:rPr>
                <w:rFonts w:ascii="Arial" w:hAnsi="Arial" w:cs="Arial"/>
                <w:noProof/>
                <w:webHidden/>
              </w:rPr>
            </w:r>
            <w:r w:rsidRPr="00E51190">
              <w:rPr>
                <w:rFonts w:ascii="Arial" w:hAnsi="Arial" w:cs="Arial"/>
                <w:noProof/>
                <w:webHidden/>
              </w:rPr>
              <w:fldChar w:fldCharType="separate"/>
            </w:r>
            <w:r w:rsidRPr="00E51190">
              <w:rPr>
                <w:rFonts w:ascii="Arial" w:hAnsi="Arial" w:cs="Arial"/>
                <w:noProof/>
                <w:webHidden/>
              </w:rPr>
              <w:t>7</w:t>
            </w:r>
            <w:r w:rsidRPr="00E51190">
              <w:rPr>
                <w:rFonts w:ascii="Arial" w:hAnsi="Arial" w:cs="Arial"/>
                <w:noProof/>
                <w:webHidden/>
              </w:rPr>
              <w:fldChar w:fldCharType="end"/>
            </w:r>
          </w:hyperlink>
        </w:p>
        <w:p w14:paraId="00E6E476" w14:textId="2460DD23" w:rsidR="00EA7D45" w:rsidRPr="00E51190" w:rsidRDefault="00EA7D45">
          <w:pPr>
            <w:pStyle w:val="TOC1"/>
            <w:tabs>
              <w:tab w:val="right" w:leader="dot" w:pos="9016"/>
            </w:tabs>
            <w:rPr>
              <w:rFonts w:ascii="Arial" w:eastAsiaTheme="minorEastAsia" w:hAnsi="Arial" w:cs="Arial"/>
              <w:noProof/>
              <w:lang w:eastAsia="en-GB"/>
            </w:rPr>
          </w:pPr>
          <w:hyperlink w:anchor="_Toc234520245" w:history="1">
            <w:r w:rsidRPr="00E51190">
              <w:rPr>
                <w:rStyle w:val="Hyperlink"/>
                <w:rFonts w:ascii="Arial" w:hAnsi="Arial" w:cs="Arial"/>
                <w:noProof/>
                <w:lang w:val="en-US"/>
              </w:rPr>
              <w:t>Reference List</w:t>
            </w:r>
            <w:r w:rsidRPr="00E51190">
              <w:rPr>
                <w:rFonts w:ascii="Arial" w:hAnsi="Arial" w:cs="Arial"/>
                <w:noProof/>
                <w:webHidden/>
              </w:rPr>
              <w:tab/>
            </w:r>
            <w:r w:rsidRPr="00E51190">
              <w:rPr>
                <w:rFonts w:ascii="Arial" w:hAnsi="Arial" w:cs="Arial"/>
                <w:noProof/>
                <w:webHidden/>
              </w:rPr>
              <w:fldChar w:fldCharType="begin"/>
            </w:r>
            <w:r w:rsidRPr="00E51190">
              <w:rPr>
                <w:rFonts w:ascii="Arial" w:hAnsi="Arial" w:cs="Arial"/>
                <w:noProof/>
                <w:webHidden/>
              </w:rPr>
              <w:instrText xml:space="preserve"> PAGEREF _Toc234520245 \h </w:instrText>
            </w:r>
            <w:r w:rsidRPr="00E51190">
              <w:rPr>
                <w:rFonts w:ascii="Arial" w:hAnsi="Arial" w:cs="Arial"/>
                <w:noProof/>
                <w:webHidden/>
              </w:rPr>
            </w:r>
            <w:r w:rsidRPr="00E51190">
              <w:rPr>
                <w:rFonts w:ascii="Arial" w:hAnsi="Arial" w:cs="Arial"/>
                <w:noProof/>
                <w:webHidden/>
              </w:rPr>
              <w:fldChar w:fldCharType="separate"/>
            </w:r>
            <w:r w:rsidRPr="00E51190">
              <w:rPr>
                <w:rFonts w:ascii="Arial" w:hAnsi="Arial" w:cs="Arial"/>
                <w:noProof/>
                <w:webHidden/>
              </w:rPr>
              <w:t>7</w:t>
            </w:r>
            <w:r w:rsidRPr="00E51190">
              <w:rPr>
                <w:rFonts w:ascii="Arial" w:hAnsi="Arial" w:cs="Arial"/>
                <w:noProof/>
                <w:webHidden/>
              </w:rPr>
              <w:fldChar w:fldCharType="end"/>
            </w:r>
          </w:hyperlink>
        </w:p>
        <w:p w14:paraId="486188CE" w14:textId="34D73EF6" w:rsidR="00487B23" w:rsidRDefault="00487B23">
          <w:r w:rsidRPr="00E51190">
            <w:rPr>
              <w:rFonts w:ascii="Arial" w:hAnsi="Arial" w:cs="Arial"/>
              <w:b/>
              <w:bCs/>
              <w:noProof/>
            </w:rPr>
            <w:fldChar w:fldCharType="end"/>
          </w:r>
        </w:p>
      </w:sdtContent>
    </w:sdt>
    <w:p w14:paraId="47399EBC" w14:textId="03D2539B" w:rsidR="00F0133B" w:rsidRPr="00F0133B" w:rsidRDefault="00F0133B" w:rsidP="00F0133B">
      <w:pPr>
        <w:rPr>
          <w:rFonts w:ascii="Arial" w:hAnsi="Arial" w:cs="Arial"/>
          <w:lang w:val="en-US"/>
        </w:rPr>
      </w:pPr>
      <w:bookmarkStart w:id="0" w:name="_Toc234520239"/>
      <w:r w:rsidRPr="00C86781">
        <w:rPr>
          <w:rFonts w:ascii="Arial" w:hAnsi="Arial" w:cs="Arial"/>
          <w:b/>
          <w:bCs/>
        </w:rPr>
        <w:t xml:space="preserve">AI Acknowledgement  </w:t>
      </w:r>
    </w:p>
    <w:p w14:paraId="088B5EF4" w14:textId="77777777" w:rsidR="00F0133B" w:rsidRPr="00C86781" w:rsidRDefault="00F0133B" w:rsidP="00F0133B">
      <w:pPr>
        <w:spacing w:line="360" w:lineRule="auto"/>
        <w:jc w:val="both"/>
        <w:rPr>
          <w:rFonts w:ascii="Arial" w:hAnsi="Arial" w:cs="Arial"/>
        </w:rPr>
      </w:pPr>
      <w:r w:rsidRPr="00C86781">
        <w:rPr>
          <w:rFonts w:ascii="Arial" w:hAnsi="Arial" w:cs="Arial"/>
        </w:rPr>
        <w:t xml:space="preserve">I confirm that I have not presented any AI generated materials as my own work. </w:t>
      </w:r>
    </w:p>
    <w:p w14:paraId="65C66325" w14:textId="77777777" w:rsidR="00F0133B" w:rsidRDefault="00F0133B" w:rsidP="00F0133B">
      <w:pPr>
        <w:spacing w:line="360" w:lineRule="auto"/>
        <w:jc w:val="both"/>
        <w:rPr>
          <w:rFonts w:ascii="Arial" w:hAnsi="Arial" w:cs="Arial"/>
        </w:rPr>
      </w:pPr>
      <w:r w:rsidRPr="00C86781">
        <w:rPr>
          <w:rFonts w:ascii="Arial" w:hAnsi="Arial" w:cs="Arial"/>
        </w:rPr>
        <w:t>I confirm that I have copies of my drafts, notes, and other resources I used, which I may be asked to provide in evidence.</w:t>
      </w:r>
    </w:p>
    <w:p w14:paraId="573FB5DC" w14:textId="4230AF75" w:rsidR="00F0133B" w:rsidRPr="00C86781" w:rsidRDefault="00F0133B" w:rsidP="00F0133B">
      <w:pPr>
        <w:rPr>
          <w:rFonts w:ascii="Arial" w:hAnsi="Arial" w:cs="Arial"/>
        </w:rPr>
      </w:pPr>
      <w:r>
        <w:rPr>
          <w:rFonts w:ascii="Arial" w:hAnsi="Arial" w:cs="Arial"/>
        </w:rPr>
        <w:br w:type="page"/>
      </w:r>
    </w:p>
    <w:p w14:paraId="714E895D" w14:textId="49E17156" w:rsidR="00487B23" w:rsidRPr="00487B23" w:rsidRDefault="00487B23" w:rsidP="00487B23">
      <w:pPr>
        <w:pStyle w:val="Heading1"/>
        <w:rPr>
          <w:rFonts w:ascii="Arial" w:hAnsi="Arial" w:cs="Arial"/>
          <w:lang w:val="en-US"/>
        </w:rPr>
      </w:pPr>
      <w:r w:rsidRPr="00487B23">
        <w:rPr>
          <w:rFonts w:ascii="Arial" w:hAnsi="Arial" w:cs="Arial"/>
          <w:lang w:val="en-US"/>
        </w:rPr>
        <w:lastRenderedPageBreak/>
        <w:t>Introduction</w:t>
      </w:r>
      <w:bookmarkEnd w:id="0"/>
    </w:p>
    <w:p w14:paraId="3614E8CD" w14:textId="61137D73" w:rsidR="002A5587" w:rsidRPr="009642C8" w:rsidRDefault="009642C8" w:rsidP="009642C8">
      <w:pPr>
        <w:spacing w:line="360" w:lineRule="auto"/>
        <w:rPr>
          <w:rFonts w:ascii="Arial" w:hAnsi="Arial" w:cs="Arial"/>
          <w:lang w:val="en-US"/>
        </w:rPr>
      </w:pPr>
      <w:r w:rsidRPr="009642C8">
        <w:rPr>
          <w:rFonts w:ascii="Arial" w:hAnsi="Arial" w:cs="Arial"/>
          <w:lang w:val="en-US"/>
        </w:rPr>
        <w:t>The creator economy has become a</w:t>
      </w:r>
      <w:r w:rsidR="00894EA9">
        <w:rPr>
          <w:rFonts w:ascii="Arial" w:hAnsi="Arial" w:cs="Arial"/>
          <w:lang w:val="en-US"/>
        </w:rPr>
        <w:t xml:space="preserve"> major</w:t>
      </w:r>
      <w:r w:rsidRPr="009642C8">
        <w:rPr>
          <w:rFonts w:ascii="Arial" w:hAnsi="Arial" w:cs="Arial"/>
          <w:lang w:val="en-US"/>
        </w:rPr>
        <w:t xml:space="preserve"> industry, but its growth is not as secure as it may seem. Creators on TikTok, YouTube and Instagram can turn attention into income through advertising, sponsorships, subscriptions and personal brands. This shows the scale of the industry, with DataReportal (2025) reporting 5.24 billion active social media user identities worldwide, while Goldman Sachs (2023) estimates that the creator economy could approach $480 billion by 2027. However, this growth also creates dependency. Creators do not control their visibility, income or reputation, as algorithms, platform rules, regulation, artificial intelligence and consumer trust can affect their opportunities. For this reason, this report uses STEEPLE, SWOT and DPSIR to examine the pressures shaping the influencer industry and what these pressures mean for creators and influencer-based businesses.</w:t>
      </w:r>
    </w:p>
    <w:p w14:paraId="060D6B5D" w14:textId="31B54634" w:rsidR="00921D72" w:rsidRPr="00487B23" w:rsidRDefault="00921D72" w:rsidP="00487B23">
      <w:pPr>
        <w:pStyle w:val="Heading1"/>
        <w:spacing w:line="360" w:lineRule="auto"/>
        <w:rPr>
          <w:rFonts w:ascii="Arial" w:hAnsi="Arial" w:cs="Arial"/>
          <w:lang w:val="en-US"/>
        </w:rPr>
      </w:pPr>
      <w:bookmarkStart w:id="1" w:name="_Toc234520240"/>
      <w:r w:rsidRPr="00487B23">
        <w:rPr>
          <w:rFonts w:ascii="Arial" w:hAnsi="Arial" w:cs="Arial"/>
          <w:lang w:val="en-US"/>
        </w:rPr>
        <w:t>STEEPLE Analysis</w:t>
      </w:r>
      <w:bookmarkEnd w:id="1"/>
    </w:p>
    <w:p w14:paraId="65E5915B" w14:textId="22332275" w:rsidR="00921D72" w:rsidRPr="00487B23" w:rsidRDefault="00921D72" w:rsidP="00487B23">
      <w:pPr>
        <w:spacing w:line="360" w:lineRule="auto"/>
        <w:rPr>
          <w:rFonts w:ascii="Arial" w:hAnsi="Arial" w:cs="Arial"/>
          <w:lang w:val="en-US"/>
        </w:rPr>
      </w:pPr>
      <w:r w:rsidRPr="00487B23">
        <w:rPr>
          <w:rFonts w:ascii="Arial" w:hAnsi="Arial" w:cs="Arial"/>
          <w:lang w:val="en-US"/>
        </w:rPr>
        <w:t>STEEPLE helps to show that the influencer industry is shaped by pressures outside the control of creators. CIPD (202</w:t>
      </w:r>
      <w:r w:rsidR="00EA7D45">
        <w:rPr>
          <w:rFonts w:ascii="Arial" w:hAnsi="Arial" w:cs="Arial"/>
          <w:lang w:val="en-US"/>
        </w:rPr>
        <w:t>4</w:t>
      </w:r>
      <w:r w:rsidRPr="00487B23">
        <w:rPr>
          <w:rFonts w:ascii="Arial" w:hAnsi="Arial" w:cs="Arial"/>
          <w:lang w:val="en-US"/>
        </w:rPr>
        <w:t xml:space="preserve">) </w:t>
      </w:r>
      <w:r w:rsidR="002D39B7" w:rsidRPr="00487B23">
        <w:rPr>
          <w:rFonts w:ascii="Arial" w:hAnsi="Arial" w:cs="Arial"/>
          <w:lang w:val="en-US"/>
        </w:rPr>
        <w:t>explains</w:t>
      </w:r>
      <w:r w:rsidRPr="00487B23">
        <w:rPr>
          <w:rFonts w:ascii="Arial" w:hAnsi="Arial" w:cs="Arial"/>
          <w:lang w:val="en-US"/>
        </w:rPr>
        <w:t xml:space="preserve"> PESTLE as a tool for analyzing the wider business environment. This is useful here because creators may present themselves as independent, but their income and visibility are still shaped by platforms, audiences, law and technology.</w:t>
      </w:r>
    </w:p>
    <w:p w14:paraId="0F346636" w14:textId="24442124" w:rsidR="00921D72" w:rsidRPr="00487B23" w:rsidRDefault="00921D72" w:rsidP="00487B23">
      <w:pPr>
        <w:spacing w:line="360" w:lineRule="auto"/>
        <w:rPr>
          <w:rFonts w:ascii="Arial" w:hAnsi="Arial" w:cs="Arial"/>
          <w:lang w:val="en-US"/>
        </w:rPr>
      </w:pPr>
      <w:r w:rsidRPr="00487B23">
        <w:rPr>
          <w:rFonts w:ascii="Arial" w:hAnsi="Arial" w:cs="Arial"/>
          <w:lang w:val="en-US"/>
        </w:rPr>
        <w:t>Social factors matter because influence depends on trust, not just follower numbers. Yuan and Lou (2020) argue that credibility and fairness help create parasocial relationships between influencers and followers. Mat Armstrong shows this well</w:t>
      </w:r>
      <w:r w:rsidR="009642C8">
        <w:rPr>
          <w:rFonts w:ascii="Arial" w:hAnsi="Arial" w:cs="Arial"/>
          <w:lang w:val="en-US"/>
        </w:rPr>
        <w:t xml:space="preserve"> (Armstrong, 2026)</w:t>
      </w:r>
      <w:r w:rsidRPr="00487B23">
        <w:rPr>
          <w:rFonts w:ascii="Arial" w:hAnsi="Arial" w:cs="Arial"/>
          <w:lang w:val="en-US"/>
        </w:rPr>
        <w:t>. His car-rebuilding videos work because viewers see the full process, including problems and repairs, so the content feels more honest than a simple advert. The weakness is that this trust is easy to damage. If a creator promotes too many products, the audience relationship can shift from loyalty to suspicion.</w:t>
      </w:r>
    </w:p>
    <w:p w14:paraId="431529AA" w14:textId="7C445D1B" w:rsidR="00921D72" w:rsidRPr="00487B23" w:rsidRDefault="00921D72" w:rsidP="00487B23">
      <w:pPr>
        <w:spacing w:line="360" w:lineRule="auto"/>
        <w:rPr>
          <w:rFonts w:ascii="Arial" w:hAnsi="Arial" w:cs="Arial"/>
          <w:lang w:val="en-US"/>
        </w:rPr>
      </w:pPr>
      <w:r w:rsidRPr="00487B23">
        <w:rPr>
          <w:rFonts w:ascii="Arial" w:hAnsi="Arial" w:cs="Arial"/>
          <w:lang w:val="en-US"/>
        </w:rPr>
        <w:t xml:space="preserve">Technological factors create reach, but dependency. YouTube, TikTok and Instagram give creators access to audiences without traditional media gatekeepers. Arun Maini, known as Mrwhosetheboss, uses this through technology reviews that can influence consumer </w:t>
      </w:r>
      <w:r w:rsidR="009642C8" w:rsidRPr="00487B23">
        <w:rPr>
          <w:rFonts w:ascii="Arial" w:hAnsi="Arial" w:cs="Arial"/>
          <w:lang w:val="en-US"/>
        </w:rPr>
        <w:t>choices</w:t>
      </w:r>
      <w:r w:rsidR="009642C8">
        <w:rPr>
          <w:rFonts w:ascii="Arial" w:hAnsi="Arial" w:cs="Arial"/>
          <w:lang w:val="en-US"/>
        </w:rPr>
        <w:t xml:space="preserve"> (Maini, 2026)</w:t>
      </w:r>
      <w:r w:rsidRPr="00487B23">
        <w:rPr>
          <w:rFonts w:ascii="Arial" w:hAnsi="Arial" w:cs="Arial"/>
          <w:lang w:val="en-US"/>
        </w:rPr>
        <w:t xml:space="preserve">. However, creators do not own algorithms that decide whether content is seen. A change in recommendation systems can reduce </w:t>
      </w:r>
      <w:r w:rsidRPr="00487B23">
        <w:rPr>
          <w:rFonts w:ascii="Arial" w:hAnsi="Arial" w:cs="Arial"/>
          <w:lang w:val="en-US"/>
        </w:rPr>
        <w:lastRenderedPageBreak/>
        <w:t>views and sponsorship value quickly. AI makes this more uncertain. Khalfallah and Keller (2025) argue that virtual influencers raise concerns about authenticity, transparency and consumer deception. Technology is useful, but it places part of the creator’s career in the hands of systems they cannot control.</w:t>
      </w:r>
    </w:p>
    <w:p w14:paraId="09EDDB23" w14:textId="555CE396" w:rsidR="00921D72" w:rsidRPr="00487B23" w:rsidRDefault="00921D72" w:rsidP="00487B23">
      <w:pPr>
        <w:spacing w:line="360" w:lineRule="auto"/>
        <w:rPr>
          <w:rFonts w:ascii="Arial" w:hAnsi="Arial" w:cs="Arial"/>
          <w:lang w:val="en-US"/>
        </w:rPr>
      </w:pPr>
      <w:r w:rsidRPr="00487B23">
        <w:rPr>
          <w:rFonts w:ascii="Arial" w:hAnsi="Arial" w:cs="Arial"/>
          <w:lang w:val="en-US"/>
        </w:rPr>
        <w:t>Economic factors show both opportunity and inequality. KSI is an example of a creator who has moved beyond YouTube into music, boxing, Sidemen and Prime</w:t>
      </w:r>
      <w:r w:rsidR="009642C8">
        <w:rPr>
          <w:rFonts w:ascii="Arial" w:hAnsi="Arial" w:cs="Arial"/>
          <w:lang w:val="en-US"/>
        </w:rPr>
        <w:t xml:space="preserve"> (Prime Hydration, 2026)</w:t>
      </w:r>
      <w:r w:rsidRPr="00487B23">
        <w:rPr>
          <w:rFonts w:ascii="Arial" w:hAnsi="Arial" w:cs="Arial"/>
          <w:lang w:val="en-US"/>
        </w:rPr>
        <w:t xml:space="preserve">. This shows how a personal brand can become a wider business. However, KSI is not a normal case. Influencer Marketing Hub (2025) reports that more creators are earning under $15,000 annually than in previous years, suggesting that many creators still struggle to turn attention into stable income. Smaller creators may look self-employed, but they are often dependent on sponsors, platform payments and changing </w:t>
      </w:r>
      <w:r w:rsidR="00487B23" w:rsidRPr="00487B23">
        <w:rPr>
          <w:rFonts w:ascii="Arial" w:hAnsi="Arial" w:cs="Arial"/>
          <w:lang w:val="en-US"/>
        </w:rPr>
        <w:t>monetization</w:t>
      </w:r>
      <w:r w:rsidRPr="00487B23">
        <w:rPr>
          <w:rFonts w:ascii="Arial" w:hAnsi="Arial" w:cs="Arial"/>
          <w:lang w:val="en-US"/>
        </w:rPr>
        <w:t xml:space="preserve"> rules.</w:t>
      </w:r>
    </w:p>
    <w:p w14:paraId="672B7881" w14:textId="09C23391" w:rsidR="00921D72" w:rsidRPr="00487B23" w:rsidRDefault="00921D72" w:rsidP="00487B23">
      <w:pPr>
        <w:spacing w:line="360" w:lineRule="auto"/>
        <w:rPr>
          <w:rFonts w:ascii="Arial" w:hAnsi="Arial" w:cs="Arial"/>
          <w:lang w:val="en-US"/>
        </w:rPr>
      </w:pPr>
      <w:r w:rsidRPr="00487B23">
        <w:rPr>
          <w:rFonts w:ascii="Arial" w:hAnsi="Arial" w:cs="Arial"/>
          <w:lang w:val="en-US"/>
        </w:rPr>
        <w:t>Environmental factors are indirect but still important. Influencer content often encourages consumption through hauls, product reviews, upgrades and limited editions. This is not only a fashion issue; technology content can normalize replacing devices often. The Global E-waste Monitor (2024) reported 62 million tons of e-waste in 2022. Mrwhosetheboss can help viewers compare products before buying, but wider creator culture still risks making constant consumption feel normal.</w:t>
      </w:r>
    </w:p>
    <w:p w14:paraId="5F9EDF74" w14:textId="3AB3EAB8" w:rsidR="00921D72" w:rsidRPr="00487B23" w:rsidRDefault="00921D72" w:rsidP="00487B23">
      <w:pPr>
        <w:spacing w:line="360" w:lineRule="auto"/>
        <w:rPr>
          <w:rFonts w:ascii="Arial" w:hAnsi="Arial" w:cs="Arial"/>
          <w:lang w:val="en-US"/>
        </w:rPr>
      </w:pPr>
      <w:r w:rsidRPr="00487B23">
        <w:rPr>
          <w:rFonts w:ascii="Arial" w:hAnsi="Arial" w:cs="Arial"/>
          <w:lang w:val="en-US"/>
        </w:rPr>
        <w:t>Political factors affect creators through decisions about platforms. The TikTok sale-or-ban debate in the United States shows that creators can lose audience access because of national security, data and ownership concerns, not because their content is poor. The US Supreme Court upheld the divestiture law on national security grounds (Supreme Court of the United States, 2025). This shows a major weakness: creators can build businesses on platforms they do not own.</w:t>
      </w:r>
    </w:p>
    <w:p w14:paraId="6F118351" w14:textId="6CEF5A8D" w:rsidR="002A5587" w:rsidRPr="00487B23" w:rsidRDefault="00921D72" w:rsidP="00487B23">
      <w:pPr>
        <w:spacing w:line="360" w:lineRule="auto"/>
        <w:rPr>
          <w:rFonts w:ascii="Arial" w:hAnsi="Arial" w:cs="Arial"/>
          <w:lang w:val="en-US"/>
        </w:rPr>
      </w:pPr>
      <w:r w:rsidRPr="00487B23">
        <w:rPr>
          <w:rFonts w:ascii="Arial" w:hAnsi="Arial" w:cs="Arial"/>
          <w:lang w:val="en-US"/>
        </w:rPr>
        <w:t>Legal factors are becoming more important as influencer marketing becomes more professional. In the UK, ASA/CAP rules require adverts to be clearly disclosed. The ASA (2025) report on Instagram and TikTok found that disclosure is improving, but influencers, brands, agencies and platforms still need to do more. For creators such as KSI or Mrwhosetheboss, poor disclosure is not only a legal issue. It can weaken the trust that makes their influence valuable.</w:t>
      </w:r>
    </w:p>
    <w:p w14:paraId="4E4D2F1E" w14:textId="40E62F67" w:rsidR="00E2658B" w:rsidRPr="00487B23" w:rsidRDefault="00E2658B" w:rsidP="00487B23">
      <w:pPr>
        <w:spacing w:line="360" w:lineRule="auto"/>
        <w:rPr>
          <w:rFonts w:ascii="Arial" w:hAnsi="Arial" w:cs="Arial"/>
          <w:lang w:val="en-US"/>
        </w:rPr>
      </w:pPr>
      <w:r w:rsidRPr="00487B23">
        <w:rPr>
          <w:rFonts w:ascii="Arial" w:hAnsi="Arial" w:cs="Arial"/>
          <w:lang w:val="en-US"/>
        </w:rPr>
        <w:t xml:space="preserve">Ethical factors are closely linked to trust. Keough (2019) argues that ethical decision-making matters because choices can create wider consequences. For creators, </w:t>
      </w:r>
      <w:r w:rsidRPr="00487B23">
        <w:rPr>
          <w:rFonts w:ascii="Arial" w:hAnsi="Arial" w:cs="Arial"/>
          <w:lang w:val="en-US"/>
        </w:rPr>
        <w:lastRenderedPageBreak/>
        <w:t>hidden advertising, AI-generated content and products aimed at young audiences can mislead followers, especially when recommendations look like personal opinions. Ethical problems therefore do not stay separate; they can quickly become reputational, legal and financial risks.</w:t>
      </w:r>
    </w:p>
    <w:p w14:paraId="570648D8" w14:textId="486B1E55" w:rsidR="00A25C24" w:rsidRDefault="00A25C24" w:rsidP="00487B23">
      <w:pPr>
        <w:spacing w:line="360" w:lineRule="auto"/>
        <w:rPr>
          <w:rFonts w:ascii="Arial" w:hAnsi="Arial" w:cs="Arial"/>
          <w:lang w:val="en-US"/>
        </w:rPr>
      </w:pPr>
      <w:r w:rsidRPr="00487B23">
        <w:rPr>
          <w:rFonts w:ascii="Arial" w:hAnsi="Arial" w:cs="Arial"/>
          <w:lang w:val="en-US"/>
        </w:rPr>
        <w:t>Overall, the STEEPLE factors are connected, not separate. Technology affects visibility, which then influences income, trust, legal disclosure and ethical responsibility. Political or legal changes can also become financial risks for creators who depend on platforms they do not own.</w:t>
      </w:r>
    </w:p>
    <w:p w14:paraId="180B0138" w14:textId="77777777" w:rsidR="00487B23" w:rsidRPr="00487B23" w:rsidRDefault="00487B23" w:rsidP="00487B23">
      <w:pPr>
        <w:spacing w:line="360" w:lineRule="auto"/>
        <w:rPr>
          <w:rFonts w:ascii="Arial" w:hAnsi="Arial" w:cs="Arial"/>
          <w:lang w:val="en-US"/>
        </w:rPr>
      </w:pPr>
    </w:p>
    <w:p w14:paraId="26D02FB9" w14:textId="5BD2668E" w:rsidR="00A06D7E" w:rsidRPr="00487B23" w:rsidRDefault="00A06D7E" w:rsidP="00487B23">
      <w:pPr>
        <w:pStyle w:val="Heading1"/>
        <w:spacing w:line="360" w:lineRule="auto"/>
        <w:rPr>
          <w:rFonts w:ascii="Arial" w:hAnsi="Arial" w:cs="Arial"/>
          <w:lang w:val="en-US"/>
        </w:rPr>
      </w:pPr>
      <w:bookmarkStart w:id="2" w:name="_Toc234520241"/>
      <w:r w:rsidRPr="00487B23">
        <w:rPr>
          <w:rFonts w:ascii="Arial" w:hAnsi="Arial" w:cs="Arial"/>
          <w:lang w:val="en-US"/>
        </w:rPr>
        <w:t>SWOT Analysis</w:t>
      </w:r>
      <w:bookmarkEnd w:id="2"/>
    </w:p>
    <w:p w14:paraId="035EDD47" w14:textId="5F301A96" w:rsidR="00F9517A" w:rsidRPr="00487B23" w:rsidRDefault="00F9517A" w:rsidP="00487B23">
      <w:pPr>
        <w:spacing w:line="360" w:lineRule="auto"/>
        <w:rPr>
          <w:rFonts w:ascii="Arial" w:hAnsi="Arial" w:cs="Arial"/>
          <w:lang w:val="en-US"/>
        </w:rPr>
      </w:pPr>
      <w:r w:rsidRPr="00487B23">
        <w:rPr>
          <w:rFonts w:ascii="Arial" w:hAnsi="Arial" w:cs="Arial"/>
          <w:lang w:val="en-US"/>
        </w:rPr>
        <w:t>SWOT is useful because it connects the internal position of the creator economy with the external pressures identified in the STEEPLE analysis. However, it should not just be used as a list of strengths and weaknesses. Helms and Nixon (2010) argue that SWOT is more useful when it supports strategic thinking and decision-making.</w:t>
      </w:r>
    </w:p>
    <w:p w14:paraId="7CEC340B" w14:textId="3815C7F8" w:rsidR="00F9517A" w:rsidRPr="00487B23" w:rsidRDefault="00F9517A" w:rsidP="00487B23">
      <w:pPr>
        <w:spacing w:line="360" w:lineRule="auto"/>
        <w:rPr>
          <w:rFonts w:ascii="Arial" w:hAnsi="Arial" w:cs="Arial"/>
          <w:lang w:val="en-US"/>
        </w:rPr>
      </w:pPr>
      <w:r w:rsidRPr="00487B23">
        <w:rPr>
          <w:rFonts w:ascii="Arial" w:hAnsi="Arial" w:cs="Arial"/>
          <w:lang w:val="en-US"/>
        </w:rPr>
        <w:t xml:space="preserve">One strength of the creator economy is the direct relationship creators can build with their audiences. Trust, personality and niche knowledge are difficult for traditional brands to copy. Barney (1991) argues that valuable and hard-to-imitate resources can create competitive advantage. This can be seen in Mat Armstrong’s YouTube content, where damaged cars are rebuilt step by step. Viewers see the problems, costs and results, which </w:t>
      </w:r>
      <w:r w:rsidR="00487B23" w:rsidRPr="00487B23">
        <w:rPr>
          <w:rFonts w:ascii="Arial" w:hAnsi="Arial" w:cs="Arial"/>
          <w:lang w:val="en-US"/>
        </w:rPr>
        <w:t>make</w:t>
      </w:r>
      <w:r w:rsidRPr="00487B23">
        <w:rPr>
          <w:rFonts w:ascii="Arial" w:hAnsi="Arial" w:cs="Arial"/>
          <w:lang w:val="en-US"/>
        </w:rPr>
        <w:t xml:space="preserve"> his practical knowledge part of his value. This links to the social factor in STEEPLE, where trust is central to influence.</w:t>
      </w:r>
    </w:p>
    <w:p w14:paraId="5EBE6577" w14:textId="64D68921" w:rsidR="00F9517A" w:rsidRPr="00487B23" w:rsidRDefault="00F9517A" w:rsidP="00487B23">
      <w:pPr>
        <w:spacing w:line="360" w:lineRule="auto"/>
        <w:rPr>
          <w:rFonts w:ascii="Arial" w:hAnsi="Arial" w:cs="Arial"/>
          <w:lang w:val="en-US"/>
        </w:rPr>
      </w:pPr>
      <w:r w:rsidRPr="00487B23">
        <w:rPr>
          <w:rFonts w:ascii="Arial" w:hAnsi="Arial" w:cs="Arial"/>
          <w:lang w:val="en-US"/>
        </w:rPr>
        <w:t>The main weakness is platform dependency. Creators may look independent, but their visibility is still controlled by platforms. Nieborg and Poell (2018) explain that cultural production is increasingly shaped by platform infrastructures. This links to the technological and political factors in STEEPLE, because algorithms, governance and even the legal status of platforms can change without creator control. If TikTok, YouTube or Instagram changes its rules, views, income and sponsorship value can fall quickly.</w:t>
      </w:r>
    </w:p>
    <w:p w14:paraId="52F83BCE" w14:textId="5378D40B" w:rsidR="00F9517A" w:rsidRPr="00487B23" w:rsidRDefault="00F9517A" w:rsidP="00487B23">
      <w:pPr>
        <w:spacing w:line="360" w:lineRule="auto"/>
        <w:rPr>
          <w:rFonts w:ascii="Arial" w:hAnsi="Arial" w:cs="Arial"/>
          <w:lang w:val="en-US"/>
        </w:rPr>
      </w:pPr>
      <w:r w:rsidRPr="00487B23">
        <w:rPr>
          <w:rFonts w:ascii="Arial" w:hAnsi="Arial" w:cs="Arial"/>
          <w:lang w:val="en-US"/>
        </w:rPr>
        <w:t xml:space="preserve">One opportunity is diversification. KSI shows this because his career has moved beyond YouTube into music, boxing, the Sidemen brand and products such as </w:t>
      </w:r>
      <w:r w:rsidRPr="00487B23">
        <w:rPr>
          <w:rFonts w:ascii="Arial" w:hAnsi="Arial" w:cs="Arial"/>
          <w:lang w:val="en-US"/>
        </w:rPr>
        <w:lastRenderedPageBreak/>
        <w:t>Prime. This links to the economic factor in STEEPLE, as creators can reduce income risk by building different revenue streams. However, this is easier for large creators than smaller ones.</w:t>
      </w:r>
    </w:p>
    <w:p w14:paraId="372D03DD" w14:textId="564C76E4" w:rsidR="00921D72" w:rsidRPr="00487B23" w:rsidRDefault="00F9517A" w:rsidP="00487B23">
      <w:pPr>
        <w:spacing w:line="360" w:lineRule="auto"/>
        <w:rPr>
          <w:rFonts w:ascii="Arial" w:hAnsi="Arial" w:cs="Arial"/>
          <w:lang w:val="en-US"/>
        </w:rPr>
      </w:pPr>
      <w:r w:rsidRPr="00487B23">
        <w:rPr>
          <w:rFonts w:ascii="Arial" w:hAnsi="Arial" w:cs="Arial"/>
          <w:lang w:val="en-US"/>
        </w:rPr>
        <w:t>A serious threat is loss of trust. This links to the social, legal and ethical factors in STEEPLE because unclear sponsorships, AI content or over-</w:t>
      </w:r>
      <w:r w:rsidR="00487B23" w:rsidRPr="00487B23">
        <w:rPr>
          <w:rFonts w:ascii="Arial" w:hAnsi="Arial" w:cs="Arial"/>
          <w:lang w:val="en-US"/>
        </w:rPr>
        <w:t>commercialization</w:t>
      </w:r>
      <w:r w:rsidRPr="00487B23">
        <w:rPr>
          <w:rFonts w:ascii="Arial" w:hAnsi="Arial" w:cs="Arial"/>
          <w:lang w:val="en-US"/>
        </w:rPr>
        <w:t xml:space="preserve"> can make audiences feel misled. Therefore, the creator economy has potential, but its future depends on creators protecting trust while reducing dependence on platforms.</w:t>
      </w:r>
    </w:p>
    <w:p w14:paraId="14965DE5" w14:textId="77777777" w:rsidR="00A25C24" w:rsidRPr="00487B23" w:rsidRDefault="00A25C24" w:rsidP="00487B23">
      <w:pPr>
        <w:spacing w:line="360" w:lineRule="auto"/>
        <w:rPr>
          <w:rFonts w:ascii="Arial" w:hAnsi="Arial" w:cs="Arial"/>
          <w:lang w:val="en-US"/>
        </w:rPr>
      </w:pPr>
    </w:p>
    <w:p w14:paraId="19C0F025" w14:textId="7DB675CE" w:rsidR="00B53553" w:rsidRPr="00487B23" w:rsidRDefault="00B53553" w:rsidP="00487B23">
      <w:pPr>
        <w:pStyle w:val="Heading1"/>
        <w:spacing w:line="360" w:lineRule="auto"/>
        <w:rPr>
          <w:rFonts w:ascii="Arial" w:hAnsi="Arial" w:cs="Arial"/>
          <w:lang w:val="en-US"/>
        </w:rPr>
      </w:pPr>
      <w:bookmarkStart w:id="3" w:name="_Toc234520242"/>
      <w:r w:rsidRPr="00487B23">
        <w:rPr>
          <w:rFonts w:ascii="Arial" w:hAnsi="Arial" w:cs="Arial"/>
          <w:lang w:val="en-US"/>
        </w:rPr>
        <w:t>Future Lens and DPSIR</w:t>
      </w:r>
      <w:bookmarkEnd w:id="3"/>
    </w:p>
    <w:p w14:paraId="624BE10A" w14:textId="3C210651" w:rsidR="00B53553" w:rsidRPr="00487B23" w:rsidRDefault="00B53553" w:rsidP="00487B23">
      <w:pPr>
        <w:spacing w:line="360" w:lineRule="auto"/>
        <w:rPr>
          <w:rFonts w:ascii="Arial" w:hAnsi="Arial" w:cs="Arial"/>
          <w:lang w:val="en-US"/>
        </w:rPr>
      </w:pPr>
      <w:r w:rsidRPr="00487B23">
        <w:rPr>
          <w:rFonts w:ascii="Arial" w:hAnsi="Arial" w:cs="Arial"/>
          <w:lang w:val="en-US"/>
        </w:rPr>
        <w:t xml:space="preserve">The future of the creator economy is unlikely to be just “more growth”. It is more likely to become more </w:t>
      </w:r>
      <w:r w:rsidR="00487B23" w:rsidRPr="00487B23">
        <w:rPr>
          <w:rFonts w:ascii="Arial" w:hAnsi="Arial" w:cs="Arial"/>
          <w:lang w:val="en-US"/>
        </w:rPr>
        <w:t>professionalized</w:t>
      </w:r>
      <w:r w:rsidRPr="00487B23">
        <w:rPr>
          <w:rFonts w:ascii="Arial" w:hAnsi="Arial" w:cs="Arial"/>
          <w:lang w:val="en-US"/>
        </w:rPr>
        <w:t xml:space="preserve">, more regulated and harder for average creators to survive in. Marchau et al. (2019) argue that future planning is difficult when systems face deep uncertainty, which fits an industry where platforms, AI tools and audience </w:t>
      </w:r>
      <w:r w:rsidR="00487B23" w:rsidRPr="00487B23">
        <w:rPr>
          <w:rFonts w:ascii="Arial" w:hAnsi="Arial" w:cs="Arial"/>
          <w:lang w:val="en-US"/>
        </w:rPr>
        <w:t>behavior</w:t>
      </w:r>
      <w:r w:rsidRPr="00487B23">
        <w:rPr>
          <w:rFonts w:ascii="Arial" w:hAnsi="Arial" w:cs="Arial"/>
          <w:lang w:val="en-US"/>
        </w:rPr>
        <w:t xml:space="preserve"> can change quickly.</w:t>
      </w:r>
    </w:p>
    <w:p w14:paraId="229DAD3C" w14:textId="59FC257E" w:rsidR="00B53553" w:rsidRPr="00487B23" w:rsidRDefault="00B53553" w:rsidP="00487B23">
      <w:pPr>
        <w:spacing w:line="360" w:lineRule="auto"/>
        <w:rPr>
          <w:rFonts w:ascii="Arial" w:hAnsi="Arial" w:cs="Arial"/>
          <w:lang w:val="en-US"/>
        </w:rPr>
      </w:pPr>
      <w:r w:rsidRPr="00487B23">
        <w:rPr>
          <w:rFonts w:ascii="Arial" w:hAnsi="Arial" w:cs="Arial"/>
          <w:lang w:val="en-US"/>
        </w:rPr>
        <w:t>Using DPSIR, the main drivers are brand demand for online attention, platform competition and generative AI. These drivers create pressures such as more content, cheaper production, AI influencers, weaker differentiation and higher expectations around transparency. The state of the industry is therefore mixed. Creators have more tools than before, but the market is crowded and visibility is still controlled by platforms.</w:t>
      </w:r>
    </w:p>
    <w:p w14:paraId="55B2DADB" w14:textId="39374B55" w:rsidR="00B53553" w:rsidRPr="00487B23" w:rsidRDefault="00B53553" w:rsidP="00487B23">
      <w:pPr>
        <w:spacing w:line="360" w:lineRule="auto"/>
        <w:rPr>
          <w:rFonts w:ascii="Arial" w:hAnsi="Arial" w:cs="Arial"/>
          <w:lang w:val="en-US"/>
        </w:rPr>
      </w:pPr>
      <w:r w:rsidRPr="00487B23">
        <w:rPr>
          <w:rFonts w:ascii="Arial" w:hAnsi="Arial" w:cs="Arial"/>
          <w:lang w:val="en-US"/>
        </w:rPr>
        <w:t>The impacts will not be equal. Large creators such as KSI can use their audience to build products, events and business partnerships, while smaller creators may find it harder to stand out. AI tools make production easier for everyone, not only skilled creators, so content volume may grow faster than audience attention. AI influencers are also likely to increase in advertising because brands can control them more easily than human creators. However, this creates a trust problem if audiences cannot clearly see what is real, edited or synthetic. The EU AI Act includes transparency obligations around marking and labelling AI-generated content, while the UK Online Safety Act gives platforms duties to reduce illegal content and protect users from online harm (European Commission, 2026; UK Government, 2025).</w:t>
      </w:r>
    </w:p>
    <w:p w14:paraId="1BDB0478" w14:textId="13A27A54" w:rsidR="00E2658B" w:rsidRDefault="00B53553" w:rsidP="00487B23">
      <w:pPr>
        <w:spacing w:line="360" w:lineRule="auto"/>
        <w:rPr>
          <w:rFonts w:ascii="Arial" w:hAnsi="Arial" w:cs="Arial"/>
          <w:lang w:val="en-US"/>
        </w:rPr>
      </w:pPr>
      <w:r w:rsidRPr="00487B23">
        <w:rPr>
          <w:rFonts w:ascii="Arial" w:hAnsi="Arial" w:cs="Arial"/>
          <w:lang w:val="en-US"/>
        </w:rPr>
        <w:lastRenderedPageBreak/>
        <w:t>The response cannot simply be</w:t>
      </w:r>
      <w:r w:rsidR="008C528D">
        <w:rPr>
          <w:rFonts w:ascii="Arial" w:hAnsi="Arial" w:cs="Arial"/>
          <w:lang w:val="en-US"/>
        </w:rPr>
        <w:t xml:space="preserve"> to</w:t>
      </w:r>
      <w:r w:rsidRPr="00487B23">
        <w:rPr>
          <w:rFonts w:ascii="Arial" w:hAnsi="Arial" w:cs="Arial"/>
          <w:lang w:val="en-US"/>
        </w:rPr>
        <w:t xml:space="preserve"> </w:t>
      </w:r>
      <w:r w:rsidR="00487B23" w:rsidRPr="00487B23">
        <w:rPr>
          <w:rFonts w:ascii="Arial" w:hAnsi="Arial" w:cs="Arial"/>
          <w:lang w:val="en-US"/>
        </w:rPr>
        <w:t>post</w:t>
      </w:r>
      <w:r w:rsidRPr="00487B23">
        <w:rPr>
          <w:rFonts w:ascii="Arial" w:hAnsi="Arial" w:cs="Arial"/>
          <w:lang w:val="en-US"/>
        </w:rPr>
        <w:t xml:space="preserve"> more often. Creators will need clearer disclosure, stronger niche positioning, owned income channels and careful use of AI. In practice, future success will depend less on one viral moment and more on staying trusted, visible and adaptable in a market that is crowded, regulated and harder to control.</w:t>
      </w:r>
    </w:p>
    <w:p w14:paraId="5674A1DC" w14:textId="77777777" w:rsidR="00487B23" w:rsidRPr="00487B23" w:rsidRDefault="00487B23" w:rsidP="00487B23">
      <w:pPr>
        <w:spacing w:line="360" w:lineRule="auto"/>
        <w:rPr>
          <w:rFonts w:ascii="Arial" w:hAnsi="Arial" w:cs="Arial"/>
          <w:lang w:val="en-US"/>
        </w:rPr>
      </w:pPr>
    </w:p>
    <w:p w14:paraId="5F3FA747" w14:textId="1951DFB0" w:rsidR="00487B23" w:rsidRPr="00487B23" w:rsidRDefault="00487B23" w:rsidP="00487B23">
      <w:pPr>
        <w:pStyle w:val="Heading1"/>
        <w:spacing w:line="360" w:lineRule="auto"/>
        <w:rPr>
          <w:rFonts w:ascii="Arial" w:hAnsi="Arial" w:cs="Arial"/>
          <w:lang w:val="en-US"/>
        </w:rPr>
      </w:pPr>
      <w:bookmarkStart w:id="4" w:name="_Toc234520243"/>
      <w:r w:rsidRPr="00487B23">
        <w:rPr>
          <w:rFonts w:ascii="Arial" w:hAnsi="Arial" w:cs="Arial"/>
          <w:lang w:val="en-US"/>
        </w:rPr>
        <w:t>Recommendations</w:t>
      </w:r>
      <w:bookmarkEnd w:id="4"/>
    </w:p>
    <w:p w14:paraId="53BC4FC4" w14:textId="74FF1450" w:rsidR="00487B23" w:rsidRPr="00487B23" w:rsidRDefault="00487B23" w:rsidP="00487B23">
      <w:pPr>
        <w:spacing w:line="360" w:lineRule="auto"/>
        <w:rPr>
          <w:rFonts w:ascii="Arial" w:hAnsi="Arial" w:cs="Arial"/>
          <w:lang w:val="en-US"/>
        </w:rPr>
      </w:pPr>
      <w:r w:rsidRPr="00487B23">
        <w:rPr>
          <w:rFonts w:ascii="Arial" w:hAnsi="Arial" w:cs="Arial"/>
          <w:lang w:val="en-US"/>
        </w:rPr>
        <w:t>First, creators should reduce platform dependency by building income channels they control. This could include email lists, websites, memberships, digital products, events or brand-owned communities, rather than relying only on TikTok, YouTube or Instagram. This responds to the technological and political risks in STEEPLE, because algorithms, platform governance and legal restrictions can change without creator control. It also addresses the SWOT weakness of platform dependency.</w:t>
      </w:r>
    </w:p>
    <w:p w14:paraId="76D9B334" w14:textId="410BD350" w:rsidR="00487B23" w:rsidRPr="00487B23" w:rsidRDefault="00487B23" w:rsidP="00487B23">
      <w:pPr>
        <w:spacing w:line="360" w:lineRule="auto"/>
        <w:rPr>
          <w:rFonts w:ascii="Arial" w:hAnsi="Arial" w:cs="Arial"/>
          <w:lang w:val="en-US"/>
        </w:rPr>
      </w:pPr>
      <w:r w:rsidRPr="00487B23">
        <w:rPr>
          <w:rFonts w:ascii="Arial" w:hAnsi="Arial" w:cs="Arial"/>
          <w:lang w:val="en-US"/>
        </w:rPr>
        <w:t>Second, creators and brands should treat transparency as a business strategy, not only a legal requirement. Paid partnerships, AI-generated content and edited promotional material should be clearly disclosed. This protects audience trust, one of the main assets in influencer marketing, and reduces legal and reputational risk as ASA/CAP rules and AI regulation become stricter.</w:t>
      </w:r>
    </w:p>
    <w:p w14:paraId="7EC26B88" w14:textId="1F79DE4C" w:rsidR="00107A56" w:rsidRDefault="00487B23" w:rsidP="00487B23">
      <w:pPr>
        <w:spacing w:line="360" w:lineRule="auto"/>
        <w:rPr>
          <w:rFonts w:ascii="Arial" w:hAnsi="Arial" w:cs="Arial"/>
          <w:lang w:val="en-US"/>
        </w:rPr>
      </w:pPr>
      <w:r w:rsidRPr="00487B23">
        <w:rPr>
          <w:rFonts w:ascii="Arial" w:hAnsi="Arial" w:cs="Arial"/>
          <w:lang w:val="en-US"/>
        </w:rPr>
        <w:t>Third, creators should focus on niche authority rather than general visibility. In a saturated market, trying to appeal to everyone makes creators easier to replace. Mat Armstrong and Mrwhosetheboss show that practical knowledge, clear audience value and consistency can be more sustainable than short-term viral content.</w:t>
      </w:r>
    </w:p>
    <w:p w14:paraId="59793386" w14:textId="77777777" w:rsidR="009642C8" w:rsidRPr="00487B23" w:rsidRDefault="009642C8" w:rsidP="00487B23">
      <w:pPr>
        <w:spacing w:line="360" w:lineRule="auto"/>
        <w:rPr>
          <w:rFonts w:ascii="Arial" w:hAnsi="Arial" w:cs="Arial"/>
          <w:lang w:val="en-US"/>
        </w:rPr>
      </w:pPr>
    </w:p>
    <w:p w14:paraId="0355EE86" w14:textId="78BB35CC" w:rsidR="00487B23" w:rsidRPr="00487B23" w:rsidRDefault="00487B23" w:rsidP="00487B23">
      <w:pPr>
        <w:pStyle w:val="Heading1"/>
        <w:spacing w:line="360" w:lineRule="auto"/>
        <w:rPr>
          <w:rFonts w:ascii="Arial" w:hAnsi="Arial" w:cs="Arial"/>
          <w:lang w:val="en-US"/>
        </w:rPr>
      </w:pPr>
      <w:bookmarkStart w:id="5" w:name="_Toc234520244"/>
      <w:r w:rsidRPr="00487B23">
        <w:rPr>
          <w:rFonts w:ascii="Arial" w:hAnsi="Arial" w:cs="Arial"/>
          <w:lang w:val="en-US"/>
        </w:rPr>
        <w:t>Conclusion</w:t>
      </w:r>
      <w:bookmarkEnd w:id="5"/>
    </w:p>
    <w:p w14:paraId="07D461A0" w14:textId="716727E3" w:rsidR="00F9517A" w:rsidRDefault="00487B23" w:rsidP="00487B23">
      <w:pPr>
        <w:spacing w:line="360" w:lineRule="auto"/>
        <w:rPr>
          <w:rFonts w:ascii="Arial" w:hAnsi="Arial" w:cs="Arial"/>
          <w:lang w:val="en-US"/>
        </w:rPr>
      </w:pPr>
      <w:r w:rsidRPr="00487B23">
        <w:rPr>
          <w:rFonts w:ascii="Arial" w:hAnsi="Arial" w:cs="Arial"/>
          <w:lang w:val="en-US"/>
        </w:rPr>
        <w:t>The creator economy is commercially attractive, but its stability is limited. The STEEPLE analysis showed that creators do not compete only</w:t>
      </w:r>
      <w:r w:rsidR="009642C8">
        <w:rPr>
          <w:rFonts w:ascii="Arial" w:hAnsi="Arial" w:cs="Arial"/>
          <w:lang w:val="en-US"/>
        </w:rPr>
        <w:t xml:space="preserve"> through</w:t>
      </w:r>
      <w:r w:rsidRPr="00487B23">
        <w:rPr>
          <w:rFonts w:ascii="Arial" w:hAnsi="Arial" w:cs="Arial"/>
          <w:lang w:val="en-US"/>
        </w:rPr>
        <w:t xml:space="preserve">, they are also shaped by algorithms, platform ownership, regulation, AI and audience trust. SWOT showed the same tension: niche creators such as Mat Armstrong can build loyalty, while creators such as KSI show the value of diversification. However, these </w:t>
      </w:r>
      <w:r w:rsidRPr="00487B23">
        <w:rPr>
          <w:rFonts w:ascii="Arial" w:hAnsi="Arial" w:cs="Arial"/>
          <w:lang w:val="en-US"/>
        </w:rPr>
        <w:lastRenderedPageBreak/>
        <w:t>advantages can weaken if platforms change or audiences feel misled. Future success will depend on creators building trust, income routes and assets they control.</w:t>
      </w:r>
    </w:p>
    <w:p w14:paraId="0E2AB214" w14:textId="77777777" w:rsidR="00107A56" w:rsidRDefault="00107A56" w:rsidP="00487B23">
      <w:pPr>
        <w:spacing w:line="360" w:lineRule="auto"/>
        <w:rPr>
          <w:rFonts w:ascii="Arial" w:hAnsi="Arial" w:cs="Arial"/>
          <w:lang w:val="en-US"/>
        </w:rPr>
      </w:pPr>
    </w:p>
    <w:p w14:paraId="0C9A8CC9" w14:textId="3E24E71A" w:rsidR="004340D1" w:rsidRDefault="004340D1" w:rsidP="004340D1">
      <w:pPr>
        <w:pStyle w:val="Heading1"/>
        <w:rPr>
          <w:lang w:val="en-US"/>
        </w:rPr>
      </w:pPr>
      <w:bookmarkStart w:id="6" w:name="_Toc234520245"/>
      <w:r>
        <w:rPr>
          <w:lang w:val="en-US"/>
        </w:rPr>
        <w:t>Reference List</w:t>
      </w:r>
      <w:bookmarkEnd w:id="6"/>
    </w:p>
    <w:p w14:paraId="62379787" w14:textId="3E53D76C" w:rsidR="00D67FD7" w:rsidRPr="002D39B7" w:rsidRDefault="00D67FD7" w:rsidP="002D39B7">
      <w:pPr>
        <w:spacing w:line="360" w:lineRule="auto"/>
        <w:rPr>
          <w:rFonts w:ascii="Arial" w:hAnsi="Arial" w:cs="Arial"/>
          <w:lang w:val="en-US"/>
        </w:rPr>
      </w:pPr>
      <w:r w:rsidRPr="002D39B7">
        <w:rPr>
          <w:rFonts w:ascii="Arial" w:hAnsi="Arial" w:cs="Arial"/>
          <w:lang w:val="en-US"/>
        </w:rPr>
        <w:t xml:space="preserve">Advertising Standards Authority (ASA) (2025) </w:t>
      </w:r>
      <w:r w:rsidRPr="002D39B7">
        <w:rPr>
          <w:rFonts w:ascii="Arial" w:hAnsi="Arial" w:cs="Arial"/>
          <w:i/>
          <w:iCs/>
          <w:lang w:val="en-US"/>
        </w:rPr>
        <w:t>Influencer ad disclosure on social media: Instagram and TikTok 2024</w:t>
      </w:r>
      <w:r w:rsidRPr="002D39B7">
        <w:rPr>
          <w:rFonts w:ascii="Arial" w:hAnsi="Arial" w:cs="Arial"/>
          <w:lang w:val="en-US"/>
        </w:rPr>
        <w:t xml:space="preserve">. Available at: </w:t>
      </w:r>
      <w:hyperlink r:id="rId7" w:history="1">
        <w:r w:rsidRPr="002D39B7">
          <w:rPr>
            <w:rStyle w:val="Hyperlink"/>
            <w:rFonts w:ascii="Arial" w:hAnsi="Arial" w:cs="Arial"/>
            <w:lang w:val="en-US"/>
          </w:rPr>
          <w:t>https://www.asa.org.uk/news/influencer-ad-disclosure-on-social-media-instagram-and-tiktok-report-2024.html</w:t>
        </w:r>
      </w:hyperlink>
      <w:r w:rsidRPr="002D39B7">
        <w:rPr>
          <w:rFonts w:ascii="Arial" w:hAnsi="Arial" w:cs="Arial"/>
          <w:lang w:val="en-US"/>
        </w:rPr>
        <w:t xml:space="preserve"> (Accessed: 7 July 2026).</w:t>
      </w:r>
    </w:p>
    <w:p w14:paraId="356A47CD" w14:textId="317C30F6" w:rsidR="00D67FD7" w:rsidRPr="002D39B7" w:rsidRDefault="00D67FD7" w:rsidP="002D39B7">
      <w:pPr>
        <w:spacing w:line="360" w:lineRule="auto"/>
        <w:rPr>
          <w:rFonts w:ascii="Arial" w:hAnsi="Arial" w:cs="Arial"/>
          <w:lang w:val="en-US"/>
        </w:rPr>
      </w:pPr>
      <w:r w:rsidRPr="002D39B7">
        <w:rPr>
          <w:rFonts w:ascii="Arial" w:hAnsi="Arial" w:cs="Arial"/>
          <w:lang w:val="en-US"/>
        </w:rPr>
        <w:t xml:space="preserve">Armstrong, M. (2026) </w:t>
      </w:r>
      <w:r w:rsidRPr="002D39B7">
        <w:rPr>
          <w:rFonts w:ascii="Arial" w:hAnsi="Arial" w:cs="Arial"/>
          <w:i/>
          <w:iCs/>
          <w:lang w:val="en-US"/>
        </w:rPr>
        <w:t>Mat Armstrong YouTube channel.</w:t>
      </w:r>
      <w:r w:rsidRPr="002D39B7">
        <w:rPr>
          <w:rFonts w:ascii="Arial" w:hAnsi="Arial" w:cs="Arial"/>
          <w:lang w:val="en-US"/>
        </w:rPr>
        <w:t xml:space="preserve"> Available at: </w:t>
      </w:r>
      <w:hyperlink r:id="rId8" w:history="1">
        <w:r w:rsidRPr="002D39B7">
          <w:rPr>
            <w:rStyle w:val="Hyperlink"/>
            <w:rFonts w:ascii="Arial" w:hAnsi="Arial" w:cs="Arial"/>
            <w:lang w:val="en-US"/>
          </w:rPr>
          <w:t>https://www.youtube.com/@MatArmstrongbmx</w:t>
        </w:r>
      </w:hyperlink>
      <w:r w:rsidRPr="002D39B7">
        <w:rPr>
          <w:rFonts w:ascii="Arial" w:hAnsi="Arial" w:cs="Arial"/>
          <w:lang w:val="en-US"/>
        </w:rPr>
        <w:t xml:space="preserve"> (Accessed: 6 July 2026).</w:t>
      </w:r>
    </w:p>
    <w:p w14:paraId="73B16750" w14:textId="1E660ADE" w:rsidR="00DF078E" w:rsidRPr="002D39B7" w:rsidRDefault="00DF078E" w:rsidP="002D39B7">
      <w:pPr>
        <w:spacing w:line="360" w:lineRule="auto"/>
        <w:rPr>
          <w:rFonts w:ascii="Arial" w:hAnsi="Arial" w:cs="Arial"/>
          <w:lang w:val="en-US"/>
        </w:rPr>
      </w:pPr>
      <w:r w:rsidRPr="002D39B7">
        <w:rPr>
          <w:rFonts w:ascii="Arial" w:hAnsi="Arial" w:cs="Arial"/>
        </w:rPr>
        <w:t>Barney, J. (1991) “Firm Resources and Sustained Competitive Advantage,” </w:t>
      </w:r>
      <w:r w:rsidRPr="002D39B7">
        <w:rPr>
          <w:rFonts w:ascii="Arial" w:hAnsi="Arial" w:cs="Arial"/>
          <w:i/>
          <w:iCs/>
        </w:rPr>
        <w:t>Journal of management</w:t>
      </w:r>
      <w:r w:rsidRPr="002D39B7">
        <w:rPr>
          <w:rFonts w:ascii="Arial" w:hAnsi="Arial" w:cs="Arial"/>
        </w:rPr>
        <w:t xml:space="preserve">, 17(1), pp. 99–120. Available at: </w:t>
      </w:r>
      <w:hyperlink r:id="rId9" w:history="1">
        <w:r w:rsidRPr="002D39B7">
          <w:rPr>
            <w:rStyle w:val="Hyperlink"/>
            <w:rFonts w:ascii="Arial" w:hAnsi="Arial" w:cs="Arial"/>
          </w:rPr>
          <w:t>https://doi.org/10.1177/014920639101700108</w:t>
        </w:r>
      </w:hyperlink>
      <w:r w:rsidRPr="002D39B7">
        <w:rPr>
          <w:rFonts w:ascii="Arial" w:hAnsi="Arial" w:cs="Arial"/>
        </w:rPr>
        <w:t xml:space="preserve"> </w:t>
      </w:r>
      <w:r w:rsidRPr="002D39B7">
        <w:rPr>
          <w:rFonts w:ascii="Arial" w:hAnsi="Arial" w:cs="Arial"/>
          <w:lang w:val="en-US"/>
        </w:rPr>
        <w:t>(Accessed: 6 July 2026).</w:t>
      </w:r>
    </w:p>
    <w:p w14:paraId="05332E92" w14:textId="753B0165" w:rsidR="00D67FD7" w:rsidRPr="002D39B7" w:rsidRDefault="00D67FD7" w:rsidP="002D39B7">
      <w:pPr>
        <w:spacing w:line="360" w:lineRule="auto"/>
        <w:rPr>
          <w:rFonts w:ascii="Arial" w:hAnsi="Arial" w:cs="Arial"/>
          <w:lang w:val="en-US"/>
        </w:rPr>
      </w:pPr>
      <w:r w:rsidRPr="002D39B7">
        <w:rPr>
          <w:rFonts w:ascii="Arial" w:hAnsi="Arial" w:cs="Arial"/>
          <w:lang w:val="en-US"/>
        </w:rPr>
        <w:t xml:space="preserve">CIPD (2024) </w:t>
      </w:r>
      <w:r w:rsidRPr="002D39B7">
        <w:rPr>
          <w:rFonts w:ascii="Arial" w:hAnsi="Arial" w:cs="Arial"/>
          <w:i/>
          <w:iCs/>
          <w:lang w:val="en-US"/>
        </w:rPr>
        <w:t>PESTLE analysis</w:t>
      </w:r>
      <w:r w:rsidRPr="002D39B7">
        <w:rPr>
          <w:rFonts w:ascii="Arial" w:hAnsi="Arial" w:cs="Arial"/>
          <w:lang w:val="en-US"/>
        </w:rPr>
        <w:t xml:space="preserve">. Available at: </w:t>
      </w:r>
      <w:hyperlink r:id="rId10" w:history="1">
        <w:r w:rsidRPr="002D39B7">
          <w:rPr>
            <w:rStyle w:val="Hyperlink"/>
            <w:rFonts w:ascii="Arial" w:hAnsi="Arial" w:cs="Arial"/>
            <w:lang w:val="en-US"/>
          </w:rPr>
          <w:t>https://www.cipd.org/uk/knowledge/factsheets/pestle-analysis-factsheet/</w:t>
        </w:r>
      </w:hyperlink>
      <w:r w:rsidRPr="002D39B7">
        <w:rPr>
          <w:rFonts w:ascii="Arial" w:hAnsi="Arial" w:cs="Arial"/>
          <w:lang w:val="en-US"/>
        </w:rPr>
        <w:t xml:space="preserve"> (Accessed: 6 July 2026).</w:t>
      </w:r>
    </w:p>
    <w:p w14:paraId="4B629DE1" w14:textId="20B7AAD9" w:rsidR="00D67FD7" w:rsidRPr="002D39B7" w:rsidRDefault="00D67FD7" w:rsidP="002D39B7">
      <w:pPr>
        <w:spacing w:line="360" w:lineRule="auto"/>
        <w:rPr>
          <w:rFonts w:ascii="Arial" w:hAnsi="Arial" w:cs="Arial"/>
          <w:lang w:val="en-US"/>
        </w:rPr>
      </w:pPr>
      <w:r w:rsidRPr="002D39B7">
        <w:rPr>
          <w:rFonts w:ascii="Arial" w:hAnsi="Arial" w:cs="Arial"/>
          <w:lang w:val="en-US"/>
        </w:rPr>
        <w:t xml:space="preserve">DataReportal (2025) </w:t>
      </w:r>
      <w:r w:rsidRPr="002D39B7">
        <w:rPr>
          <w:rFonts w:ascii="Arial" w:hAnsi="Arial" w:cs="Arial"/>
          <w:i/>
          <w:iCs/>
          <w:lang w:val="en-US"/>
        </w:rPr>
        <w:t>Digital 2025: Global Overview Report.</w:t>
      </w:r>
      <w:r w:rsidRPr="002D39B7">
        <w:rPr>
          <w:rFonts w:ascii="Arial" w:hAnsi="Arial" w:cs="Arial"/>
          <w:lang w:val="en-US"/>
        </w:rPr>
        <w:t xml:space="preserve"> Available at: </w:t>
      </w:r>
      <w:hyperlink r:id="rId11" w:history="1">
        <w:r w:rsidRPr="002D39B7">
          <w:rPr>
            <w:rStyle w:val="Hyperlink"/>
            <w:rFonts w:ascii="Arial" w:hAnsi="Arial" w:cs="Arial"/>
            <w:lang w:val="en-US"/>
          </w:rPr>
          <w:t>https://datareportal.com/reports/digital-2025-global-overview-report</w:t>
        </w:r>
      </w:hyperlink>
      <w:r w:rsidRPr="002D39B7">
        <w:rPr>
          <w:rFonts w:ascii="Arial" w:hAnsi="Arial" w:cs="Arial"/>
          <w:lang w:val="en-US"/>
        </w:rPr>
        <w:t xml:space="preserve"> (Accessed: 6 July 2026).</w:t>
      </w:r>
    </w:p>
    <w:p w14:paraId="0787DED1" w14:textId="41221AAD" w:rsidR="00D67FD7" w:rsidRPr="002D39B7" w:rsidRDefault="00D67FD7" w:rsidP="002D39B7">
      <w:pPr>
        <w:spacing w:line="360" w:lineRule="auto"/>
        <w:rPr>
          <w:rFonts w:ascii="Arial" w:hAnsi="Arial" w:cs="Arial"/>
          <w:lang w:val="en-US"/>
        </w:rPr>
      </w:pPr>
      <w:r w:rsidRPr="002D39B7">
        <w:rPr>
          <w:rFonts w:ascii="Arial" w:hAnsi="Arial" w:cs="Arial"/>
          <w:lang w:val="en-US"/>
        </w:rPr>
        <w:t xml:space="preserve">European Commission (2026) </w:t>
      </w:r>
      <w:r w:rsidRPr="002D39B7">
        <w:rPr>
          <w:rFonts w:ascii="Arial" w:hAnsi="Arial" w:cs="Arial"/>
          <w:i/>
          <w:iCs/>
          <w:lang w:val="en-US"/>
        </w:rPr>
        <w:t xml:space="preserve">Code of Practice on Transparency of AI-Generated Content. </w:t>
      </w:r>
      <w:r w:rsidRPr="002D39B7">
        <w:rPr>
          <w:rFonts w:ascii="Arial" w:hAnsi="Arial" w:cs="Arial"/>
          <w:lang w:val="en-US"/>
        </w:rPr>
        <w:t xml:space="preserve">Available at: </w:t>
      </w:r>
      <w:hyperlink r:id="rId12" w:history="1">
        <w:r w:rsidRPr="002D39B7">
          <w:rPr>
            <w:rStyle w:val="Hyperlink"/>
            <w:rFonts w:ascii="Arial" w:hAnsi="Arial" w:cs="Arial"/>
            <w:lang w:val="en-US"/>
          </w:rPr>
          <w:t>https://digital-strategy.ec.europa.eu/en/policies/code-practice-ai-generated-content</w:t>
        </w:r>
      </w:hyperlink>
      <w:r w:rsidRPr="002D39B7">
        <w:rPr>
          <w:rFonts w:ascii="Arial" w:hAnsi="Arial" w:cs="Arial"/>
          <w:lang w:val="en-US"/>
        </w:rPr>
        <w:t xml:space="preserve"> (Accessed: 7 July 2026).</w:t>
      </w:r>
    </w:p>
    <w:p w14:paraId="4B6A12D3" w14:textId="77777777" w:rsidR="009642C8" w:rsidRPr="002D39B7" w:rsidRDefault="00D67FD7" w:rsidP="002D39B7">
      <w:pPr>
        <w:spacing w:line="360" w:lineRule="auto"/>
        <w:rPr>
          <w:rFonts w:ascii="Arial" w:hAnsi="Arial" w:cs="Arial"/>
          <w:lang w:val="en-US"/>
        </w:rPr>
      </w:pPr>
      <w:r w:rsidRPr="002D39B7">
        <w:rPr>
          <w:rFonts w:ascii="Arial" w:hAnsi="Arial" w:cs="Arial"/>
          <w:lang w:val="en-US"/>
        </w:rPr>
        <w:t xml:space="preserve">Goldman Sachs (2023) </w:t>
      </w:r>
      <w:r w:rsidRPr="002D39B7">
        <w:rPr>
          <w:rFonts w:ascii="Arial" w:hAnsi="Arial" w:cs="Arial"/>
          <w:i/>
          <w:iCs/>
          <w:lang w:val="en-US"/>
        </w:rPr>
        <w:t>The creator economy could approach half-a-trillion dollars by 2027</w:t>
      </w:r>
      <w:r w:rsidRPr="002D39B7">
        <w:rPr>
          <w:rFonts w:ascii="Arial" w:hAnsi="Arial" w:cs="Arial"/>
          <w:lang w:val="en-US"/>
        </w:rPr>
        <w:t xml:space="preserve">. Available at: </w:t>
      </w:r>
      <w:hyperlink r:id="rId13" w:history="1">
        <w:r w:rsidRPr="002D39B7">
          <w:rPr>
            <w:rStyle w:val="Hyperlink"/>
            <w:rFonts w:ascii="Arial" w:hAnsi="Arial" w:cs="Arial"/>
            <w:lang w:val="en-US"/>
          </w:rPr>
          <w:t>https://www.goldmansachs.com/insights/articles/the-creator-economy-could-approach-half-a-trillion-dollars-by-2027</w:t>
        </w:r>
      </w:hyperlink>
      <w:r w:rsidRPr="002D39B7">
        <w:rPr>
          <w:rFonts w:ascii="Arial" w:hAnsi="Arial" w:cs="Arial"/>
          <w:lang w:val="en-US"/>
        </w:rPr>
        <w:t xml:space="preserve"> (Accessed: 7 July 2026).</w:t>
      </w:r>
    </w:p>
    <w:p w14:paraId="54273415" w14:textId="22B1A4B6" w:rsidR="002D39B7" w:rsidRPr="002D39B7" w:rsidRDefault="002D39B7" w:rsidP="002D39B7">
      <w:pPr>
        <w:spacing w:line="360" w:lineRule="auto"/>
        <w:rPr>
          <w:rFonts w:ascii="Arial" w:hAnsi="Arial" w:cs="Arial"/>
          <w:lang w:val="en-US"/>
        </w:rPr>
      </w:pPr>
      <w:r w:rsidRPr="002D39B7">
        <w:rPr>
          <w:rFonts w:ascii="Arial" w:hAnsi="Arial" w:cs="Arial"/>
        </w:rPr>
        <w:t>Helms, M.M. and Nixon, J. (2010) “Exploring SWOT analysis - where are we now?: A review of academic research from the last decade,” </w:t>
      </w:r>
      <w:r w:rsidRPr="002D39B7">
        <w:rPr>
          <w:rFonts w:ascii="Arial" w:hAnsi="Arial" w:cs="Arial"/>
          <w:i/>
          <w:iCs/>
        </w:rPr>
        <w:t xml:space="preserve">Journal of strategy and </w:t>
      </w:r>
      <w:r w:rsidRPr="002D39B7">
        <w:rPr>
          <w:rFonts w:ascii="Arial" w:hAnsi="Arial" w:cs="Arial"/>
          <w:i/>
          <w:iCs/>
        </w:rPr>
        <w:lastRenderedPageBreak/>
        <w:t>management</w:t>
      </w:r>
      <w:r w:rsidRPr="002D39B7">
        <w:rPr>
          <w:rFonts w:ascii="Arial" w:hAnsi="Arial" w:cs="Arial"/>
        </w:rPr>
        <w:t xml:space="preserve">, 3(3), p. 215. Available at: </w:t>
      </w:r>
      <w:hyperlink r:id="rId14" w:history="1">
        <w:r w:rsidRPr="002D39B7">
          <w:rPr>
            <w:rStyle w:val="Hyperlink"/>
            <w:rFonts w:ascii="Arial" w:hAnsi="Arial" w:cs="Arial"/>
          </w:rPr>
          <w:t>https://doi.org/10.1108/17554251011064837</w:t>
        </w:r>
      </w:hyperlink>
      <w:r w:rsidRPr="002D39B7">
        <w:rPr>
          <w:rFonts w:ascii="Arial" w:hAnsi="Arial" w:cs="Arial"/>
        </w:rPr>
        <w:t xml:space="preserve"> </w:t>
      </w:r>
      <w:r w:rsidRPr="002D39B7">
        <w:rPr>
          <w:rFonts w:ascii="Arial" w:hAnsi="Arial" w:cs="Arial"/>
          <w:lang w:val="en-US"/>
        </w:rPr>
        <w:t>(Accessed: 7 July 2026).</w:t>
      </w:r>
    </w:p>
    <w:p w14:paraId="1B6DC8E9" w14:textId="4D731CDD" w:rsidR="00D67FD7" w:rsidRPr="002D39B7" w:rsidRDefault="00D67FD7" w:rsidP="002D39B7">
      <w:pPr>
        <w:spacing w:line="360" w:lineRule="auto"/>
        <w:rPr>
          <w:rFonts w:ascii="Arial" w:hAnsi="Arial" w:cs="Arial"/>
          <w:lang w:val="en-US"/>
        </w:rPr>
      </w:pPr>
      <w:r w:rsidRPr="002D39B7">
        <w:rPr>
          <w:rFonts w:ascii="Arial" w:hAnsi="Arial" w:cs="Arial"/>
          <w:lang w:val="en-US"/>
        </w:rPr>
        <w:t xml:space="preserve">Influencer Marketing Hub (2025) </w:t>
      </w:r>
      <w:r w:rsidRPr="002D39B7">
        <w:rPr>
          <w:rFonts w:ascii="Arial" w:hAnsi="Arial" w:cs="Arial"/>
          <w:i/>
          <w:iCs/>
          <w:lang w:val="en-US"/>
        </w:rPr>
        <w:t>Creator Earnings Report 2025</w:t>
      </w:r>
      <w:r w:rsidRPr="002D39B7">
        <w:rPr>
          <w:rFonts w:ascii="Arial" w:hAnsi="Arial" w:cs="Arial"/>
          <w:lang w:val="en-US"/>
        </w:rPr>
        <w:t xml:space="preserve">. Available at: </w:t>
      </w:r>
      <w:hyperlink r:id="rId15" w:history="1">
        <w:r w:rsidRPr="002D39B7">
          <w:rPr>
            <w:rStyle w:val="Hyperlink"/>
            <w:rFonts w:ascii="Arial" w:hAnsi="Arial" w:cs="Arial"/>
            <w:lang w:val="en-US"/>
          </w:rPr>
          <w:t>https://influencermarketinghub.com/creator-earnings-report-2025/</w:t>
        </w:r>
      </w:hyperlink>
      <w:r w:rsidRPr="002D39B7">
        <w:rPr>
          <w:rFonts w:ascii="Arial" w:hAnsi="Arial" w:cs="Arial"/>
          <w:lang w:val="en-US"/>
        </w:rPr>
        <w:t xml:space="preserve">  (Accessed: 5 July 2026).</w:t>
      </w:r>
    </w:p>
    <w:p w14:paraId="5BA5F9AE" w14:textId="3B492EBD" w:rsidR="00D67FD7" w:rsidRPr="002D39B7" w:rsidRDefault="00D67FD7" w:rsidP="002D39B7">
      <w:pPr>
        <w:spacing w:line="360" w:lineRule="auto"/>
        <w:rPr>
          <w:rFonts w:ascii="Arial" w:hAnsi="Arial" w:cs="Arial"/>
          <w:lang w:val="en-US"/>
        </w:rPr>
      </w:pPr>
      <w:r w:rsidRPr="002D39B7">
        <w:rPr>
          <w:rFonts w:ascii="Arial" w:hAnsi="Arial" w:cs="Arial"/>
          <w:lang w:val="en-US"/>
        </w:rPr>
        <w:t xml:space="preserve">Keough, P.D. (2019) </w:t>
      </w:r>
      <w:r w:rsidRPr="002D39B7">
        <w:rPr>
          <w:rFonts w:ascii="Arial" w:hAnsi="Arial" w:cs="Arial"/>
          <w:i/>
          <w:iCs/>
          <w:lang w:val="en-US"/>
        </w:rPr>
        <w:t>Ethical Problem-Solving and Decision-Making for Positive and Conclusive Outcomes</w:t>
      </w:r>
      <w:r w:rsidRPr="002D39B7">
        <w:rPr>
          <w:rFonts w:ascii="Arial" w:hAnsi="Arial" w:cs="Arial"/>
          <w:lang w:val="en-US"/>
        </w:rPr>
        <w:t>. Hershey, PA: IGI Global.</w:t>
      </w:r>
    </w:p>
    <w:p w14:paraId="083813DA" w14:textId="0192E19B" w:rsidR="00D67FD7" w:rsidRPr="002D39B7" w:rsidRDefault="00D67FD7" w:rsidP="002D39B7">
      <w:pPr>
        <w:spacing w:line="360" w:lineRule="auto"/>
        <w:rPr>
          <w:rFonts w:ascii="Arial" w:hAnsi="Arial" w:cs="Arial"/>
          <w:lang w:val="en-US"/>
        </w:rPr>
      </w:pPr>
      <w:r w:rsidRPr="002D39B7">
        <w:rPr>
          <w:rFonts w:ascii="Arial" w:hAnsi="Arial" w:cs="Arial"/>
          <w:lang w:val="en-US"/>
        </w:rPr>
        <w:t xml:space="preserve">Khalfallah, D. and Keller, V. (2025) ‘Authenticity, ethics, and transparency in virtual influencer marketing: A cross-cultural analysis of consumer trust and engagement: A systematic literature review’, </w:t>
      </w:r>
      <w:r w:rsidRPr="002D39B7">
        <w:rPr>
          <w:rFonts w:ascii="Arial" w:hAnsi="Arial" w:cs="Arial"/>
          <w:i/>
          <w:iCs/>
          <w:lang w:val="en-US"/>
        </w:rPr>
        <w:t>Acta Psychologica</w:t>
      </w:r>
      <w:r w:rsidRPr="002D39B7">
        <w:rPr>
          <w:rFonts w:ascii="Arial" w:hAnsi="Arial" w:cs="Arial"/>
          <w:lang w:val="en-US"/>
        </w:rPr>
        <w:t xml:space="preserve">, 260, Article 105573. Available at: </w:t>
      </w:r>
      <w:hyperlink r:id="rId16" w:history="1">
        <w:r w:rsidRPr="002D39B7">
          <w:rPr>
            <w:rStyle w:val="Hyperlink"/>
            <w:rFonts w:ascii="Arial" w:hAnsi="Arial" w:cs="Arial"/>
            <w:lang w:val="en-US"/>
          </w:rPr>
          <w:t>https://www.sciencedirect.com/science/article/pii/S0001691825008868</w:t>
        </w:r>
      </w:hyperlink>
      <w:r w:rsidRPr="002D39B7">
        <w:rPr>
          <w:rFonts w:ascii="Arial" w:hAnsi="Arial" w:cs="Arial"/>
          <w:lang w:val="en-US"/>
        </w:rPr>
        <w:t xml:space="preserve"> (Accessed: 8 July 2026).</w:t>
      </w:r>
    </w:p>
    <w:p w14:paraId="3B9B6091" w14:textId="7AE59BB8" w:rsidR="00D67FD7" w:rsidRPr="002D39B7" w:rsidRDefault="00D67FD7" w:rsidP="002D39B7">
      <w:pPr>
        <w:spacing w:line="360" w:lineRule="auto"/>
        <w:rPr>
          <w:rFonts w:ascii="Arial" w:hAnsi="Arial" w:cs="Arial"/>
          <w:lang w:val="en-US"/>
        </w:rPr>
      </w:pPr>
      <w:r w:rsidRPr="002D39B7">
        <w:rPr>
          <w:rFonts w:ascii="Arial" w:hAnsi="Arial" w:cs="Arial"/>
          <w:lang w:val="en-US"/>
        </w:rPr>
        <w:t xml:space="preserve">Maini, A. (2026) </w:t>
      </w:r>
      <w:r w:rsidRPr="002D39B7">
        <w:rPr>
          <w:rFonts w:ascii="Arial" w:hAnsi="Arial" w:cs="Arial"/>
          <w:i/>
          <w:iCs/>
          <w:lang w:val="en-US"/>
        </w:rPr>
        <w:t>Mrwhosetheboss YouTube channel</w:t>
      </w:r>
      <w:r w:rsidRPr="002D39B7">
        <w:rPr>
          <w:rFonts w:ascii="Arial" w:hAnsi="Arial" w:cs="Arial"/>
          <w:lang w:val="en-US"/>
        </w:rPr>
        <w:t xml:space="preserve">. Available at: </w:t>
      </w:r>
      <w:hyperlink r:id="rId17" w:history="1">
        <w:r w:rsidRPr="002D39B7">
          <w:rPr>
            <w:rStyle w:val="Hyperlink"/>
            <w:rFonts w:ascii="Arial" w:hAnsi="Arial" w:cs="Arial"/>
            <w:lang w:val="en-US"/>
          </w:rPr>
          <w:t>https://www.youtube.com/channel/UCMiJRAwDNSNzuYeN2uWa0pA</w:t>
        </w:r>
      </w:hyperlink>
      <w:r w:rsidRPr="002D39B7">
        <w:rPr>
          <w:rFonts w:ascii="Arial" w:hAnsi="Arial" w:cs="Arial"/>
          <w:lang w:val="en-US"/>
        </w:rPr>
        <w:t xml:space="preserve">  (Accessed: 5 July 2026).</w:t>
      </w:r>
    </w:p>
    <w:p w14:paraId="411A851A" w14:textId="578B3A21" w:rsidR="002D39B7" w:rsidRPr="002D39B7" w:rsidRDefault="002D39B7" w:rsidP="002D39B7">
      <w:pPr>
        <w:spacing w:line="360" w:lineRule="auto"/>
        <w:rPr>
          <w:rFonts w:ascii="Arial" w:hAnsi="Arial" w:cs="Arial"/>
          <w:lang w:val="en-US"/>
        </w:rPr>
      </w:pPr>
      <w:r w:rsidRPr="002D39B7">
        <w:rPr>
          <w:rFonts w:ascii="Arial" w:hAnsi="Arial" w:cs="Arial"/>
        </w:rPr>
        <w:t>Marchau, V.A.W.J. (2019) </w:t>
      </w:r>
      <w:r w:rsidRPr="002D39B7">
        <w:rPr>
          <w:rFonts w:ascii="Arial" w:hAnsi="Arial" w:cs="Arial"/>
          <w:i/>
          <w:iCs/>
        </w:rPr>
        <w:t>Decision Making under Deep Uncertainty : From Theory to Practice</w:t>
      </w:r>
      <w:r w:rsidRPr="002D39B7">
        <w:rPr>
          <w:rFonts w:ascii="Arial" w:hAnsi="Arial" w:cs="Arial"/>
        </w:rPr>
        <w:t xml:space="preserve">. 1st ed. 2019. Edited by V.A.W.J. Marchau et al. Cham: Springer Nature. Available at: </w:t>
      </w:r>
      <w:hyperlink r:id="rId18" w:history="1">
        <w:r w:rsidRPr="002D39B7">
          <w:rPr>
            <w:rStyle w:val="Hyperlink"/>
            <w:rFonts w:ascii="Arial" w:hAnsi="Arial" w:cs="Arial"/>
          </w:rPr>
          <w:t>https://doi.org/10.1007/978-3-030-05252-2</w:t>
        </w:r>
      </w:hyperlink>
      <w:r w:rsidRPr="002D39B7">
        <w:rPr>
          <w:rFonts w:ascii="Arial" w:hAnsi="Arial" w:cs="Arial"/>
        </w:rPr>
        <w:t xml:space="preserve"> </w:t>
      </w:r>
      <w:r w:rsidRPr="002D39B7">
        <w:rPr>
          <w:rFonts w:ascii="Arial" w:hAnsi="Arial" w:cs="Arial"/>
          <w:lang w:val="en-US"/>
        </w:rPr>
        <w:t>(Accessed: 5 July 2026).</w:t>
      </w:r>
    </w:p>
    <w:p w14:paraId="2114EFAC" w14:textId="3B3B5BB9" w:rsidR="002D39B7" w:rsidRPr="002D39B7" w:rsidRDefault="002D39B7" w:rsidP="002D39B7">
      <w:pPr>
        <w:spacing w:line="360" w:lineRule="auto"/>
        <w:rPr>
          <w:rFonts w:ascii="Arial" w:hAnsi="Arial" w:cs="Arial"/>
          <w:lang w:val="en-US"/>
        </w:rPr>
      </w:pPr>
      <w:r w:rsidRPr="002D39B7">
        <w:rPr>
          <w:rFonts w:ascii="Arial" w:hAnsi="Arial" w:cs="Arial"/>
        </w:rPr>
        <w:t>Nieborg, D.B. and Poell, T. (2018) “The platformization of cultural production: Theorizing the contingent cultural commodity,” </w:t>
      </w:r>
      <w:r w:rsidRPr="002D39B7">
        <w:rPr>
          <w:rFonts w:ascii="Arial" w:hAnsi="Arial" w:cs="Arial"/>
          <w:i/>
          <w:iCs/>
        </w:rPr>
        <w:t>New media &amp; society</w:t>
      </w:r>
      <w:r w:rsidRPr="002D39B7">
        <w:rPr>
          <w:rFonts w:ascii="Arial" w:hAnsi="Arial" w:cs="Arial"/>
        </w:rPr>
        <w:t xml:space="preserve">, 20(11), pp. 4275–4292. Available at: </w:t>
      </w:r>
      <w:hyperlink r:id="rId19" w:history="1">
        <w:r w:rsidRPr="002D39B7">
          <w:rPr>
            <w:rStyle w:val="Hyperlink"/>
            <w:rFonts w:ascii="Arial" w:hAnsi="Arial" w:cs="Arial"/>
          </w:rPr>
          <w:t>https://doi.org/10.1177/1461444818769694</w:t>
        </w:r>
      </w:hyperlink>
      <w:r w:rsidRPr="002D39B7">
        <w:rPr>
          <w:rFonts w:ascii="Arial" w:hAnsi="Arial" w:cs="Arial"/>
        </w:rPr>
        <w:t xml:space="preserve"> </w:t>
      </w:r>
      <w:r w:rsidRPr="002D39B7">
        <w:rPr>
          <w:rFonts w:ascii="Arial" w:hAnsi="Arial" w:cs="Arial"/>
          <w:lang w:val="en-US"/>
        </w:rPr>
        <w:t>(Accessed: 7 July 2026).</w:t>
      </w:r>
    </w:p>
    <w:p w14:paraId="4880E7C3" w14:textId="508D672E" w:rsidR="00D67FD7" w:rsidRPr="002D39B7" w:rsidRDefault="00D67FD7" w:rsidP="002D39B7">
      <w:pPr>
        <w:spacing w:line="360" w:lineRule="auto"/>
        <w:rPr>
          <w:rFonts w:ascii="Arial" w:hAnsi="Arial" w:cs="Arial"/>
          <w:lang w:val="en-US"/>
        </w:rPr>
      </w:pPr>
      <w:r w:rsidRPr="002D39B7">
        <w:rPr>
          <w:rFonts w:ascii="Arial" w:hAnsi="Arial" w:cs="Arial"/>
          <w:lang w:val="en-US"/>
        </w:rPr>
        <w:t xml:space="preserve">Prime Hydration (2026) </w:t>
      </w:r>
      <w:r w:rsidRPr="002D39B7">
        <w:rPr>
          <w:rFonts w:ascii="Arial" w:hAnsi="Arial" w:cs="Arial"/>
          <w:i/>
          <w:iCs/>
          <w:lang w:val="en-US"/>
        </w:rPr>
        <w:t>PRIME by Logan Paul x KSI</w:t>
      </w:r>
      <w:r w:rsidRPr="002D39B7">
        <w:rPr>
          <w:rFonts w:ascii="Arial" w:hAnsi="Arial" w:cs="Arial"/>
          <w:lang w:val="en-US"/>
        </w:rPr>
        <w:t xml:space="preserve">. Available at: </w:t>
      </w:r>
      <w:hyperlink r:id="rId20" w:history="1">
        <w:r w:rsidRPr="002D39B7">
          <w:rPr>
            <w:rStyle w:val="Hyperlink"/>
            <w:rFonts w:ascii="Arial" w:hAnsi="Arial" w:cs="Arial"/>
            <w:lang w:val="en-US"/>
          </w:rPr>
          <w:t>https://drinkprime.com/</w:t>
        </w:r>
      </w:hyperlink>
      <w:r w:rsidRPr="002D39B7">
        <w:rPr>
          <w:rFonts w:ascii="Arial" w:hAnsi="Arial" w:cs="Arial"/>
          <w:lang w:val="en-US"/>
        </w:rPr>
        <w:t xml:space="preserve">  (Accessed: 7 July 2026).</w:t>
      </w:r>
    </w:p>
    <w:p w14:paraId="2768FE91" w14:textId="23718A20" w:rsidR="00D67FD7" w:rsidRPr="002D39B7" w:rsidRDefault="00D67FD7" w:rsidP="002D39B7">
      <w:pPr>
        <w:spacing w:line="360" w:lineRule="auto"/>
        <w:rPr>
          <w:rFonts w:ascii="Arial" w:hAnsi="Arial" w:cs="Arial"/>
          <w:lang w:val="en-US"/>
        </w:rPr>
      </w:pPr>
      <w:r w:rsidRPr="002D39B7">
        <w:rPr>
          <w:rFonts w:ascii="Arial" w:hAnsi="Arial" w:cs="Arial"/>
          <w:lang w:val="en-US"/>
        </w:rPr>
        <w:t xml:space="preserve">Supreme Court of the United States (2025) </w:t>
      </w:r>
      <w:r w:rsidRPr="002D39B7">
        <w:rPr>
          <w:rFonts w:ascii="Arial" w:hAnsi="Arial" w:cs="Arial"/>
          <w:i/>
          <w:iCs/>
          <w:lang w:val="en-US"/>
        </w:rPr>
        <w:t>TikTok Inc. v. Garland</w:t>
      </w:r>
      <w:r w:rsidRPr="002D39B7">
        <w:rPr>
          <w:rFonts w:ascii="Arial" w:hAnsi="Arial" w:cs="Arial"/>
          <w:lang w:val="en-US"/>
        </w:rPr>
        <w:t xml:space="preserve">. Available at: </w:t>
      </w:r>
      <w:hyperlink r:id="rId21" w:history="1">
        <w:r w:rsidRPr="002D39B7">
          <w:rPr>
            <w:rStyle w:val="Hyperlink"/>
            <w:rFonts w:ascii="Arial" w:hAnsi="Arial" w:cs="Arial"/>
            <w:lang w:val="en-US"/>
          </w:rPr>
          <w:t>https://www.supremecourt.gov/opinions/24pdf/24-656_ca7d.pdf</w:t>
        </w:r>
      </w:hyperlink>
      <w:r w:rsidRPr="002D39B7">
        <w:rPr>
          <w:rFonts w:ascii="Arial" w:hAnsi="Arial" w:cs="Arial"/>
          <w:lang w:val="en-US"/>
        </w:rPr>
        <w:t xml:space="preserve"> (Accessed: 7 July 2026).</w:t>
      </w:r>
    </w:p>
    <w:p w14:paraId="0EBAB5D8" w14:textId="55CCA885" w:rsidR="00D67FD7" w:rsidRPr="002D39B7" w:rsidRDefault="00D67FD7" w:rsidP="002D39B7">
      <w:pPr>
        <w:spacing w:line="360" w:lineRule="auto"/>
        <w:rPr>
          <w:rFonts w:ascii="Arial" w:hAnsi="Arial" w:cs="Arial"/>
          <w:lang w:val="en-US"/>
        </w:rPr>
      </w:pPr>
      <w:r w:rsidRPr="002D39B7">
        <w:rPr>
          <w:rFonts w:ascii="Arial" w:hAnsi="Arial" w:cs="Arial"/>
          <w:lang w:val="en-US"/>
        </w:rPr>
        <w:t xml:space="preserve">UK Government (2025) </w:t>
      </w:r>
      <w:r w:rsidRPr="002D39B7">
        <w:rPr>
          <w:rFonts w:ascii="Arial" w:hAnsi="Arial" w:cs="Arial"/>
          <w:i/>
          <w:iCs/>
          <w:lang w:val="en-US"/>
        </w:rPr>
        <w:t>Online Safety Act: explainer</w:t>
      </w:r>
      <w:r w:rsidRPr="002D39B7">
        <w:rPr>
          <w:rFonts w:ascii="Arial" w:hAnsi="Arial" w:cs="Arial"/>
          <w:lang w:val="en-US"/>
        </w:rPr>
        <w:t xml:space="preserve">. Available at: </w:t>
      </w:r>
      <w:hyperlink r:id="rId22" w:history="1">
        <w:r w:rsidRPr="002D39B7">
          <w:rPr>
            <w:rStyle w:val="Hyperlink"/>
            <w:rFonts w:ascii="Arial" w:hAnsi="Arial" w:cs="Arial"/>
            <w:lang w:val="en-US"/>
          </w:rPr>
          <w:t>https://www.gov.uk/government/publications/online-safety-act-explainer/online-safety-act-explainer</w:t>
        </w:r>
      </w:hyperlink>
      <w:r w:rsidRPr="002D39B7">
        <w:rPr>
          <w:rFonts w:ascii="Arial" w:hAnsi="Arial" w:cs="Arial"/>
          <w:lang w:val="en-US"/>
        </w:rPr>
        <w:t xml:space="preserve">  (Accessed: 5 July 2026).</w:t>
      </w:r>
    </w:p>
    <w:p w14:paraId="2109F72A" w14:textId="2769C751" w:rsidR="00D67FD7" w:rsidRPr="002D39B7" w:rsidRDefault="00D67FD7" w:rsidP="002D39B7">
      <w:pPr>
        <w:spacing w:line="360" w:lineRule="auto"/>
        <w:rPr>
          <w:rFonts w:ascii="Arial" w:hAnsi="Arial" w:cs="Arial"/>
          <w:lang w:val="en-US"/>
        </w:rPr>
      </w:pPr>
      <w:r w:rsidRPr="002D39B7">
        <w:rPr>
          <w:rFonts w:ascii="Arial" w:hAnsi="Arial" w:cs="Arial"/>
          <w:lang w:val="en-US"/>
        </w:rPr>
        <w:lastRenderedPageBreak/>
        <w:t xml:space="preserve">United Nations Institute for Training and Research (UNITAR) and International Telecommunication Union (ITU) (2024) </w:t>
      </w:r>
      <w:r w:rsidRPr="002D39B7">
        <w:rPr>
          <w:rFonts w:ascii="Arial" w:hAnsi="Arial" w:cs="Arial"/>
          <w:i/>
          <w:iCs/>
          <w:lang w:val="en-US"/>
        </w:rPr>
        <w:t>The Global E-waste Monitor 2024</w:t>
      </w:r>
      <w:r w:rsidRPr="002D39B7">
        <w:rPr>
          <w:rFonts w:ascii="Arial" w:hAnsi="Arial" w:cs="Arial"/>
          <w:lang w:val="en-US"/>
        </w:rPr>
        <w:t xml:space="preserve">. Available at: </w:t>
      </w:r>
      <w:hyperlink r:id="rId23" w:history="1">
        <w:r w:rsidRPr="002D39B7">
          <w:rPr>
            <w:rStyle w:val="Hyperlink"/>
            <w:rFonts w:ascii="Arial" w:hAnsi="Arial" w:cs="Arial"/>
            <w:lang w:val="en-US"/>
          </w:rPr>
          <w:t>https://ewastemonitor.info/the-global-e-waste-monitor-2024/</w:t>
        </w:r>
      </w:hyperlink>
      <w:r w:rsidRPr="002D39B7">
        <w:rPr>
          <w:rFonts w:ascii="Arial" w:hAnsi="Arial" w:cs="Arial"/>
          <w:lang w:val="en-US"/>
        </w:rPr>
        <w:t xml:space="preserve"> (Accessed: 5 July 2026).</w:t>
      </w:r>
    </w:p>
    <w:p w14:paraId="58C27B33" w14:textId="7C67AE88" w:rsidR="00016C7B" w:rsidRPr="002D39B7" w:rsidRDefault="00D67FD7" w:rsidP="002D39B7">
      <w:pPr>
        <w:spacing w:line="360" w:lineRule="auto"/>
        <w:rPr>
          <w:rFonts w:ascii="Arial" w:hAnsi="Arial" w:cs="Arial"/>
          <w:lang w:val="en-US"/>
        </w:rPr>
      </w:pPr>
      <w:r w:rsidRPr="002D39B7">
        <w:rPr>
          <w:rFonts w:ascii="Arial" w:hAnsi="Arial" w:cs="Arial"/>
          <w:lang w:val="en-US"/>
        </w:rPr>
        <w:t xml:space="preserve">Yuan, S. and Lou, C. (2020) ‘How social media influencers foster relationships with followers: The roles of source credibility and fairness in parasocial relationship and product interest’, </w:t>
      </w:r>
      <w:r w:rsidRPr="002D39B7">
        <w:rPr>
          <w:rFonts w:ascii="Arial" w:hAnsi="Arial" w:cs="Arial"/>
          <w:i/>
          <w:iCs/>
          <w:lang w:val="en-US"/>
        </w:rPr>
        <w:t>Journal of Interactive Advertising</w:t>
      </w:r>
      <w:r w:rsidRPr="002D39B7">
        <w:rPr>
          <w:rFonts w:ascii="Arial" w:hAnsi="Arial" w:cs="Arial"/>
          <w:lang w:val="en-US"/>
        </w:rPr>
        <w:t xml:space="preserve">, 20(2), pp. 133–147. Available at: </w:t>
      </w:r>
      <w:hyperlink r:id="rId24" w:history="1">
        <w:r w:rsidRPr="002D39B7">
          <w:rPr>
            <w:rStyle w:val="Hyperlink"/>
            <w:rFonts w:ascii="Arial" w:hAnsi="Arial" w:cs="Arial"/>
            <w:lang w:val="en-US"/>
          </w:rPr>
          <w:t>https://www.tandfonline.com/doi/abs/10.1080/15252019.2020.1769514</w:t>
        </w:r>
      </w:hyperlink>
      <w:r w:rsidRPr="002D39B7">
        <w:rPr>
          <w:rFonts w:ascii="Arial" w:hAnsi="Arial" w:cs="Arial"/>
          <w:lang w:val="en-US"/>
        </w:rPr>
        <w:t xml:space="preserve"> (Accessed: 5 July 2026).</w:t>
      </w:r>
    </w:p>
    <w:sectPr w:rsidR="00016C7B" w:rsidRPr="002D39B7" w:rsidSect="00487B23">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9226F8" w14:textId="77777777" w:rsidR="00861227" w:rsidRDefault="00861227" w:rsidP="008C528D">
      <w:pPr>
        <w:spacing w:after="0" w:line="240" w:lineRule="auto"/>
      </w:pPr>
      <w:r>
        <w:separator/>
      </w:r>
    </w:p>
  </w:endnote>
  <w:endnote w:type="continuationSeparator" w:id="0">
    <w:p w14:paraId="6E033659" w14:textId="77777777" w:rsidR="00861227" w:rsidRDefault="00861227" w:rsidP="008C52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2771483"/>
      <w:docPartObj>
        <w:docPartGallery w:val="Page Numbers (Bottom of Page)"/>
        <w:docPartUnique/>
      </w:docPartObj>
    </w:sdtPr>
    <w:sdtEndPr>
      <w:rPr>
        <w:noProof/>
      </w:rPr>
    </w:sdtEndPr>
    <w:sdtContent>
      <w:p w14:paraId="4C47F09C" w14:textId="67D8FD89" w:rsidR="008C528D" w:rsidRDefault="008C528D">
        <w:pPr>
          <w:pStyle w:val="Footer"/>
        </w:pPr>
        <w:r>
          <w:fldChar w:fldCharType="begin"/>
        </w:r>
        <w:r>
          <w:instrText xml:space="preserve"> PAGE   \* MERGEFORMAT </w:instrText>
        </w:r>
        <w:r>
          <w:fldChar w:fldCharType="separate"/>
        </w:r>
        <w:r>
          <w:rPr>
            <w:noProof/>
          </w:rPr>
          <w:t>2</w:t>
        </w:r>
        <w:r>
          <w:rPr>
            <w:noProof/>
          </w:rPr>
          <w:fldChar w:fldCharType="end"/>
        </w:r>
      </w:p>
    </w:sdtContent>
  </w:sdt>
  <w:p w14:paraId="3A48D660" w14:textId="77777777" w:rsidR="008C528D" w:rsidRDefault="008C52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561524" w14:textId="77777777" w:rsidR="00861227" w:rsidRDefault="00861227" w:rsidP="008C528D">
      <w:pPr>
        <w:spacing w:after="0" w:line="240" w:lineRule="auto"/>
      </w:pPr>
      <w:r>
        <w:separator/>
      </w:r>
    </w:p>
  </w:footnote>
  <w:footnote w:type="continuationSeparator" w:id="0">
    <w:p w14:paraId="66C65273" w14:textId="77777777" w:rsidR="00861227" w:rsidRDefault="00861227" w:rsidP="008C52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12E"/>
    <w:rsid w:val="00016C7B"/>
    <w:rsid w:val="00107A56"/>
    <w:rsid w:val="00236CE4"/>
    <w:rsid w:val="002A5587"/>
    <w:rsid w:val="002D39B7"/>
    <w:rsid w:val="002D612E"/>
    <w:rsid w:val="002D70DA"/>
    <w:rsid w:val="003850AF"/>
    <w:rsid w:val="003A6474"/>
    <w:rsid w:val="004340D1"/>
    <w:rsid w:val="00487B23"/>
    <w:rsid w:val="004B1D9A"/>
    <w:rsid w:val="004E6B0D"/>
    <w:rsid w:val="005425B0"/>
    <w:rsid w:val="00657172"/>
    <w:rsid w:val="007622AB"/>
    <w:rsid w:val="0076784D"/>
    <w:rsid w:val="00775ABE"/>
    <w:rsid w:val="007919D9"/>
    <w:rsid w:val="007F48AB"/>
    <w:rsid w:val="00861227"/>
    <w:rsid w:val="00894EA9"/>
    <w:rsid w:val="008C528D"/>
    <w:rsid w:val="009034D0"/>
    <w:rsid w:val="00921D72"/>
    <w:rsid w:val="009642C8"/>
    <w:rsid w:val="00984E8A"/>
    <w:rsid w:val="009C63B1"/>
    <w:rsid w:val="009D4E9C"/>
    <w:rsid w:val="00A06D7E"/>
    <w:rsid w:val="00A25C24"/>
    <w:rsid w:val="00A37CB6"/>
    <w:rsid w:val="00A40F2A"/>
    <w:rsid w:val="00A72B8D"/>
    <w:rsid w:val="00A8620F"/>
    <w:rsid w:val="00B53553"/>
    <w:rsid w:val="00BA54D9"/>
    <w:rsid w:val="00BB467D"/>
    <w:rsid w:val="00CA0BC4"/>
    <w:rsid w:val="00CE35D2"/>
    <w:rsid w:val="00D67FD7"/>
    <w:rsid w:val="00DF078E"/>
    <w:rsid w:val="00E07D3D"/>
    <w:rsid w:val="00E23A92"/>
    <w:rsid w:val="00E2658B"/>
    <w:rsid w:val="00E51190"/>
    <w:rsid w:val="00EA7D45"/>
    <w:rsid w:val="00EB039A"/>
    <w:rsid w:val="00EB6C9A"/>
    <w:rsid w:val="00F0133B"/>
    <w:rsid w:val="00F80768"/>
    <w:rsid w:val="00F95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E866D"/>
  <w15:chartTrackingRefBased/>
  <w15:docId w15:val="{895433E0-E020-4103-92BB-8F3996B82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B23"/>
  </w:style>
  <w:style w:type="paragraph" w:styleId="Heading1">
    <w:name w:val="heading 1"/>
    <w:basedOn w:val="Normal"/>
    <w:next w:val="Normal"/>
    <w:link w:val="Heading1Char"/>
    <w:uiPriority w:val="9"/>
    <w:qFormat/>
    <w:rsid w:val="002D61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61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61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61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61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61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61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61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61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61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61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61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61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61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61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61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61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612E"/>
    <w:rPr>
      <w:rFonts w:eastAsiaTheme="majorEastAsia" w:cstheme="majorBidi"/>
      <w:color w:val="272727" w:themeColor="text1" w:themeTint="D8"/>
    </w:rPr>
  </w:style>
  <w:style w:type="paragraph" w:styleId="Title">
    <w:name w:val="Title"/>
    <w:basedOn w:val="Normal"/>
    <w:next w:val="Normal"/>
    <w:link w:val="TitleChar"/>
    <w:uiPriority w:val="10"/>
    <w:qFormat/>
    <w:rsid w:val="002D61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61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61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61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612E"/>
    <w:pPr>
      <w:spacing w:before="160"/>
      <w:jc w:val="center"/>
    </w:pPr>
    <w:rPr>
      <w:i/>
      <w:iCs/>
      <w:color w:val="404040" w:themeColor="text1" w:themeTint="BF"/>
    </w:rPr>
  </w:style>
  <w:style w:type="character" w:customStyle="1" w:styleId="QuoteChar">
    <w:name w:val="Quote Char"/>
    <w:basedOn w:val="DefaultParagraphFont"/>
    <w:link w:val="Quote"/>
    <w:uiPriority w:val="29"/>
    <w:rsid w:val="002D612E"/>
    <w:rPr>
      <w:i/>
      <w:iCs/>
      <w:color w:val="404040" w:themeColor="text1" w:themeTint="BF"/>
    </w:rPr>
  </w:style>
  <w:style w:type="paragraph" w:styleId="ListParagraph">
    <w:name w:val="List Paragraph"/>
    <w:basedOn w:val="Normal"/>
    <w:uiPriority w:val="34"/>
    <w:qFormat/>
    <w:rsid w:val="002D612E"/>
    <w:pPr>
      <w:ind w:left="720"/>
      <w:contextualSpacing/>
    </w:pPr>
  </w:style>
  <w:style w:type="character" w:styleId="IntenseEmphasis">
    <w:name w:val="Intense Emphasis"/>
    <w:basedOn w:val="DefaultParagraphFont"/>
    <w:uiPriority w:val="21"/>
    <w:qFormat/>
    <w:rsid w:val="002D612E"/>
    <w:rPr>
      <w:i/>
      <w:iCs/>
      <w:color w:val="0F4761" w:themeColor="accent1" w:themeShade="BF"/>
    </w:rPr>
  </w:style>
  <w:style w:type="paragraph" w:styleId="IntenseQuote">
    <w:name w:val="Intense Quote"/>
    <w:basedOn w:val="Normal"/>
    <w:next w:val="Normal"/>
    <w:link w:val="IntenseQuoteChar"/>
    <w:uiPriority w:val="30"/>
    <w:qFormat/>
    <w:rsid w:val="002D61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612E"/>
    <w:rPr>
      <w:i/>
      <w:iCs/>
      <w:color w:val="0F4761" w:themeColor="accent1" w:themeShade="BF"/>
    </w:rPr>
  </w:style>
  <w:style w:type="character" w:styleId="IntenseReference">
    <w:name w:val="Intense Reference"/>
    <w:basedOn w:val="DefaultParagraphFont"/>
    <w:uiPriority w:val="32"/>
    <w:qFormat/>
    <w:rsid w:val="002D612E"/>
    <w:rPr>
      <w:b/>
      <w:bCs/>
      <w:smallCaps/>
      <w:color w:val="0F4761" w:themeColor="accent1" w:themeShade="BF"/>
      <w:spacing w:val="5"/>
    </w:rPr>
  </w:style>
  <w:style w:type="character" w:styleId="Hyperlink">
    <w:name w:val="Hyperlink"/>
    <w:basedOn w:val="DefaultParagraphFont"/>
    <w:uiPriority w:val="99"/>
    <w:unhideWhenUsed/>
    <w:rsid w:val="00A72B8D"/>
    <w:rPr>
      <w:color w:val="467886" w:themeColor="hyperlink"/>
      <w:u w:val="single"/>
    </w:rPr>
  </w:style>
  <w:style w:type="character" w:styleId="UnresolvedMention">
    <w:name w:val="Unresolved Mention"/>
    <w:basedOn w:val="DefaultParagraphFont"/>
    <w:uiPriority w:val="99"/>
    <w:semiHidden/>
    <w:unhideWhenUsed/>
    <w:rsid w:val="00A72B8D"/>
    <w:rPr>
      <w:color w:val="605E5C"/>
      <w:shd w:val="clear" w:color="auto" w:fill="E1DFDD"/>
    </w:rPr>
  </w:style>
  <w:style w:type="paragraph" w:styleId="TOCHeading">
    <w:name w:val="TOC Heading"/>
    <w:basedOn w:val="Heading1"/>
    <w:next w:val="Normal"/>
    <w:uiPriority w:val="39"/>
    <w:unhideWhenUsed/>
    <w:qFormat/>
    <w:rsid w:val="00487B2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87B23"/>
    <w:pPr>
      <w:spacing w:after="100"/>
    </w:pPr>
  </w:style>
  <w:style w:type="paragraph" w:styleId="NoSpacing">
    <w:name w:val="No Spacing"/>
    <w:link w:val="NoSpacingChar"/>
    <w:uiPriority w:val="1"/>
    <w:qFormat/>
    <w:rsid w:val="00487B2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87B23"/>
    <w:rPr>
      <w:rFonts w:eastAsiaTheme="minorEastAsia"/>
      <w:kern w:val="0"/>
      <w:sz w:val="22"/>
      <w:szCs w:val="22"/>
      <w:lang w:val="en-US"/>
      <w14:ligatures w14:val="none"/>
    </w:rPr>
  </w:style>
  <w:style w:type="paragraph" w:styleId="Header">
    <w:name w:val="header"/>
    <w:basedOn w:val="Normal"/>
    <w:link w:val="HeaderChar"/>
    <w:uiPriority w:val="99"/>
    <w:unhideWhenUsed/>
    <w:rsid w:val="008C52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28D"/>
  </w:style>
  <w:style w:type="paragraph" w:styleId="Footer">
    <w:name w:val="footer"/>
    <w:basedOn w:val="Normal"/>
    <w:link w:val="FooterChar"/>
    <w:uiPriority w:val="99"/>
    <w:unhideWhenUsed/>
    <w:rsid w:val="008C52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2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MatArmstrongbmx" TargetMode="External"/><Relationship Id="rId13" Type="http://schemas.openxmlformats.org/officeDocument/2006/relationships/hyperlink" Target="https://www.goldmansachs.com/insights/articles/the-creator-economy-could-approach-half-a-trillion-dollars-by-2027" TargetMode="External"/><Relationship Id="rId18" Type="http://schemas.openxmlformats.org/officeDocument/2006/relationships/hyperlink" Target="https://doi.org/10.1007/978-3-030-05252-2"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upremecourt.gov/opinions/24pdf/24-656_ca7d.pdf" TargetMode="External"/><Relationship Id="rId7" Type="http://schemas.openxmlformats.org/officeDocument/2006/relationships/hyperlink" Target="https://www.asa.org.uk/news/influencer-ad-disclosure-on-social-media-instagram-and-tiktok-report-2024.html" TargetMode="External"/><Relationship Id="rId12" Type="http://schemas.openxmlformats.org/officeDocument/2006/relationships/hyperlink" Target="https://digital-strategy.ec.europa.eu/en/policies/code-practice-ai-generated-content" TargetMode="External"/><Relationship Id="rId17" Type="http://schemas.openxmlformats.org/officeDocument/2006/relationships/hyperlink" Target="https://www.youtube.com/channel/UCMiJRAwDNSNzuYeN2uWa0pA"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ciencedirect.com/science/article/pii/S0001691825008868" TargetMode="External"/><Relationship Id="rId20" Type="http://schemas.openxmlformats.org/officeDocument/2006/relationships/hyperlink" Target="https://drinkprime.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atareportal.com/reports/digital-2025-global-overview-report" TargetMode="External"/><Relationship Id="rId24" Type="http://schemas.openxmlformats.org/officeDocument/2006/relationships/hyperlink" Target="https://www.tandfonline.com/doi/abs/10.1080/15252019.2020.1769514" TargetMode="External"/><Relationship Id="rId5" Type="http://schemas.openxmlformats.org/officeDocument/2006/relationships/footnotes" Target="footnotes.xml"/><Relationship Id="rId15" Type="http://schemas.openxmlformats.org/officeDocument/2006/relationships/hyperlink" Target="https://influencermarketinghub.com/creator-earnings-report-2025/" TargetMode="External"/><Relationship Id="rId23" Type="http://schemas.openxmlformats.org/officeDocument/2006/relationships/hyperlink" Target="https://ewastemonitor.info/the-global-e-waste-monitor-2024/" TargetMode="External"/><Relationship Id="rId10" Type="http://schemas.openxmlformats.org/officeDocument/2006/relationships/hyperlink" Target="https://www.cipd.org/uk/knowledge/factsheets/pestle-analysis-factsheet/" TargetMode="External"/><Relationship Id="rId19" Type="http://schemas.openxmlformats.org/officeDocument/2006/relationships/hyperlink" Target="https://doi.org/10.1177/1461444818769694" TargetMode="External"/><Relationship Id="rId4" Type="http://schemas.openxmlformats.org/officeDocument/2006/relationships/webSettings" Target="webSettings.xml"/><Relationship Id="rId9" Type="http://schemas.openxmlformats.org/officeDocument/2006/relationships/hyperlink" Target="https://doi.org/10.1177/014920639101700108" TargetMode="External"/><Relationship Id="rId14" Type="http://schemas.openxmlformats.org/officeDocument/2006/relationships/hyperlink" Target="https://doi.org/10.1108/17554251011064837" TargetMode="External"/><Relationship Id="rId22" Type="http://schemas.openxmlformats.org/officeDocument/2006/relationships/hyperlink" Target="https://www.gov.uk/government/publications/online-safety-act-explainer/online-safety-act-explaine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1C3980-DC3E-4753-93AA-680228CD9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193</TotalTime>
  <Pages>10</Pages>
  <Words>2597</Words>
  <Characters>14809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Miklos Gal (2514520)</dc:creator>
  <cp:keywords/>
  <dc:description/>
  <cp:lastModifiedBy>Miklos Gal (2514520)</cp:lastModifiedBy>
  <cp:revision>30</cp:revision>
  <dcterms:created xsi:type="dcterms:W3CDTF">2026-06-09T11:42:00Z</dcterms:created>
  <dcterms:modified xsi:type="dcterms:W3CDTF">2026-07-10T19:02:00Z</dcterms:modified>
</cp:coreProperties>
</file>