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9EAB6D" w14:textId="6D8D48FA" w:rsidR="00100C7E" w:rsidRDefault="00100C7E" w:rsidP="00100C7E">
      <w:pPr>
        <w:jc w:val="center"/>
        <w:rPr>
          <w:rFonts w:cs="Arial"/>
          <w:b/>
          <w:bCs/>
          <w:sz w:val="28"/>
          <w:szCs w:val="28"/>
        </w:rPr>
      </w:pPr>
      <w:r>
        <w:rPr>
          <w:noProof/>
        </w:rPr>
        <w:drawing>
          <wp:inline distT="0" distB="0" distL="0" distR="0" wp14:anchorId="2C145F74" wp14:editId="7E3C621F">
            <wp:extent cx="2305050" cy="857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5050" cy="857250"/>
                    </a:xfrm>
                    <a:prstGeom prst="rect">
                      <a:avLst/>
                    </a:prstGeom>
                    <a:noFill/>
                    <a:ln>
                      <a:noFill/>
                    </a:ln>
                  </pic:spPr>
                </pic:pic>
              </a:graphicData>
            </a:graphic>
          </wp:inline>
        </w:drawing>
      </w:r>
    </w:p>
    <w:p w14:paraId="7623369B" w14:textId="77777777" w:rsidR="00100C7E" w:rsidRDefault="00100C7E" w:rsidP="00100C7E">
      <w:pPr>
        <w:jc w:val="center"/>
        <w:rPr>
          <w:rFonts w:cs="Arial"/>
          <w:b/>
          <w:bCs/>
          <w:sz w:val="28"/>
          <w:szCs w:val="28"/>
        </w:rPr>
      </w:pPr>
      <w:r>
        <w:rPr>
          <w:rFonts w:cs="Arial"/>
          <w:b/>
          <w:bCs/>
          <w:sz w:val="28"/>
          <w:szCs w:val="28"/>
        </w:rPr>
        <w:t xml:space="preserve">Master of Business Administration (MBA) </w:t>
      </w:r>
    </w:p>
    <w:p w14:paraId="3FF2D97C" w14:textId="77777777" w:rsidR="00100C7E" w:rsidRDefault="00100C7E" w:rsidP="00100C7E">
      <w:pPr>
        <w:jc w:val="center"/>
        <w:rPr>
          <w:rFonts w:cs="Arial"/>
          <w:b/>
          <w:bCs/>
          <w:sz w:val="28"/>
          <w:szCs w:val="28"/>
        </w:rPr>
      </w:pPr>
      <w:r>
        <w:rPr>
          <w:rFonts w:cs="Arial"/>
          <w:b/>
          <w:bCs/>
          <w:sz w:val="28"/>
          <w:szCs w:val="28"/>
        </w:rPr>
        <w:t xml:space="preserve">International Business </w:t>
      </w:r>
    </w:p>
    <w:p w14:paraId="3BF85B76" w14:textId="77777777" w:rsidR="00100C7E" w:rsidRPr="00100C7E" w:rsidRDefault="00100C7E" w:rsidP="00100C7E">
      <w:pPr>
        <w:jc w:val="center"/>
        <w:rPr>
          <w:rFonts w:cs="Arial"/>
          <w:b/>
          <w:bCs/>
          <w:sz w:val="28"/>
          <w:szCs w:val="28"/>
        </w:rPr>
      </w:pPr>
      <w:r w:rsidRPr="00100C7E">
        <w:rPr>
          <w:rFonts w:cs="Arial"/>
          <w:b/>
          <w:bCs/>
          <w:sz w:val="28"/>
          <w:szCs w:val="28"/>
        </w:rPr>
        <w:t>Module: Marketing Management</w:t>
      </w:r>
    </w:p>
    <w:p w14:paraId="2703132C" w14:textId="77777777" w:rsidR="00100C7E" w:rsidRDefault="00100C7E" w:rsidP="00100C7E">
      <w:pPr>
        <w:jc w:val="center"/>
        <w:rPr>
          <w:rFonts w:cs="Arial"/>
          <w:b/>
          <w:bCs/>
          <w:sz w:val="28"/>
          <w:szCs w:val="28"/>
        </w:rPr>
      </w:pPr>
      <w:r w:rsidRPr="00100C7E">
        <w:rPr>
          <w:rFonts w:cs="Arial"/>
          <w:b/>
          <w:bCs/>
          <w:sz w:val="28"/>
          <w:szCs w:val="28"/>
        </w:rPr>
        <w:t>Module code: LCMB7024</w:t>
      </w:r>
    </w:p>
    <w:p w14:paraId="632679DB" w14:textId="77777777" w:rsidR="00100C7E" w:rsidRDefault="00100C7E" w:rsidP="00100C7E">
      <w:pPr>
        <w:jc w:val="center"/>
        <w:rPr>
          <w:rFonts w:cs="Arial"/>
          <w:b/>
          <w:bCs/>
          <w:sz w:val="28"/>
          <w:szCs w:val="28"/>
        </w:rPr>
      </w:pPr>
    </w:p>
    <w:p w14:paraId="07A9A350" w14:textId="4C28FF0E" w:rsidR="00100C7E" w:rsidRDefault="00100C7E" w:rsidP="00100C7E">
      <w:pPr>
        <w:jc w:val="center"/>
        <w:rPr>
          <w:rFonts w:cs="Arial"/>
          <w:b/>
          <w:bCs/>
          <w:sz w:val="28"/>
          <w:szCs w:val="28"/>
        </w:rPr>
      </w:pPr>
      <w:r>
        <w:rPr>
          <w:rFonts w:cs="Arial"/>
          <w:b/>
          <w:bCs/>
          <w:sz w:val="28"/>
          <w:szCs w:val="28"/>
        </w:rPr>
        <w:t>Assessment component 1: Individual report</w:t>
      </w:r>
    </w:p>
    <w:p w14:paraId="5BCD8C42" w14:textId="77777777" w:rsidR="007F7D51" w:rsidRDefault="007F7D51" w:rsidP="00100C7E">
      <w:pPr>
        <w:jc w:val="center"/>
        <w:rPr>
          <w:rFonts w:cs="Arial"/>
          <w:b/>
          <w:bCs/>
          <w:sz w:val="28"/>
          <w:szCs w:val="28"/>
        </w:rPr>
      </w:pPr>
    </w:p>
    <w:p w14:paraId="4E201FD0" w14:textId="1AA3401B" w:rsidR="007F7D51" w:rsidRDefault="007F7D51" w:rsidP="00100C7E">
      <w:pPr>
        <w:jc w:val="center"/>
        <w:rPr>
          <w:rFonts w:cs="Arial"/>
          <w:b/>
          <w:bCs/>
          <w:sz w:val="28"/>
          <w:szCs w:val="28"/>
        </w:rPr>
      </w:pPr>
      <w:r w:rsidRPr="007F7D51">
        <w:rPr>
          <w:rFonts w:cs="Arial"/>
          <w:b/>
          <w:bCs/>
          <w:sz w:val="28"/>
          <w:szCs w:val="28"/>
        </w:rPr>
        <w:t>Lecturer:</w:t>
      </w:r>
      <w:r>
        <w:rPr>
          <w:rFonts w:cs="Arial"/>
          <w:b/>
          <w:bCs/>
          <w:sz w:val="28"/>
          <w:szCs w:val="28"/>
        </w:rPr>
        <w:t xml:space="preserve"> </w:t>
      </w:r>
      <w:r w:rsidRPr="007F7D51">
        <w:rPr>
          <w:rFonts w:cs="Arial"/>
          <w:b/>
          <w:bCs/>
          <w:sz w:val="28"/>
          <w:szCs w:val="28"/>
        </w:rPr>
        <w:t xml:space="preserve">Dr Laila </w:t>
      </w:r>
      <w:proofErr w:type="spellStart"/>
      <w:r w:rsidRPr="007F7D51">
        <w:rPr>
          <w:rFonts w:cs="Arial"/>
          <w:b/>
          <w:bCs/>
          <w:sz w:val="28"/>
          <w:szCs w:val="28"/>
        </w:rPr>
        <w:t>Maazouz</w:t>
      </w:r>
      <w:proofErr w:type="spellEnd"/>
      <w:r>
        <w:rPr>
          <w:rFonts w:cs="Arial"/>
          <w:b/>
          <w:bCs/>
          <w:sz w:val="28"/>
          <w:szCs w:val="28"/>
        </w:rPr>
        <w:t xml:space="preserve">  </w:t>
      </w:r>
    </w:p>
    <w:p w14:paraId="7ABEB671" w14:textId="77777777" w:rsidR="00100C7E" w:rsidRDefault="00100C7E" w:rsidP="00100C7E">
      <w:pPr>
        <w:jc w:val="center"/>
        <w:rPr>
          <w:rFonts w:cs="Arial"/>
          <w:b/>
          <w:bCs/>
          <w:sz w:val="28"/>
          <w:szCs w:val="28"/>
        </w:rPr>
      </w:pPr>
    </w:p>
    <w:p w14:paraId="5A915F1F" w14:textId="77777777" w:rsidR="00100C7E" w:rsidRDefault="00100C7E" w:rsidP="00100C7E">
      <w:pPr>
        <w:jc w:val="center"/>
        <w:rPr>
          <w:rFonts w:cs="Arial"/>
          <w:b/>
          <w:bCs/>
          <w:sz w:val="28"/>
          <w:szCs w:val="28"/>
        </w:rPr>
      </w:pPr>
    </w:p>
    <w:p w14:paraId="2B0A3172" w14:textId="77777777" w:rsidR="00B7672B" w:rsidRDefault="00B7672B" w:rsidP="00B7672B">
      <w:pPr>
        <w:jc w:val="center"/>
        <w:rPr>
          <w:rFonts w:cs="Arial"/>
          <w:b/>
          <w:bCs/>
          <w:sz w:val="28"/>
          <w:szCs w:val="28"/>
        </w:rPr>
      </w:pPr>
      <w:r>
        <w:rPr>
          <w:rFonts w:cs="Arial"/>
          <w:b/>
          <w:bCs/>
          <w:sz w:val="28"/>
          <w:szCs w:val="28"/>
        </w:rPr>
        <w:t xml:space="preserve">Student Name: Md. </w:t>
      </w:r>
      <w:proofErr w:type="spellStart"/>
      <w:r>
        <w:rPr>
          <w:rFonts w:cs="Arial"/>
          <w:b/>
          <w:bCs/>
          <w:sz w:val="28"/>
          <w:szCs w:val="28"/>
        </w:rPr>
        <w:t>Habibur</w:t>
      </w:r>
      <w:proofErr w:type="spellEnd"/>
      <w:r>
        <w:rPr>
          <w:rFonts w:cs="Arial"/>
          <w:b/>
          <w:bCs/>
          <w:sz w:val="28"/>
          <w:szCs w:val="28"/>
        </w:rPr>
        <w:t xml:space="preserve"> Rahman </w:t>
      </w:r>
    </w:p>
    <w:p w14:paraId="4117BD01" w14:textId="77777777" w:rsidR="00B7672B" w:rsidRDefault="00B7672B" w:rsidP="00B7672B">
      <w:pPr>
        <w:jc w:val="center"/>
        <w:rPr>
          <w:rFonts w:cs="Arial"/>
          <w:b/>
          <w:bCs/>
          <w:sz w:val="28"/>
          <w:szCs w:val="28"/>
        </w:rPr>
      </w:pPr>
      <w:r>
        <w:rPr>
          <w:rFonts w:cs="Arial"/>
          <w:b/>
          <w:bCs/>
          <w:sz w:val="28"/>
          <w:szCs w:val="28"/>
        </w:rPr>
        <w:t xml:space="preserve">Student ID: 2432474 </w:t>
      </w:r>
    </w:p>
    <w:p w14:paraId="4A4E533D" w14:textId="139797A4" w:rsidR="00100C7E" w:rsidRDefault="00100C7E" w:rsidP="00100C7E">
      <w:pPr>
        <w:jc w:val="center"/>
        <w:rPr>
          <w:rFonts w:cs="Arial"/>
          <w:b/>
          <w:bCs/>
          <w:sz w:val="28"/>
          <w:szCs w:val="28"/>
        </w:rPr>
      </w:pPr>
      <w:r>
        <w:rPr>
          <w:rFonts w:cs="Arial"/>
          <w:b/>
          <w:bCs/>
          <w:sz w:val="28"/>
          <w:szCs w:val="28"/>
        </w:rPr>
        <w:t>Word Count: 2</w:t>
      </w:r>
      <w:r w:rsidR="00084C0E">
        <w:rPr>
          <w:rFonts w:cs="Arial"/>
          <w:b/>
          <w:bCs/>
          <w:sz w:val="28"/>
          <w:szCs w:val="28"/>
        </w:rPr>
        <w:t>469</w:t>
      </w:r>
    </w:p>
    <w:p w14:paraId="15CACD5A" w14:textId="75C18015" w:rsidR="00EB60C7" w:rsidRDefault="00100C7E" w:rsidP="007E13EA">
      <w:pPr>
        <w:spacing w:before="0" w:after="0"/>
        <w:jc w:val="left"/>
      </w:pPr>
      <w:r>
        <w:br w:type="page"/>
      </w:r>
    </w:p>
    <w:sdt>
      <w:sdtPr>
        <w:rPr>
          <w:rFonts w:asciiTheme="minorHAnsi" w:eastAsiaTheme="minorHAnsi" w:hAnsiTheme="minorHAnsi" w:cs="Vrinda"/>
          <w:b w:val="0"/>
          <w:bCs w:val="0"/>
          <w:color w:val="auto"/>
          <w:kern w:val="2"/>
          <w:sz w:val="24"/>
          <w:szCs w:val="30"/>
          <w:lang w:val="en-GB" w:bidi="bn-IN"/>
          <w14:ligatures w14:val="standardContextual"/>
        </w:rPr>
        <w:id w:val="-1186289994"/>
        <w:docPartObj>
          <w:docPartGallery w:val="Table of Contents"/>
          <w:docPartUnique/>
        </w:docPartObj>
      </w:sdtPr>
      <w:sdtEndPr>
        <w:rPr>
          <w:rFonts w:ascii="Arial" w:hAnsi="Arial"/>
          <w:noProof/>
        </w:rPr>
      </w:sdtEndPr>
      <w:sdtContent>
        <w:p w14:paraId="26D9A799" w14:textId="77777777" w:rsidR="00DC049E" w:rsidRPr="00E12259" w:rsidRDefault="00DC049E">
          <w:pPr>
            <w:pStyle w:val="TOCHeading"/>
            <w:rPr>
              <w:rFonts w:ascii="Arial" w:hAnsi="Arial" w:cs="Arial"/>
              <w:b w:val="0"/>
              <w:bCs w:val="0"/>
            </w:rPr>
          </w:pPr>
          <w:r w:rsidRPr="00E12259">
            <w:rPr>
              <w:rFonts w:ascii="Arial" w:hAnsi="Arial" w:cs="Arial"/>
              <w:b w:val="0"/>
              <w:bCs w:val="0"/>
            </w:rPr>
            <w:t>Table of Contents</w:t>
          </w:r>
        </w:p>
        <w:p w14:paraId="1103C575" w14:textId="233278EF" w:rsidR="00E12259" w:rsidRPr="00E12259" w:rsidRDefault="00DC049E">
          <w:pPr>
            <w:pStyle w:val="TOC1"/>
            <w:tabs>
              <w:tab w:val="right" w:leader="dot" w:pos="9016"/>
            </w:tabs>
            <w:rPr>
              <w:rFonts w:asciiTheme="minorHAnsi" w:eastAsiaTheme="minorEastAsia" w:hAnsiTheme="minorHAnsi" w:cstheme="minorBidi"/>
              <w:b w:val="0"/>
              <w:bCs w:val="0"/>
              <w:i w:val="0"/>
              <w:iCs w:val="0"/>
              <w:noProof/>
              <w:kern w:val="0"/>
              <w:sz w:val="22"/>
              <w:szCs w:val="22"/>
              <w:lang w:eastAsia="en-GB" w:bidi="ar-SA"/>
              <w14:ligatures w14:val="none"/>
            </w:rPr>
          </w:pPr>
          <w:r w:rsidRPr="00E12259">
            <w:rPr>
              <w:rFonts w:cs="Arial"/>
              <w:b w:val="0"/>
              <w:bCs w:val="0"/>
              <w:i w:val="0"/>
              <w:iCs w:val="0"/>
              <w:sz w:val="22"/>
              <w:szCs w:val="22"/>
            </w:rPr>
            <w:fldChar w:fldCharType="begin"/>
          </w:r>
          <w:r w:rsidRPr="00E12259">
            <w:rPr>
              <w:rFonts w:cs="Arial"/>
              <w:b w:val="0"/>
              <w:bCs w:val="0"/>
              <w:i w:val="0"/>
              <w:iCs w:val="0"/>
              <w:sz w:val="22"/>
              <w:szCs w:val="22"/>
            </w:rPr>
            <w:instrText xml:space="preserve"> TOC \o "1-3" \h \z \u </w:instrText>
          </w:r>
          <w:r w:rsidRPr="00E12259">
            <w:rPr>
              <w:rFonts w:cs="Arial"/>
              <w:b w:val="0"/>
              <w:bCs w:val="0"/>
              <w:i w:val="0"/>
              <w:iCs w:val="0"/>
              <w:sz w:val="22"/>
              <w:szCs w:val="22"/>
            </w:rPr>
            <w:fldChar w:fldCharType="separate"/>
          </w:r>
          <w:hyperlink w:anchor="_Toc214354963" w:history="1">
            <w:r w:rsidR="00E12259" w:rsidRPr="00E12259">
              <w:rPr>
                <w:rStyle w:val="Hyperlink"/>
                <w:b w:val="0"/>
                <w:bCs w:val="0"/>
                <w:noProof/>
              </w:rPr>
              <w:t>Introduction</w:t>
            </w:r>
            <w:r w:rsidR="00E12259" w:rsidRPr="00E12259">
              <w:rPr>
                <w:b w:val="0"/>
                <w:bCs w:val="0"/>
                <w:noProof/>
                <w:webHidden/>
              </w:rPr>
              <w:tab/>
            </w:r>
            <w:r w:rsidR="00E12259" w:rsidRPr="00E12259">
              <w:rPr>
                <w:b w:val="0"/>
                <w:bCs w:val="0"/>
                <w:noProof/>
                <w:webHidden/>
              </w:rPr>
              <w:fldChar w:fldCharType="begin"/>
            </w:r>
            <w:r w:rsidR="00E12259" w:rsidRPr="00E12259">
              <w:rPr>
                <w:b w:val="0"/>
                <w:bCs w:val="0"/>
                <w:noProof/>
                <w:webHidden/>
              </w:rPr>
              <w:instrText xml:space="preserve"> PAGEREF _Toc214354963 \h </w:instrText>
            </w:r>
            <w:r w:rsidR="00E12259" w:rsidRPr="00E12259">
              <w:rPr>
                <w:b w:val="0"/>
                <w:bCs w:val="0"/>
                <w:noProof/>
                <w:webHidden/>
              </w:rPr>
            </w:r>
            <w:r w:rsidR="00E12259" w:rsidRPr="00E12259">
              <w:rPr>
                <w:b w:val="0"/>
                <w:bCs w:val="0"/>
                <w:noProof/>
                <w:webHidden/>
              </w:rPr>
              <w:fldChar w:fldCharType="separate"/>
            </w:r>
            <w:r w:rsidR="00E12259" w:rsidRPr="00E12259">
              <w:rPr>
                <w:b w:val="0"/>
                <w:bCs w:val="0"/>
                <w:noProof/>
                <w:webHidden/>
              </w:rPr>
              <w:t>3</w:t>
            </w:r>
            <w:r w:rsidR="00E12259" w:rsidRPr="00E12259">
              <w:rPr>
                <w:b w:val="0"/>
                <w:bCs w:val="0"/>
                <w:noProof/>
                <w:webHidden/>
              </w:rPr>
              <w:fldChar w:fldCharType="end"/>
            </w:r>
          </w:hyperlink>
        </w:p>
        <w:p w14:paraId="58BAC5EF" w14:textId="64C2ADD8" w:rsidR="00E12259" w:rsidRPr="00E12259" w:rsidRDefault="00E12259">
          <w:pPr>
            <w:pStyle w:val="TOC1"/>
            <w:tabs>
              <w:tab w:val="right" w:leader="dot" w:pos="9016"/>
            </w:tabs>
            <w:rPr>
              <w:rFonts w:asciiTheme="minorHAnsi" w:eastAsiaTheme="minorEastAsia" w:hAnsiTheme="minorHAnsi" w:cstheme="minorBidi"/>
              <w:b w:val="0"/>
              <w:bCs w:val="0"/>
              <w:i w:val="0"/>
              <w:iCs w:val="0"/>
              <w:noProof/>
              <w:kern w:val="0"/>
              <w:sz w:val="22"/>
              <w:szCs w:val="22"/>
              <w:lang w:eastAsia="en-GB" w:bidi="ar-SA"/>
              <w14:ligatures w14:val="none"/>
            </w:rPr>
          </w:pPr>
          <w:hyperlink w:anchor="_Toc214354964" w:history="1">
            <w:r w:rsidRPr="00E12259">
              <w:rPr>
                <w:rStyle w:val="Hyperlink"/>
                <w:b w:val="0"/>
                <w:bCs w:val="0"/>
                <w:noProof/>
              </w:rPr>
              <w:t>Task 1: Critical Analysis of the Macro Marketing Environment</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_Toc214354964 \h </w:instrText>
            </w:r>
            <w:r w:rsidRPr="00E12259">
              <w:rPr>
                <w:b w:val="0"/>
                <w:bCs w:val="0"/>
                <w:noProof/>
                <w:webHidden/>
              </w:rPr>
            </w:r>
            <w:r w:rsidRPr="00E12259">
              <w:rPr>
                <w:b w:val="0"/>
                <w:bCs w:val="0"/>
                <w:noProof/>
                <w:webHidden/>
              </w:rPr>
              <w:fldChar w:fldCharType="separate"/>
            </w:r>
            <w:r w:rsidRPr="00E12259">
              <w:rPr>
                <w:b w:val="0"/>
                <w:bCs w:val="0"/>
                <w:noProof/>
                <w:webHidden/>
              </w:rPr>
              <w:t>4</w:t>
            </w:r>
            <w:r w:rsidRPr="00E12259">
              <w:rPr>
                <w:b w:val="0"/>
                <w:bCs w:val="0"/>
                <w:noProof/>
                <w:webHidden/>
              </w:rPr>
              <w:fldChar w:fldCharType="end"/>
            </w:r>
          </w:hyperlink>
        </w:p>
        <w:p w14:paraId="10485704" w14:textId="7A9076C1" w:rsidR="00E12259" w:rsidRPr="00E12259" w:rsidRDefault="00E12259">
          <w:pPr>
            <w:pStyle w:val="TOC2"/>
            <w:tabs>
              <w:tab w:val="right" w:leader="dot" w:pos="9016"/>
            </w:tabs>
            <w:rPr>
              <w:rFonts w:asciiTheme="minorHAnsi" w:eastAsiaTheme="minorEastAsia" w:hAnsiTheme="minorHAnsi" w:cstheme="minorBidi"/>
              <w:b w:val="0"/>
              <w:bCs w:val="0"/>
              <w:noProof/>
              <w:kern w:val="0"/>
              <w:lang w:eastAsia="en-GB" w:bidi="ar-SA"/>
              <w14:ligatures w14:val="none"/>
            </w:rPr>
          </w:pPr>
          <w:hyperlink w:anchor="_Toc214354965" w:history="1">
            <w:r w:rsidRPr="00E12259">
              <w:rPr>
                <w:rStyle w:val="Hyperlink"/>
                <w:b w:val="0"/>
                <w:bCs w:val="0"/>
                <w:noProof/>
              </w:rPr>
              <w:t>Overview of the Macro Marketing Environment</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_Toc214354965 \h </w:instrText>
            </w:r>
            <w:r w:rsidRPr="00E12259">
              <w:rPr>
                <w:b w:val="0"/>
                <w:bCs w:val="0"/>
                <w:noProof/>
                <w:webHidden/>
              </w:rPr>
            </w:r>
            <w:r w:rsidRPr="00E12259">
              <w:rPr>
                <w:b w:val="0"/>
                <w:bCs w:val="0"/>
                <w:noProof/>
                <w:webHidden/>
              </w:rPr>
              <w:fldChar w:fldCharType="separate"/>
            </w:r>
            <w:r w:rsidRPr="00E12259">
              <w:rPr>
                <w:b w:val="0"/>
                <w:bCs w:val="0"/>
                <w:noProof/>
                <w:webHidden/>
              </w:rPr>
              <w:t>4</w:t>
            </w:r>
            <w:r w:rsidRPr="00E12259">
              <w:rPr>
                <w:b w:val="0"/>
                <w:bCs w:val="0"/>
                <w:noProof/>
                <w:webHidden/>
              </w:rPr>
              <w:fldChar w:fldCharType="end"/>
            </w:r>
          </w:hyperlink>
        </w:p>
        <w:p w14:paraId="423EEB3A" w14:textId="40DFEAD2" w:rsidR="00E12259" w:rsidRPr="00E12259" w:rsidRDefault="00E12259">
          <w:pPr>
            <w:pStyle w:val="TOC2"/>
            <w:tabs>
              <w:tab w:val="right" w:leader="dot" w:pos="9016"/>
            </w:tabs>
            <w:rPr>
              <w:rFonts w:asciiTheme="minorHAnsi" w:eastAsiaTheme="minorEastAsia" w:hAnsiTheme="minorHAnsi" w:cstheme="minorBidi"/>
              <w:b w:val="0"/>
              <w:bCs w:val="0"/>
              <w:noProof/>
              <w:kern w:val="0"/>
              <w:lang w:eastAsia="en-GB" w:bidi="ar-SA"/>
              <w14:ligatures w14:val="none"/>
            </w:rPr>
          </w:pPr>
          <w:hyperlink w:anchor="_Toc214354966" w:history="1">
            <w:r w:rsidRPr="00E12259">
              <w:rPr>
                <w:rStyle w:val="Hyperlink"/>
                <w:b w:val="0"/>
                <w:bCs w:val="0"/>
                <w:noProof/>
              </w:rPr>
              <w:t>Selection of Two External Macro Marketing Actors</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_Toc214354966 \h </w:instrText>
            </w:r>
            <w:r w:rsidRPr="00E12259">
              <w:rPr>
                <w:b w:val="0"/>
                <w:bCs w:val="0"/>
                <w:noProof/>
                <w:webHidden/>
              </w:rPr>
            </w:r>
            <w:r w:rsidRPr="00E12259">
              <w:rPr>
                <w:b w:val="0"/>
                <w:bCs w:val="0"/>
                <w:noProof/>
                <w:webHidden/>
              </w:rPr>
              <w:fldChar w:fldCharType="separate"/>
            </w:r>
            <w:r w:rsidRPr="00E12259">
              <w:rPr>
                <w:b w:val="0"/>
                <w:bCs w:val="0"/>
                <w:noProof/>
                <w:webHidden/>
              </w:rPr>
              <w:t>5</w:t>
            </w:r>
            <w:r w:rsidRPr="00E12259">
              <w:rPr>
                <w:b w:val="0"/>
                <w:bCs w:val="0"/>
                <w:noProof/>
                <w:webHidden/>
              </w:rPr>
              <w:fldChar w:fldCharType="end"/>
            </w:r>
          </w:hyperlink>
        </w:p>
        <w:p w14:paraId="02D2E172" w14:textId="20018138" w:rsidR="00E12259" w:rsidRPr="00E12259" w:rsidRDefault="00E12259">
          <w:pPr>
            <w:pStyle w:val="TOC2"/>
            <w:tabs>
              <w:tab w:val="right" w:leader="dot" w:pos="9016"/>
            </w:tabs>
            <w:rPr>
              <w:rFonts w:asciiTheme="minorHAnsi" w:eastAsiaTheme="minorEastAsia" w:hAnsiTheme="minorHAnsi" w:cstheme="minorBidi"/>
              <w:b w:val="0"/>
              <w:bCs w:val="0"/>
              <w:noProof/>
              <w:kern w:val="0"/>
              <w:lang w:eastAsia="en-GB" w:bidi="ar-SA"/>
              <w14:ligatures w14:val="none"/>
            </w:rPr>
          </w:pPr>
          <w:hyperlink w:anchor="_Toc214354967" w:history="1">
            <w:r w:rsidRPr="00E12259">
              <w:rPr>
                <w:rStyle w:val="Hyperlink"/>
                <w:b w:val="0"/>
                <w:bCs w:val="0"/>
                <w:noProof/>
              </w:rPr>
              <w:t>Critical Analysis of Each Actor</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_Toc214354967 \h </w:instrText>
            </w:r>
            <w:r w:rsidRPr="00E12259">
              <w:rPr>
                <w:b w:val="0"/>
                <w:bCs w:val="0"/>
                <w:noProof/>
                <w:webHidden/>
              </w:rPr>
            </w:r>
            <w:r w:rsidRPr="00E12259">
              <w:rPr>
                <w:b w:val="0"/>
                <w:bCs w:val="0"/>
                <w:noProof/>
                <w:webHidden/>
              </w:rPr>
              <w:fldChar w:fldCharType="separate"/>
            </w:r>
            <w:r w:rsidRPr="00E12259">
              <w:rPr>
                <w:b w:val="0"/>
                <w:bCs w:val="0"/>
                <w:noProof/>
                <w:webHidden/>
              </w:rPr>
              <w:t>5</w:t>
            </w:r>
            <w:r w:rsidRPr="00E12259">
              <w:rPr>
                <w:b w:val="0"/>
                <w:bCs w:val="0"/>
                <w:noProof/>
                <w:webHidden/>
              </w:rPr>
              <w:fldChar w:fldCharType="end"/>
            </w:r>
          </w:hyperlink>
        </w:p>
        <w:p w14:paraId="6F1F8FED" w14:textId="4F7FBD0A" w:rsidR="00E12259" w:rsidRPr="00E12259" w:rsidRDefault="00E12259">
          <w:pPr>
            <w:pStyle w:val="TOC1"/>
            <w:tabs>
              <w:tab w:val="right" w:leader="dot" w:pos="9016"/>
            </w:tabs>
            <w:rPr>
              <w:rFonts w:asciiTheme="minorHAnsi" w:eastAsiaTheme="minorEastAsia" w:hAnsiTheme="minorHAnsi" w:cstheme="minorBidi"/>
              <w:b w:val="0"/>
              <w:bCs w:val="0"/>
              <w:i w:val="0"/>
              <w:iCs w:val="0"/>
              <w:noProof/>
              <w:kern w:val="0"/>
              <w:sz w:val="22"/>
              <w:szCs w:val="22"/>
              <w:lang w:eastAsia="en-GB" w:bidi="ar-SA"/>
              <w14:ligatures w14:val="none"/>
            </w:rPr>
          </w:pPr>
          <w:hyperlink w:anchor="_Toc214354968" w:history="1">
            <w:r w:rsidRPr="00E12259">
              <w:rPr>
                <w:rStyle w:val="Hyperlink"/>
                <w:b w:val="0"/>
                <w:bCs w:val="0"/>
                <w:noProof/>
              </w:rPr>
              <w:t>Task 2: Strategic Responses of Pioneering and Follower Organisations</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_Toc214354968 \h </w:instrText>
            </w:r>
            <w:r w:rsidRPr="00E12259">
              <w:rPr>
                <w:b w:val="0"/>
                <w:bCs w:val="0"/>
                <w:noProof/>
                <w:webHidden/>
              </w:rPr>
            </w:r>
            <w:r w:rsidRPr="00E12259">
              <w:rPr>
                <w:b w:val="0"/>
                <w:bCs w:val="0"/>
                <w:noProof/>
                <w:webHidden/>
              </w:rPr>
              <w:fldChar w:fldCharType="separate"/>
            </w:r>
            <w:r w:rsidRPr="00E12259">
              <w:rPr>
                <w:b w:val="0"/>
                <w:bCs w:val="0"/>
                <w:noProof/>
                <w:webHidden/>
              </w:rPr>
              <w:t>8</w:t>
            </w:r>
            <w:r w:rsidRPr="00E12259">
              <w:rPr>
                <w:b w:val="0"/>
                <w:bCs w:val="0"/>
                <w:noProof/>
                <w:webHidden/>
              </w:rPr>
              <w:fldChar w:fldCharType="end"/>
            </w:r>
          </w:hyperlink>
        </w:p>
        <w:p w14:paraId="28E17C2D" w14:textId="6629AF5A" w:rsidR="00E12259" w:rsidRPr="00E12259" w:rsidRDefault="00E12259">
          <w:pPr>
            <w:pStyle w:val="TOC2"/>
            <w:tabs>
              <w:tab w:val="right" w:leader="dot" w:pos="9016"/>
            </w:tabs>
            <w:rPr>
              <w:rFonts w:asciiTheme="minorHAnsi" w:eastAsiaTheme="minorEastAsia" w:hAnsiTheme="minorHAnsi" w:cstheme="minorBidi"/>
              <w:b w:val="0"/>
              <w:bCs w:val="0"/>
              <w:noProof/>
              <w:kern w:val="0"/>
              <w:lang w:eastAsia="en-GB" w:bidi="ar-SA"/>
              <w14:ligatures w14:val="none"/>
            </w:rPr>
          </w:pPr>
          <w:hyperlink w:anchor="_Toc214354969" w:history="1">
            <w:r w:rsidRPr="00E12259">
              <w:rPr>
                <w:rStyle w:val="Hyperlink"/>
                <w:b w:val="0"/>
                <w:bCs w:val="0"/>
                <w:noProof/>
              </w:rPr>
              <w:t>Pioneering Organisations’ Strategic Responses</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_Toc214354969 \h </w:instrText>
            </w:r>
            <w:r w:rsidRPr="00E12259">
              <w:rPr>
                <w:b w:val="0"/>
                <w:bCs w:val="0"/>
                <w:noProof/>
                <w:webHidden/>
              </w:rPr>
            </w:r>
            <w:r w:rsidRPr="00E12259">
              <w:rPr>
                <w:b w:val="0"/>
                <w:bCs w:val="0"/>
                <w:noProof/>
                <w:webHidden/>
              </w:rPr>
              <w:fldChar w:fldCharType="separate"/>
            </w:r>
            <w:r w:rsidRPr="00E12259">
              <w:rPr>
                <w:b w:val="0"/>
                <w:bCs w:val="0"/>
                <w:noProof/>
                <w:webHidden/>
              </w:rPr>
              <w:t>8</w:t>
            </w:r>
            <w:r w:rsidRPr="00E12259">
              <w:rPr>
                <w:b w:val="0"/>
                <w:bCs w:val="0"/>
                <w:noProof/>
                <w:webHidden/>
              </w:rPr>
              <w:fldChar w:fldCharType="end"/>
            </w:r>
          </w:hyperlink>
        </w:p>
        <w:p w14:paraId="6D658550" w14:textId="7CCE18D3" w:rsidR="00E12259" w:rsidRPr="00E12259" w:rsidRDefault="00E12259">
          <w:pPr>
            <w:pStyle w:val="TOC3"/>
            <w:tabs>
              <w:tab w:val="right" w:leader="dot" w:pos="9016"/>
            </w:tabs>
            <w:rPr>
              <w:rFonts w:asciiTheme="minorHAnsi" w:eastAsiaTheme="minorEastAsia" w:hAnsiTheme="minorHAnsi" w:cstheme="minorBidi"/>
              <w:noProof/>
              <w:kern w:val="0"/>
              <w:sz w:val="22"/>
              <w:szCs w:val="22"/>
              <w:lang w:eastAsia="en-GB" w:bidi="ar-SA"/>
              <w14:ligatures w14:val="none"/>
            </w:rPr>
          </w:pPr>
          <w:hyperlink w:anchor="_Toc214354970" w:history="1">
            <w:r w:rsidRPr="00E12259">
              <w:rPr>
                <w:rStyle w:val="Hyperlink"/>
                <w:noProof/>
              </w:rPr>
              <w:t>Ansoff's Growth Matrix Analysis of Pioneering Companies</w:t>
            </w:r>
            <w:r w:rsidRPr="00E12259">
              <w:rPr>
                <w:noProof/>
                <w:webHidden/>
              </w:rPr>
              <w:tab/>
            </w:r>
            <w:r w:rsidRPr="00E12259">
              <w:rPr>
                <w:noProof/>
                <w:webHidden/>
              </w:rPr>
              <w:fldChar w:fldCharType="begin"/>
            </w:r>
            <w:r w:rsidRPr="00E12259">
              <w:rPr>
                <w:noProof/>
                <w:webHidden/>
              </w:rPr>
              <w:instrText xml:space="preserve"> PAGEREF _Toc214354970 \h </w:instrText>
            </w:r>
            <w:r w:rsidRPr="00E12259">
              <w:rPr>
                <w:noProof/>
                <w:webHidden/>
              </w:rPr>
            </w:r>
            <w:r w:rsidRPr="00E12259">
              <w:rPr>
                <w:noProof/>
                <w:webHidden/>
              </w:rPr>
              <w:fldChar w:fldCharType="separate"/>
            </w:r>
            <w:r w:rsidRPr="00E12259">
              <w:rPr>
                <w:noProof/>
                <w:webHidden/>
              </w:rPr>
              <w:t>8</w:t>
            </w:r>
            <w:r w:rsidRPr="00E12259">
              <w:rPr>
                <w:noProof/>
                <w:webHidden/>
              </w:rPr>
              <w:fldChar w:fldCharType="end"/>
            </w:r>
          </w:hyperlink>
        </w:p>
        <w:p w14:paraId="6AB84C64" w14:textId="03A83A05" w:rsidR="00E12259" w:rsidRPr="00E12259" w:rsidRDefault="00E12259">
          <w:pPr>
            <w:pStyle w:val="TOC2"/>
            <w:tabs>
              <w:tab w:val="right" w:leader="dot" w:pos="9016"/>
            </w:tabs>
            <w:rPr>
              <w:rFonts w:asciiTheme="minorHAnsi" w:eastAsiaTheme="minorEastAsia" w:hAnsiTheme="minorHAnsi" w:cstheme="minorBidi"/>
              <w:b w:val="0"/>
              <w:bCs w:val="0"/>
              <w:noProof/>
              <w:kern w:val="0"/>
              <w:lang w:eastAsia="en-GB" w:bidi="ar-SA"/>
              <w14:ligatures w14:val="none"/>
            </w:rPr>
          </w:pPr>
          <w:hyperlink w:anchor="_Toc214354971" w:history="1">
            <w:r w:rsidRPr="00E12259">
              <w:rPr>
                <w:rStyle w:val="Hyperlink"/>
                <w:b w:val="0"/>
                <w:bCs w:val="0"/>
                <w:noProof/>
              </w:rPr>
              <w:t>Follower Organisations’ Strategic Responses</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_Toc214354971 \h </w:instrText>
            </w:r>
            <w:r w:rsidRPr="00E12259">
              <w:rPr>
                <w:b w:val="0"/>
                <w:bCs w:val="0"/>
                <w:noProof/>
                <w:webHidden/>
              </w:rPr>
            </w:r>
            <w:r w:rsidRPr="00E12259">
              <w:rPr>
                <w:b w:val="0"/>
                <w:bCs w:val="0"/>
                <w:noProof/>
                <w:webHidden/>
              </w:rPr>
              <w:fldChar w:fldCharType="separate"/>
            </w:r>
            <w:r w:rsidRPr="00E12259">
              <w:rPr>
                <w:b w:val="0"/>
                <w:bCs w:val="0"/>
                <w:noProof/>
                <w:webHidden/>
              </w:rPr>
              <w:t>9</w:t>
            </w:r>
            <w:r w:rsidRPr="00E12259">
              <w:rPr>
                <w:b w:val="0"/>
                <w:bCs w:val="0"/>
                <w:noProof/>
                <w:webHidden/>
              </w:rPr>
              <w:fldChar w:fldCharType="end"/>
            </w:r>
          </w:hyperlink>
        </w:p>
        <w:p w14:paraId="3B577BC2" w14:textId="229C66DA" w:rsidR="00E12259" w:rsidRPr="00E12259" w:rsidRDefault="00E12259">
          <w:pPr>
            <w:pStyle w:val="TOC3"/>
            <w:tabs>
              <w:tab w:val="right" w:leader="dot" w:pos="9016"/>
            </w:tabs>
            <w:rPr>
              <w:rFonts w:asciiTheme="minorHAnsi" w:eastAsiaTheme="minorEastAsia" w:hAnsiTheme="minorHAnsi" w:cstheme="minorBidi"/>
              <w:noProof/>
              <w:kern w:val="0"/>
              <w:sz w:val="22"/>
              <w:szCs w:val="22"/>
              <w:lang w:eastAsia="en-GB" w:bidi="ar-SA"/>
              <w14:ligatures w14:val="none"/>
            </w:rPr>
          </w:pPr>
          <w:hyperlink w:anchor="_Toc214354972" w:history="1">
            <w:r w:rsidRPr="00E12259">
              <w:rPr>
                <w:rStyle w:val="Hyperlink"/>
                <w:noProof/>
              </w:rPr>
              <w:t>Ansoff's Growth Matrix Analysis of Follower Organisations</w:t>
            </w:r>
            <w:r w:rsidRPr="00E12259">
              <w:rPr>
                <w:noProof/>
                <w:webHidden/>
              </w:rPr>
              <w:tab/>
            </w:r>
            <w:r w:rsidRPr="00E12259">
              <w:rPr>
                <w:noProof/>
                <w:webHidden/>
              </w:rPr>
              <w:fldChar w:fldCharType="begin"/>
            </w:r>
            <w:r w:rsidRPr="00E12259">
              <w:rPr>
                <w:noProof/>
                <w:webHidden/>
              </w:rPr>
              <w:instrText xml:space="preserve"> PAGEREF _Toc214354972 \h </w:instrText>
            </w:r>
            <w:r w:rsidRPr="00E12259">
              <w:rPr>
                <w:noProof/>
                <w:webHidden/>
              </w:rPr>
            </w:r>
            <w:r w:rsidRPr="00E12259">
              <w:rPr>
                <w:noProof/>
                <w:webHidden/>
              </w:rPr>
              <w:fldChar w:fldCharType="separate"/>
            </w:r>
            <w:r w:rsidRPr="00E12259">
              <w:rPr>
                <w:noProof/>
                <w:webHidden/>
              </w:rPr>
              <w:t>10</w:t>
            </w:r>
            <w:r w:rsidRPr="00E12259">
              <w:rPr>
                <w:noProof/>
                <w:webHidden/>
              </w:rPr>
              <w:fldChar w:fldCharType="end"/>
            </w:r>
          </w:hyperlink>
        </w:p>
        <w:p w14:paraId="26339CBE" w14:textId="732CEBA4" w:rsidR="00E12259" w:rsidRPr="00E12259" w:rsidRDefault="00E12259">
          <w:pPr>
            <w:pStyle w:val="TOC1"/>
            <w:tabs>
              <w:tab w:val="right" w:leader="dot" w:pos="9016"/>
            </w:tabs>
            <w:rPr>
              <w:rFonts w:asciiTheme="minorHAnsi" w:eastAsiaTheme="minorEastAsia" w:hAnsiTheme="minorHAnsi" w:cstheme="minorBidi"/>
              <w:b w:val="0"/>
              <w:bCs w:val="0"/>
              <w:i w:val="0"/>
              <w:iCs w:val="0"/>
              <w:noProof/>
              <w:kern w:val="0"/>
              <w:sz w:val="22"/>
              <w:szCs w:val="22"/>
              <w:lang w:eastAsia="en-GB" w:bidi="ar-SA"/>
              <w14:ligatures w14:val="none"/>
            </w:rPr>
          </w:pPr>
          <w:hyperlink w:anchor="_Toc214354973" w:history="1">
            <w:r w:rsidRPr="00E12259">
              <w:rPr>
                <w:rStyle w:val="Hyperlink"/>
                <w:b w:val="0"/>
                <w:bCs w:val="0"/>
                <w:noProof/>
              </w:rPr>
              <w:t>Conclusion</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_Toc214354973 \h </w:instrText>
            </w:r>
            <w:r w:rsidRPr="00E12259">
              <w:rPr>
                <w:b w:val="0"/>
                <w:bCs w:val="0"/>
                <w:noProof/>
                <w:webHidden/>
              </w:rPr>
            </w:r>
            <w:r w:rsidRPr="00E12259">
              <w:rPr>
                <w:b w:val="0"/>
                <w:bCs w:val="0"/>
                <w:noProof/>
                <w:webHidden/>
              </w:rPr>
              <w:fldChar w:fldCharType="separate"/>
            </w:r>
            <w:r w:rsidRPr="00E12259">
              <w:rPr>
                <w:b w:val="0"/>
                <w:bCs w:val="0"/>
                <w:noProof/>
                <w:webHidden/>
              </w:rPr>
              <w:t>12</w:t>
            </w:r>
            <w:r w:rsidRPr="00E12259">
              <w:rPr>
                <w:b w:val="0"/>
                <w:bCs w:val="0"/>
                <w:noProof/>
                <w:webHidden/>
              </w:rPr>
              <w:fldChar w:fldCharType="end"/>
            </w:r>
          </w:hyperlink>
        </w:p>
        <w:p w14:paraId="2510E1A4" w14:textId="10D3FF29" w:rsidR="00E12259" w:rsidRPr="00E12259" w:rsidRDefault="00E12259">
          <w:pPr>
            <w:pStyle w:val="TOC1"/>
            <w:tabs>
              <w:tab w:val="right" w:leader="dot" w:pos="9016"/>
            </w:tabs>
            <w:rPr>
              <w:rFonts w:asciiTheme="minorHAnsi" w:eastAsiaTheme="minorEastAsia" w:hAnsiTheme="minorHAnsi" w:cstheme="minorBidi"/>
              <w:b w:val="0"/>
              <w:bCs w:val="0"/>
              <w:i w:val="0"/>
              <w:iCs w:val="0"/>
              <w:noProof/>
              <w:kern w:val="0"/>
              <w:sz w:val="22"/>
              <w:szCs w:val="22"/>
              <w:lang w:eastAsia="en-GB" w:bidi="ar-SA"/>
              <w14:ligatures w14:val="none"/>
            </w:rPr>
          </w:pPr>
          <w:hyperlink w:anchor="_Toc214354974" w:history="1">
            <w:r w:rsidRPr="00E12259">
              <w:rPr>
                <w:rStyle w:val="Hyperlink"/>
                <w:b w:val="0"/>
                <w:bCs w:val="0"/>
                <w:noProof/>
                <w:shd w:val="clear" w:color="auto" w:fill="FFFFFF"/>
              </w:rPr>
              <w:t>References</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_Toc214354974 \h </w:instrText>
            </w:r>
            <w:r w:rsidRPr="00E12259">
              <w:rPr>
                <w:b w:val="0"/>
                <w:bCs w:val="0"/>
                <w:noProof/>
                <w:webHidden/>
              </w:rPr>
            </w:r>
            <w:r w:rsidRPr="00E12259">
              <w:rPr>
                <w:b w:val="0"/>
                <w:bCs w:val="0"/>
                <w:noProof/>
                <w:webHidden/>
              </w:rPr>
              <w:fldChar w:fldCharType="separate"/>
            </w:r>
            <w:r w:rsidRPr="00E12259">
              <w:rPr>
                <w:b w:val="0"/>
                <w:bCs w:val="0"/>
                <w:noProof/>
                <w:webHidden/>
              </w:rPr>
              <w:t>13</w:t>
            </w:r>
            <w:r w:rsidRPr="00E12259">
              <w:rPr>
                <w:b w:val="0"/>
                <w:bCs w:val="0"/>
                <w:noProof/>
                <w:webHidden/>
              </w:rPr>
              <w:fldChar w:fldCharType="end"/>
            </w:r>
          </w:hyperlink>
        </w:p>
        <w:p w14:paraId="13AD2866" w14:textId="692743FF" w:rsidR="00E12259" w:rsidRPr="00E12259" w:rsidRDefault="00E12259">
          <w:pPr>
            <w:pStyle w:val="TOC1"/>
            <w:tabs>
              <w:tab w:val="right" w:leader="dot" w:pos="9016"/>
            </w:tabs>
            <w:rPr>
              <w:rFonts w:asciiTheme="minorHAnsi" w:eastAsiaTheme="minorEastAsia" w:hAnsiTheme="minorHAnsi" w:cstheme="minorBidi"/>
              <w:b w:val="0"/>
              <w:bCs w:val="0"/>
              <w:i w:val="0"/>
              <w:iCs w:val="0"/>
              <w:noProof/>
              <w:kern w:val="0"/>
              <w:sz w:val="22"/>
              <w:szCs w:val="22"/>
              <w:lang w:eastAsia="en-GB" w:bidi="ar-SA"/>
              <w14:ligatures w14:val="none"/>
            </w:rPr>
          </w:pPr>
          <w:hyperlink w:anchor="_Toc214354975" w:history="1">
            <w:r w:rsidRPr="00E12259">
              <w:rPr>
                <w:rStyle w:val="Hyperlink"/>
                <w:b w:val="0"/>
                <w:bCs w:val="0"/>
                <w:noProof/>
              </w:rPr>
              <w:t>Appendices</w:t>
            </w:r>
            <w:r w:rsidRPr="00E12259">
              <w:rPr>
                <w:b w:val="0"/>
                <w:bCs w:val="0"/>
                <w:noProof/>
                <w:webHidden/>
              </w:rPr>
              <w:tab/>
            </w:r>
            <w:r w:rsidRPr="00E12259">
              <w:rPr>
                <w:b w:val="0"/>
                <w:bCs w:val="0"/>
                <w:noProof/>
                <w:webHidden/>
              </w:rPr>
              <w:fldChar w:fldCharType="begin"/>
            </w:r>
            <w:r w:rsidRPr="00E12259">
              <w:rPr>
                <w:b w:val="0"/>
                <w:bCs w:val="0"/>
                <w:noProof/>
                <w:webHidden/>
              </w:rPr>
              <w:instrText xml:space="preserve"> PAGEREF _Toc214354975 \h </w:instrText>
            </w:r>
            <w:r w:rsidRPr="00E12259">
              <w:rPr>
                <w:b w:val="0"/>
                <w:bCs w:val="0"/>
                <w:noProof/>
                <w:webHidden/>
              </w:rPr>
            </w:r>
            <w:r w:rsidRPr="00E12259">
              <w:rPr>
                <w:b w:val="0"/>
                <w:bCs w:val="0"/>
                <w:noProof/>
                <w:webHidden/>
              </w:rPr>
              <w:fldChar w:fldCharType="separate"/>
            </w:r>
            <w:r w:rsidRPr="00E12259">
              <w:rPr>
                <w:b w:val="0"/>
                <w:bCs w:val="0"/>
                <w:noProof/>
                <w:webHidden/>
              </w:rPr>
              <w:t>17</w:t>
            </w:r>
            <w:r w:rsidRPr="00E12259">
              <w:rPr>
                <w:b w:val="0"/>
                <w:bCs w:val="0"/>
                <w:noProof/>
                <w:webHidden/>
              </w:rPr>
              <w:fldChar w:fldCharType="end"/>
            </w:r>
          </w:hyperlink>
        </w:p>
        <w:p w14:paraId="1218FA9D" w14:textId="74F38008" w:rsidR="00DC049E" w:rsidRDefault="00DC049E">
          <w:r w:rsidRPr="00E12259">
            <w:rPr>
              <w:rFonts w:cs="Arial"/>
              <w:noProof/>
              <w:sz w:val="22"/>
              <w:szCs w:val="22"/>
            </w:rPr>
            <w:fldChar w:fldCharType="end"/>
          </w:r>
        </w:p>
      </w:sdtContent>
    </w:sdt>
    <w:p w14:paraId="635314AD" w14:textId="77777777" w:rsidR="00DC049E" w:rsidRDefault="00DC049E">
      <w:pPr>
        <w:rPr>
          <w:rFonts w:eastAsiaTheme="majorEastAsia" w:cstheme="majorBidi"/>
          <w:color w:val="2F5496" w:themeColor="accent1" w:themeShade="BF"/>
          <w:sz w:val="32"/>
          <w:szCs w:val="40"/>
        </w:rPr>
      </w:pPr>
      <w:r>
        <w:br w:type="page"/>
      </w:r>
    </w:p>
    <w:p w14:paraId="054D212B" w14:textId="77777777" w:rsidR="008207E1" w:rsidRDefault="008207E1" w:rsidP="008207E1">
      <w:pPr>
        <w:pStyle w:val="Heading1"/>
      </w:pPr>
      <w:bookmarkStart w:id="0" w:name="_Toc214354963"/>
      <w:r>
        <w:lastRenderedPageBreak/>
        <w:t>Introduction</w:t>
      </w:r>
      <w:bookmarkEnd w:id="0"/>
    </w:p>
    <w:p w14:paraId="7AFE2CCF" w14:textId="77777777" w:rsidR="00BC0AF9" w:rsidRPr="00BC0AF9" w:rsidRDefault="00BC0AF9" w:rsidP="00BC0AF9">
      <w:pPr>
        <w:spacing w:line="360" w:lineRule="auto"/>
        <w:rPr>
          <w:rFonts w:cs="Arial"/>
          <w:sz w:val="22"/>
          <w:szCs w:val="28"/>
        </w:rPr>
      </w:pPr>
      <w:r w:rsidRPr="00BC0AF9">
        <w:rPr>
          <w:rFonts w:cs="Arial"/>
          <w:sz w:val="22"/>
          <w:szCs w:val="28"/>
        </w:rPr>
        <w:t xml:space="preserve">The macro marketing environment analysis is a fundamental element of </w:t>
      </w:r>
      <w:r>
        <w:rPr>
          <w:rFonts w:cs="Arial"/>
          <w:sz w:val="22"/>
          <w:szCs w:val="28"/>
        </w:rPr>
        <w:t xml:space="preserve">the </w:t>
      </w:r>
      <w:r w:rsidRPr="00BC0AF9">
        <w:rPr>
          <w:rFonts w:cs="Arial"/>
          <w:sz w:val="22"/>
          <w:szCs w:val="28"/>
        </w:rPr>
        <w:t xml:space="preserve">strategic marketing process. Kotler, Keller, and </w:t>
      </w:r>
      <w:proofErr w:type="spellStart"/>
      <w:r w:rsidRPr="00BC0AF9">
        <w:rPr>
          <w:rFonts w:cs="Arial"/>
          <w:sz w:val="22"/>
          <w:szCs w:val="28"/>
        </w:rPr>
        <w:t>Chernev</w:t>
      </w:r>
      <w:proofErr w:type="spellEnd"/>
      <w:r w:rsidRPr="00BC0AF9">
        <w:rPr>
          <w:rFonts w:cs="Arial"/>
          <w:sz w:val="22"/>
          <w:szCs w:val="28"/>
        </w:rPr>
        <w:t xml:space="preserve"> (2021, p. 65) claim that marketing management necessitates continuous scanning of the external environment in an effort to find opportunities and threats. This is reaffirmed by Baker (2004)</w:t>
      </w:r>
      <w:r>
        <w:rPr>
          <w:rFonts w:cs="Arial"/>
          <w:sz w:val="22"/>
          <w:szCs w:val="28"/>
        </w:rPr>
        <w:t>,</w:t>
      </w:r>
      <w:r w:rsidRPr="00BC0AF9">
        <w:rPr>
          <w:rFonts w:cs="Arial"/>
          <w:sz w:val="22"/>
          <w:szCs w:val="28"/>
        </w:rPr>
        <w:t xml:space="preserve"> who further indicates that marketing theory cannot exist outside its environment</w:t>
      </w:r>
      <w:r>
        <w:rPr>
          <w:rFonts w:cs="Arial"/>
          <w:sz w:val="22"/>
          <w:szCs w:val="28"/>
        </w:rPr>
        <w:t>,</w:t>
      </w:r>
      <w:r w:rsidRPr="00BC0AF9">
        <w:rPr>
          <w:rFonts w:cs="Arial"/>
          <w:sz w:val="22"/>
          <w:szCs w:val="28"/>
        </w:rPr>
        <w:t xml:space="preserve"> as external change is considered a catalyst to strategic change. Therefore, these views underscore the value of macro-environmental analysis in gaining sustainable competitive advantage. </w:t>
      </w:r>
      <w:proofErr w:type="spellStart"/>
      <w:r w:rsidRPr="00BC0AF9">
        <w:rPr>
          <w:rFonts w:cs="Arial"/>
          <w:sz w:val="22"/>
          <w:szCs w:val="28"/>
        </w:rPr>
        <w:t>Abratt</w:t>
      </w:r>
      <w:proofErr w:type="spellEnd"/>
      <w:r w:rsidRPr="00BC0AF9">
        <w:rPr>
          <w:rFonts w:cs="Arial"/>
          <w:sz w:val="22"/>
          <w:szCs w:val="28"/>
        </w:rPr>
        <w:t xml:space="preserve"> and </w:t>
      </w:r>
      <w:proofErr w:type="spellStart"/>
      <w:r w:rsidRPr="00BC0AF9">
        <w:rPr>
          <w:rFonts w:cs="Arial"/>
          <w:sz w:val="22"/>
          <w:szCs w:val="28"/>
        </w:rPr>
        <w:t>Bendixen</w:t>
      </w:r>
      <w:proofErr w:type="spellEnd"/>
      <w:r w:rsidRPr="00BC0AF9">
        <w:rPr>
          <w:rFonts w:cs="Arial"/>
          <w:sz w:val="22"/>
          <w:szCs w:val="28"/>
        </w:rPr>
        <w:t xml:space="preserve"> (2018) argue that the macro environment analysis offers the tools to integrate adaptive marketing systems that incorporate political, economic, social and technological intelligence in strategic decision-making activities.</w:t>
      </w:r>
    </w:p>
    <w:p w14:paraId="0409F844" w14:textId="77777777" w:rsidR="0070315C" w:rsidRDefault="00BC0AF9" w:rsidP="00BC0AF9">
      <w:pPr>
        <w:spacing w:line="360" w:lineRule="auto"/>
      </w:pPr>
      <w:r w:rsidRPr="00BC0AF9">
        <w:rPr>
          <w:rFonts w:cs="Arial"/>
          <w:sz w:val="22"/>
          <w:szCs w:val="28"/>
        </w:rPr>
        <w:t xml:space="preserve">In this regard, the primary goal of this paper is to critically examine the macro marketing environment of the United Kingdom (UK). </w:t>
      </w:r>
      <w:r>
        <w:rPr>
          <w:rFonts w:cs="Arial"/>
          <w:sz w:val="22"/>
          <w:szCs w:val="28"/>
        </w:rPr>
        <w:t>It</w:t>
      </w:r>
      <w:r w:rsidRPr="00BC0AF9">
        <w:rPr>
          <w:rFonts w:cs="Arial"/>
          <w:sz w:val="22"/>
          <w:szCs w:val="28"/>
        </w:rPr>
        <w:t xml:space="preserve"> will focus on </w:t>
      </w:r>
      <w:r>
        <w:rPr>
          <w:rFonts w:cs="Arial"/>
          <w:sz w:val="22"/>
          <w:szCs w:val="28"/>
        </w:rPr>
        <w:t xml:space="preserve">the </w:t>
      </w:r>
      <w:r w:rsidRPr="00BC0AF9">
        <w:rPr>
          <w:rFonts w:cs="Arial"/>
          <w:sz w:val="22"/>
          <w:szCs w:val="28"/>
        </w:rPr>
        <w:t xml:space="preserve">electric-vehicle (EV) industry to take into account the contribution of major external players in the strategic marketing management process. </w:t>
      </w:r>
      <w:r>
        <w:rPr>
          <w:rFonts w:cs="Arial"/>
          <w:sz w:val="22"/>
          <w:szCs w:val="28"/>
        </w:rPr>
        <w:t>The study</w:t>
      </w:r>
      <w:r w:rsidRPr="00BC0AF9">
        <w:rPr>
          <w:rFonts w:cs="Arial"/>
          <w:sz w:val="22"/>
          <w:szCs w:val="28"/>
        </w:rPr>
        <w:t xml:space="preserve"> will be structured </w:t>
      </w:r>
      <w:r>
        <w:rPr>
          <w:rFonts w:cs="Arial"/>
          <w:sz w:val="22"/>
          <w:szCs w:val="28"/>
        </w:rPr>
        <w:t>into</w:t>
      </w:r>
      <w:r w:rsidRPr="00BC0AF9">
        <w:rPr>
          <w:rFonts w:cs="Arial"/>
          <w:sz w:val="22"/>
          <w:szCs w:val="28"/>
        </w:rPr>
        <w:t xml:space="preserve"> two key tasks. Task 1 will entail a critical examination of the macro marketing environment based on theoretical models, including PESTEL, to explain the external factors that influence the industry. </w:t>
      </w:r>
      <w:r w:rsidR="001B02AF" w:rsidRPr="001B02AF">
        <w:rPr>
          <w:rFonts w:cs="Arial"/>
          <w:sz w:val="22"/>
          <w:szCs w:val="28"/>
        </w:rPr>
        <w:t>On the contrary, Task 2 will examine the pioneering and following firms in the industry to analyse the</w:t>
      </w:r>
      <w:r w:rsidR="001B02AF">
        <w:rPr>
          <w:rFonts w:cs="Arial"/>
          <w:sz w:val="22"/>
          <w:szCs w:val="28"/>
        </w:rPr>
        <w:t>ir</w:t>
      </w:r>
      <w:r w:rsidR="001B02AF" w:rsidRPr="001B02AF">
        <w:rPr>
          <w:rFonts w:cs="Arial"/>
          <w:sz w:val="22"/>
          <w:szCs w:val="28"/>
        </w:rPr>
        <w:t xml:space="preserve"> strategic responses to external factors. The report will conclude with a summary of key findings that address the strategic importance of environmental scanning to achieve competitive advantage.</w:t>
      </w:r>
      <w:r w:rsidR="0070315C">
        <w:br w:type="page"/>
      </w:r>
    </w:p>
    <w:p w14:paraId="0D85EDF2" w14:textId="77777777" w:rsidR="0070315C" w:rsidRDefault="0070315C" w:rsidP="0070315C">
      <w:pPr>
        <w:pStyle w:val="Heading1"/>
      </w:pPr>
      <w:bookmarkStart w:id="1" w:name="_Toc214354964"/>
      <w:r>
        <w:lastRenderedPageBreak/>
        <w:t>Task 1: Critical Analysis of the Macro Marketing Environment</w:t>
      </w:r>
      <w:bookmarkEnd w:id="1"/>
    </w:p>
    <w:p w14:paraId="66061AF4" w14:textId="77777777" w:rsidR="0070315C" w:rsidRDefault="0070315C" w:rsidP="0070315C">
      <w:pPr>
        <w:pStyle w:val="Heading2"/>
      </w:pPr>
      <w:bookmarkStart w:id="2" w:name="_Toc214354965"/>
      <w:r>
        <w:t>Overview of the Macro Marketing Environment</w:t>
      </w:r>
      <w:bookmarkEnd w:id="2"/>
    </w:p>
    <w:p w14:paraId="1344EBC5" w14:textId="77777777" w:rsidR="001645FC" w:rsidRDefault="00043CB4" w:rsidP="001C17E3">
      <w:pPr>
        <w:spacing w:line="360" w:lineRule="auto"/>
        <w:rPr>
          <w:rFonts w:cs="Arial"/>
          <w:sz w:val="22"/>
          <w:szCs w:val="22"/>
        </w:rPr>
      </w:pPr>
      <w:r w:rsidRPr="00043CB4">
        <w:rPr>
          <w:rFonts w:cs="Arial"/>
          <w:sz w:val="22"/>
          <w:szCs w:val="22"/>
        </w:rPr>
        <w:t>The macro marketing environment consists of a wide range of external forces outside the control of a firm (see Appendix A) that affect the marketing strategy of a firm (</w:t>
      </w:r>
      <w:proofErr w:type="spellStart"/>
      <w:r w:rsidRPr="00043CB4">
        <w:rPr>
          <w:rFonts w:cs="Arial"/>
          <w:sz w:val="22"/>
          <w:szCs w:val="22"/>
        </w:rPr>
        <w:t>Bagozzi</w:t>
      </w:r>
      <w:proofErr w:type="spellEnd"/>
      <w:r w:rsidRPr="00043CB4">
        <w:rPr>
          <w:rFonts w:cs="Arial"/>
          <w:sz w:val="22"/>
          <w:szCs w:val="22"/>
        </w:rPr>
        <w:t xml:space="preserve"> et al., 2018). These forces have profound effects on variables such as market structure, consumers' expectations and the adaptability of organisations</w:t>
      </w:r>
      <w:r>
        <w:rPr>
          <w:rFonts w:cs="Arial"/>
          <w:sz w:val="22"/>
          <w:szCs w:val="22"/>
        </w:rPr>
        <w:t>,</w:t>
      </w:r>
      <w:r w:rsidRPr="00043CB4">
        <w:rPr>
          <w:rFonts w:cs="Arial"/>
          <w:sz w:val="22"/>
          <w:szCs w:val="22"/>
        </w:rPr>
        <w:t xml:space="preserve"> among others. </w:t>
      </w:r>
      <w:r>
        <w:rPr>
          <w:rFonts w:cs="Arial"/>
          <w:sz w:val="22"/>
          <w:szCs w:val="22"/>
        </w:rPr>
        <w:t xml:space="preserve">Hence, </w:t>
      </w:r>
      <w:proofErr w:type="spellStart"/>
      <w:r w:rsidRPr="00043CB4">
        <w:rPr>
          <w:rFonts w:cs="Arial"/>
          <w:sz w:val="22"/>
          <w:szCs w:val="22"/>
        </w:rPr>
        <w:t>Abratt</w:t>
      </w:r>
      <w:proofErr w:type="spellEnd"/>
      <w:r w:rsidRPr="00043CB4">
        <w:rPr>
          <w:rFonts w:cs="Arial"/>
          <w:sz w:val="22"/>
          <w:szCs w:val="22"/>
        </w:rPr>
        <w:t xml:space="preserve"> and </w:t>
      </w:r>
      <w:proofErr w:type="spellStart"/>
      <w:r w:rsidRPr="00043CB4">
        <w:rPr>
          <w:rFonts w:cs="Arial"/>
          <w:sz w:val="22"/>
          <w:szCs w:val="22"/>
        </w:rPr>
        <w:t>Bendixen</w:t>
      </w:r>
      <w:proofErr w:type="spellEnd"/>
      <w:r w:rsidRPr="00043CB4">
        <w:rPr>
          <w:rFonts w:cs="Arial"/>
          <w:sz w:val="22"/>
          <w:szCs w:val="22"/>
        </w:rPr>
        <w:t xml:space="preserve"> (2018) assert that strategic marketing requires the systematic monitoring of external environmental conditions to identify opportunities and threats that will influence the ability of an organisation to achieve its objectives. The PESTEL framework is a well-known conceptualisation of the macro environment. </w:t>
      </w:r>
      <w:proofErr w:type="spellStart"/>
      <w:r w:rsidRPr="00043CB4">
        <w:rPr>
          <w:rFonts w:cs="Arial"/>
          <w:sz w:val="22"/>
          <w:szCs w:val="22"/>
        </w:rPr>
        <w:t>Brassington</w:t>
      </w:r>
      <w:proofErr w:type="spellEnd"/>
      <w:r w:rsidRPr="00043CB4">
        <w:rPr>
          <w:rFonts w:cs="Arial"/>
          <w:sz w:val="22"/>
          <w:szCs w:val="22"/>
        </w:rPr>
        <w:t xml:space="preserve"> and Pettit (2010) emphasi</w:t>
      </w:r>
      <w:r>
        <w:rPr>
          <w:rFonts w:cs="Arial"/>
          <w:sz w:val="22"/>
          <w:szCs w:val="22"/>
        </w:rPr>
        <w:t>s</w:t>
      </w:r>
      <w:r w:rsidRPr="00043CB4">
        <w:rPr>
          <w:rFonts w:cs="Arial"/>
          <w:sz w:val="22"/>
          <w:szCs w:val="22"/>
        </w:rPr>
        <w:t xml:space="preserve">e that the power of this framework is derived from its ability to give marketers a structured mechanism for understanding external forces (see Appendix B) that influence the market. </w:t>
      </w:r>
      <w:proofErr w:type="spellStart"/>
      <w:r w:rsidRPr="00043CB4">
        <w:rPr>
          <w:rFonts w:cs="Arial"/>
          <w:sz w:val="22"/>
          <w:szCs w:val="22"/>
        </w:rPr>
        <w:t>Citilci</w:t>
      </w:r>
      <w:proofErr w:type="spellEnd"/>
      <w:r w:rsidRPr="00043CB4">
        <w:rPr>
          <w:rFonts w:cs="Arial"/>
          <w:sz w:val="22"/>
          <w:szCs w:val="22"/>
        </w:rPr>
        <w:t xml:space="preserve"> and </w:t>
      </w:r>
      <w:proofErr w:type="spellStart"/>
      <w:r w:rsidRPr="00043CB4">
        <w:rPr>
          <w:rFonts w:cs="Arial"/>
          <w:sz w:val="22"/>
          <w:szCs w:val="22"/>
        </w:rPr>
        <w:t>Akbalik</w:t>
      </w:r>
      <w:proofErr w:type="spellEnd"/>
      <w:r w:rsidRPr="00043CB4">
        <w:rPr>
          <w:rFonts w:cs="Arial"/>
          <w:sz w:val="22"/>
          <w:szCs w:val="22"/>
        </w:rPr>
        <w:t xml:space="preserve"> (2023) underscore the significance of this framework in maintaining competitiveness in volatile marketplaces by asserting that organisations </w:t>
      </w:r>
      <w:r>
        <w:rPr>
          <w:rFonts w:cs="Arial"/>
          <w:sz w:val="22"/>
          <w:szCs w:val="22"/>
        </w:rPr>
        <w:t>are</w:t>
      </w:r>
      <w:r w:rsidRPr="00043CB4">
        <w:rPr>
          <w:rFonts w:cs="Arial"/>
          <w:sz w:val="22"/>
          <w:szCs w:val="22"/>
        </w:rPr>
        <w:t xml:space="preserve"> perceived as "blind and deaf" in an ecosystem without this environmental scanning.</w:t>
      </w:r>
      <w:r w:rsidR="003C3CDD" w:rsidRPr="001645FC">
        <w:rPr>
          <w:rFonts w:cs="Arial"/>
          <w:sz w:val="22"/>
          <w:szCs w:val="22"/>
        </w:rPr>
        <w:t xml:space="preserve"> Hence, the framework is not only </w:t>
      </w:r>
      <w:r w:rsidR="001645FC">
        <w:rPr>
          <w:rFonts w:cs="Arial"/>
          <w:sz w:val="22"/>
          <w:szCs w:val="22"/>
        </w:rPr>
        <w:t xml:space="preserve">a </w:t>
      </w:r>
      <w:r w:rsidR="003C3CDD" w:rsidRPr="001645FC">
        <w:rPr>
          <w:rFonts w:cs="Arial"/>
          <w:sz w:val="22"/>
          <w:szCs w:val="22"/>
        </w:rPr>
        <w:t>descriptive but strategically integrative</w:t>
      </w:r>
      <w:r w:rsidR="001645FC">
        <w:rPr>
          <w:rFonts w:cs="Arial"/>
          <w:sz w:val="22"/>
          <w:szCs w:val="22"/>
        </w:rPr>
        <w:t xml:space="preserve"> instrument</w:t>
      </w:r>
      <w:r w:rsidR="003C3CDD" w:rsidRPr="001645FC">
        <w:rPr>
          <w:rFonts w:cs="Arial"/>
          <w:sz w:val="22"/>
          <w:szCs w:val="22"/>
        </w:rPr>
        <w:t>.</w:t>
      </w:r>
      <w:r w:rsidR="001C17E3">
        <w:rPr>
          <w:rFonts w:cs="Arial"/>
          <w:sz w:val="22"/>
          <w:szCs w:val="22"/>
        </w:rPr>
        <w:t xml:space="preserve"> </w:t>
      </w:r>
      <w:r w:rsidR="003C3CDD" w:rsidRPr="001645FC">
        <w:rPr>
          <w:rFonts w:cs="Arial"/>
          <w:sz w:val="22"/>
          <w:szCs w:val="22"/>
        </w:rPr>
        <w:t xml:space="preserve">Complementing PESTEL, the SWOT analysis acts as a conceptual bridge between the external environment and the internal competencies and limitations of an organisation (Baker, 2004). </w:t>
      </w:r>
      <w:proofErr w:type="spellStart"/>
      <w:r w:rsidR="003C3CDD" w:rsidRPr="001645FC">
        <w:rPr>
          <w:rFonts w:cs="Arial"/>
          <w:sz w:val="22"/>
          <w:szCs w:val="22"/>
        </w:rPr>
        <w:t>Dibb</w:t>
      </w:r>
      <w:proofErr w:type="spellEnd"/>
      <w:r w:rsidR="003C3CDD" w:rsidRPr="001645FC">
        <w:rPr>
          <w:rFonts w:cs="Arial"/>
          <w:sz w:val="22"/>
          <w:szCs w:val="22"/>
        </w:rPr>
        <w:t xml:space="preserve">, </w:t>
      </w:r>
      <w:proofErr w:type="spellStart"/>
      <w:r w:rsidR="003C3CDD" w:rsidRPr="001645FC">
        <w:rPr>
          <w:rFonts w:cs="Arial"/>
          <w:sz w:val="22"/>
          <w:szCs w:val="22"/>
        </w:rPr>
        <w:t>Simkin</w:t>
      </w:r>
      <w:proofErr w:type="spellEnd"/>
      <w:r w:rsidR="003C3CDD" w:rsidRPr="001645FC">
        <w:rPr>
          <w:rFonts w:cs="Arial"/>
          <w:sz w:val="22"/>
          <w:szCs w:val="22"/>
        </w:rPr>
        <w:t xml:space="preserve"> and Ferrell (2012) argue that it helps in strategic marketing by linking information relating to the </w:t>
      </w:r>
      <w:r w:rsidR="001645FC" w:rsidRPr="001645FC">
        <w:rPr>
          <w:rFonts w:cs="Arial"/>
          <w:sz w:val="22"/>
          <w:szCs w:val="22"/>
        </w:rPr>
        <w:t>external factors</w:t>
      </w:r>
      <w:r w:rsidR="003C3CDD" w:rsidRPr="001645FC">
        <w:rPr>
          <w:rFonts w:cs="Arial"/>
          <w:sz w:val="22"/>
          <w:szCs w:val="22"/>
        </w:rPr>
        <w:t xml:space="preserve"> to the firm's unique value proposition</w:t>
      </w:r>
      <w:r w:rsidR="001D189B">
        <w:rPr>
          <w:rFonts w:cs="Arial"/>
          <w:sz w:val="22"/>
          <w:szCs w:val="22"/>
        </w:rPr>
        <w:t xml:space="preserve"> (see Appendix C)</w:t>
      </w:r>
      <w:r w:rsidR="001645FC" w:rsidRPr="001645FC">
        <w:rPr>
          <w:rFonts w:cs="Arial"/>
          <w:sz w:val="22"/>
          <w:szCs w:val="22"/>
        </w:rPr>
        <w:t>. Therefore,</w:t>
      </w:r>
      <w:r w:rsidR="00B02B21" w:rsidRPr="001645FC">
        <w:rPr>
          <w:rFonts w:cs="Arial"/>
          <w:sz w:val="22"/>
          <w:szCs w:val="22"/>
        </w:rPr>
        <w:t xml:space="preserve"> these </w:t>
      </w:r>
      <w:r w:rsidR="001D189B">
        <w:rPr>
          <w:rFonts w:cs="Arial"/>
          <w:sz w:val="22"/>
          <w:szCs w:val="22"/>
        </w:rPr>
        <w:t xml:space="preserve">external market analysis </w:t>
      </w:r>
      <w:r w:rsidR="00B02B21" w:rsidRPr="001645FC">
        <w:rPr>
          <w:rFonts w:cs="Arial"/>
          <w:sz w:val="22"/>
          <w:szCs w:val="22"/>
        </w:rPr>
        <w:t>tools</w:t>
      </w:r>
      <w:r w:rsidR="001645FC" w:rsidRPr="001645FC">
        <w:rPr>
          <w:rFonts w:cs="Arial"/>
          <w:sz w:val="22"/>
          <w:szCs w:val="22"/>
        </w:rPr>
        <w:t xml:space="preserve"> collectively</w:t>
      </w:r>
      <w:r w:rsidR="00B02B21" w:rsidRPr="001645FC">
        <w:rPr>
          <w:rFonts w:cs="Arial"/>
          <w:sz w:val="22"/>
          <w:szCs w:val="22"/>
        </w:rPr>
        <w:t xml:space="preserve"> provide a coherent foundation for strategic marketing management. </w:t>
      </w:r>
    </w:p>
    <w:p w14:paraId="561591F9" w14:textId="77777777" w:rsidR="001645FC" w:rsidRDefault="001645FC" w:rsidP="00EA37DA">
      <w:pPr>
        <w:spacing w:line="360" w:lineRule="auto"/>
      </w:pPr>
      <w:r>
        <w:br w:type="page"/>
      </w:r>
    </w:p>
    <w:p w14:paraId="148DDA25" w14:textId="77777777" w:rsidR="008F3F19" w:rsidRDefault="008F3F19" w:rsidP="00DC049E">
      <w:pPr>
        <w:pStyle w:val="Heading2"/>
      </w:pPr>
      <w:bookmarkStart w:id="3" w:name="_Toc214354966"/>
      <w:r>
        <w:lastRenderedPageBreak/>
        <w:t>Selection of Two External Macro Marketing Actors</w:t>
      </w:r>
      <w:bookmarkEnd w:id="3"/>
    </w:p>
    <w:p w14:paraId="20F68B5E" w14:textId="77777777" w:rsidR="00127C86" w:rsidRPr="006B4D76" w:rsidRDefault="00127C86" w:rsidP="00EA37DA">
      <w:pPr>
        <w:spacing w:line="360" w:lineRule="auto"/>
        <w:rPr>
          <w:rFonts w:cs="Arial"/>
          <w:sz w:val="22"/>
          <w:szCs w:val="22"/>
        </w:rPr>
      </w:pPr>
      <w:r w:rsidRPr="006B4D76">
        <w:rPr>
          <w:rFonts w:cs="Arial"/>
          <w:sz w:val="22"/>
          <w:szCs w:val="22"/>
        </w:rPr>
        <w:t xml:space="preserve">Although all dimensions of the PESTEL framework are relevant, political and environmental actors are chosen for more in-depth analysis </w:t>
      </w:r>
      <w:r w:rsidR="001C17E3">
        <w:rPr>
          <w:rFonts w:cs="Arial"/>
          <w:sz w:val="22"/>
          <w:szCs w:val="22"/>
        </w:rPr>
        <w:t>in</w:t>
      </w:r>
      <w:r w:rsidRPr="006B4D76">
        <w:rPr>
          <w:rFonts w:cs="Arial"/>
          <w:sz w:val="22"/>
          <w:szCs w:val="22"/>
        </w:rPr>
        <w:t xml:space="preserve"> this report</w:t>
      </w:r>
      <w:r w:rsidR="002557ED">
        <w:rPr>
          <w:rFonts w:cs="Arial"/>
          <w:sz w:val="22"/>
          <w:szCs w:val="22"/>
        </w:rPr>
        <w:t>,</w:t>
      </w:r>
      <w:r w:rsidRPr="006B4D76">
        <w:rPr>
          <w:rFonts w:cs="Arial"/>
          <w:sz w:val="22"/>
          <w:szCs w:val="22"/>
        </w:rPr>
        <w:t xml:space="preserve"> </w:t>
      </w:r>
      <w:r w:rsidR="002557ED">
        <w:rPr>
          <w:rFonts w:cs="Arial"/>
          <w:sz w:val="22"/>
          <w:szCs w:val="22"/>
        </w:rPr>
        <w:t>considering the following</w:t>
      </w:r>
      <w:r w:rsidR="002557ED" w:rsidRPr="006B4D76">
        <w:rPr>
          <w:rFonts w:cs="Arial"/>
          <w:sz w:val="22"/>
          <w:szCs w:val="22"/>
        </w:rPr>
        <w:t>:</w:t>
      </w:r>
      <w:r w:rsidRPr="006B4D76">
        <w:rPr>
          <w:rFonts w:cs="Arial"/>
          <w:sz w:val="22"/>
          <w:szCs w:val="22"/>
        </w:rPr>
        <w:t xml:space="preserve"> </w:t>
      </w:r>
    </w:p>
    <w:p w14:paraId="2D4D6B64" w14:textId="77777777" w:rsidR="00037B4F" w:rsidRPr="006B4D76" w:rsidRDefault="00037B4F" w:rsidP="00EA37DA">
      <w:pPr>
        <w:spacing w:line="360" w:lineRule="auto"/>
        <w:rPr>
          <w:rFonts w:cs="Arial"/>
          <w:b/>
          <w:bCs/>
          <w:sz w:val="22"/>
          <w:szCs w:val="22"/>
        </w:rPr>
      </w:pPr>
      <w:r w:rsidRPr="006B4D76">
        <w:rPr>
          <w:rFonts w:cs="Arial"/>
          <w:b/>
          <w:bCs/>
          <w:sz w:val="22"/>
          <w:szCs w:val="22"/>
        </w:rPr>
        <w:t xml:space="preserve">Political </w:t>
      </w:r>
      <w:r w:rsidR="00EA37DA">
        <w:rPr>
          <w:rFonts w:cs="Arial"/>
          <w:b/>
          <w:bCs/>
          <w:sz w:val="22"/>
          <w:szCs w:val="22"/>
        </w:rPr>
        <w:t>A</w:t>
      </w:r>
      <w:r w:rsidRPr="006B4D76">
        <w:rPr>
          <w:rFonts w:cs="Arial"/>
          <w:b/>
          <w:bCs/>
          <w:sz w:val="22"/>
          <w:szCs w:val="22"/>
        </w:rPr>
        <w:t xml:space="preserve">ctor  </w:t>
      </w:r>
    </w:p>
    <w:p w14:paraId="0E1DB7CB" w14:textId="77777777" w:rsidR="00037B4F" w:rsidRPr="006B4D76" w:rsidRDefault="00037B4F" w:rsidP="00EA37DA">
      <w:pPr>
        <w:spacing w:line="360" w:lineRule="auto"/>
        <w:rPr>
          <w:rFonts w:cs="Arial"/>
          <w:sz w:val="22"/>
          <w:szCs w:val="22"/>
        </w:rPr>
      </w:pPr>
      <w:r w:rsidRPr="006B4D76">
        <w:rPr>
          <w:rFonts w:cs="Arial"/>
          <w:sz w:val="22"/>
          <w:szCs w:val="22"/>
        </w:rPr>
        <w:t>Political forces influence the regulatory environment that determines the magnitude and temporal evolution of the EV market in the UK. For instance, the UK's Zero Emission Vehicle (ZEV) policy requires a growing share of new vehicle sales</w:t>
      </w:r>
      <w:r w:rsidR="00454BE3">
        <w:rPr>
          <w:rFonts w:cs="Arial"/>
          <w:sz w:val="22"/>
          <w:szCs w:val="22"/>
        </w:rPr>
        <w:t xml:space="preserve"> (</w:t>
      </w:r>
      <w:r w:rsidR="00454BE3" w:rsidRPr="00454BE3">
        <w:rPr>
          <w:rFonts w:cs="Arial"/>
          <w:sz w:val="22"/>
          <w:szCs w:val="22"/>
        </w:rPr>
        <w:t>80</w:t>
      </w:r>
      <w:r w:rsidR="00454BE3">
        <w:rPr>
          <w:rFonts w:cs="Arial"/>
          <w:sz w:val="22"/>
          <w:szCs w:val="22"/>
        </w:rPr>
        <w:t xml:space="preserve">% </w:t>
      </w:r>
      <w:r w:rsidR="00454BE3" w:rsidRPr="00454BE3">
        <w:rPr>
          <w:rFonts w:cs="Arial"/>
          <w:sz w:val="22"/>
          <w:szCs w:val="22"/>
        </w:rPr>
        <w:t>in 2030 and 100</w:t>
      </w:r>
      <w:r w:rsidR="00454BE3">
        <w:rPr>
          <w:rFonts w:cs="Arial"/>
          <w:sz w:val="22"/>
          <w:szCs w:val="22"/>
        </w:rPr>
        <w:t xml:space="preserve">% </w:t>
      </w:r>
      <w:r w:rsidR="00454BE3" w:rsidRPr="00454BE3">
        <w:rPr>
          <w:rFonts w:cs="Arial"/>
          <w:sz w:val="22"/>
          <w:szCs w:val="22"/>
        </w:rPr>
        <w:t>in 2035</w:t>
      </w:r>
      <w:r w:rsidR="00454BE3">
        <w:rPr>
          <w:rFonts w:cs="Arial"/>
          <w:sz w:val="22"/>
          <w:szCs w:val="22"/>
        </w:rPr>
        <w:t xml:space="preserve">) </w:t>
      </w:r>
      <w:r w:rsidRPr="006B4D76">
        <w:rPr>
          <w:rFonts w:cs="Arial"/>
          <w:sz w:val="22"/>
          <w:szCs w:val="22"/>
        </w:rPr>
        <w:t>to be zero emission by 2035 (GOV.UK, 2023). This trajectory of statutory demands forces manufacturers to rethink production, supply chain and marketing strategies. Furthermore, public policy is also driving the development of this sector</w:t>
      </w:r>
      <w:r w:rsidR="00127C86" w:rsidRPr="006B4D76">
        <w:rPr>
          <w:rFonts w:cs="Arial"/>
          <w:sz w:val="22"/>
          <w:szCs w:val="22"/>
        </w:rPr>
        <w:t xml:space="preserve">. For instance, the government’s </w:t>
      </w:r>
      <w:r w:rsidR="00EA37DA">
        <w:rPr>
          <w:rFonts w:cs="Arial"/>
          <w:sz w:val="22"/>
          <w:szCs w:val="22"/>
        </w:rPr>
        <w:t>“</w:t>
      </w:r>
      <w:r w:rsidR="00127C86" w:rsidRPr="006B4D76">
        <w:rPr>
          <w:rFonts w:cs="Arial"/>
          <w:sz w:val="22"/>
          <w:szCs w:val="22"/>
        </w:rPr>
        <w:t xml:space="preserve">EV </w:t>
      </w:r>
      <w:proofErr w:type="spellStart"/>
      <w:r w:rsidR="00127C86" w:rsidRPr="006B4D76">
        <w:rPr>
          <w:rFonts w:cs="Arial"/>
          <w:sz w:val="22"/>
          <w:szCs w:val="22"/>
        </w:rPr>
        <w:t>Chargepoint</w:t>
      </w:r>
      <w:proofErr w:type="spellEnd"/>
      <w:r w:rsidR="00127C86" w:rsidRPr="006B4D76">
        <w:rPr>
          <w:rFonts w:cs="Arial"/>
          <w:sz w:val="22"/>
          <w:szCs w:val="22"/>
        </w:rPr>
        <w:t xml:space="preserve"> Grant</w:t>
      </w:r>
      <w:r w:rsidR="00EA37DA">
        <w:rPr>
          <w:rFonts w:cs="Arial"/>
          <w:sz w:val="22"/>
          <w:szCs w:val="22"/>
        </w:rPr>
        <w:t>”</w:t>
      </w:r>
      <w:r w:rsidR="00127C86" w:rsidRPr="006B4D76">
        <w:rPr>
          <w:rFonts w:cs="Arial"/>
          <w:sz w:val="22"/>
          <w:szCs w:val="22"/>
        </w:rPr>
        <w:t xml:space="preserve"> provides up to 75% of the cost of installing charge points at domestic properties </w:t>
      </w:r>
      <w:r w:rsidRPr="006B4D76">
        <w:rPr>
          <w:rFonts w:cs="Arial"/>
          <w:sz w:val="22"/>
          <w:szCs w:val="22"/>
        </w:rPr>
        <w:t>(GOV.UK, 202</w:t>
      </w:r>
      <w:r w:rsidR="00127C86" w:rsidRPr="006B4D76">
        <w:rPr>
          <w:rFonts w:cs="Arial"/>
          <w:sz w:val="22"/>
          <w:szCs w:val="22"/>
        </w:rPr>
        <w:t>5a</w:t>
      </w:r>
      <w:r w:rsidRPr="006B4D76">
        <w:rPr>
          <w:rFonts w:cs="Arial"/>
          <w:sz w:val="22"/>
          <w:szCs w:val="22"/>
        </w:rPr>
        <w:t>). This reduces consumer barriers to the industry, resulting in changes to the market entry, product portfolios, and promotional position</w:t>
      </w:r>
      <w:r w:rsidR="00BA2B69">
        <w:rPr>
          <w:rFonts w:cs="Arial"/>
          <w:sz w:val="22"/>
          <w:szCs w:val="22"/>
        </w:rPr>
        <w:t xml:space="preserve"> of automobile companies</w:t>
      </w:r>
      <w:r w:rsidRPr="006B4D76">
        <w:rPr>
          <w:rFonts w:cs="Arial"/>
          <w:sz w:val="22"/>
          <w:szCs w:val="22"/>
        </w:rPr>
        <w:t xml:space="preserve">.  </w:t>
      </w:r>
    </w:p>
    <w:p w14:paraId="25209FC5" w14:textId="77777777" w:rsidR="00037B4F" w:rsidRPr="006B4D76" w:rsidRDefault="00037B4F" w:rsidP="00EA37DA">
      <w:pPr>
        <w:spacing w:line="360" w:lineRule="auto"/>
        <w:rPr>
          <w:rFonts w:cs="Arial"/>
          <w:b/>
          <w:bCs/>
          <w:sz w:val="22"/>
          <w:szCs w:val="22"/>
        </w:rPr>
      </w:pPr>
      <w:r w:rsidRPr="006B4D76">
        <w:rPr>
          <w:rFonts w:cs="Arial"/>
          <w:b/>
          <w:bCs/>
          <w:sz w:val="22"/>
          <w:szCs w:val="22"/>
        </w:rPr>
        <w:t>Environmental Actor</w:t>
      </w:r>
    </w:p>
    <w:p w14:paraId="6F9E04CE" w14:textId="77777777" w:rsidR="00DC049E" w:rsidRDefault="00037B4F" w:rsidP="00DC049E">
      <w:pPr>
        <w:spacing w:line="360" w:lineRule="auto"/>
      </w:pPr>
      <w:r w:rsidRPr="006B4D76">
        <w:rPr>
          <w:rFonts w:cs="Arial"/>
          <w:sz w:val="22"/>
          <w:szCs w:val="22"/>
        </w:rPr>
        <w:t xml:space="preserve">Environmental forces form the key demand factor for EVs in the UK. </w:t>
      </w:r>
      <w:r w:rsidR="006B4D76" w:rsidRPr="006B4D76">
        <w:rPr>
          <w:rFonts w:cs="Arial"/>
          <w:sz w:val="22"/>
          <w:szCs w:val="22"/>
        </w:rPr>
        <w:t xml:space="preserve">Rising public concern over climate change, changing corporate sustainability expectations and increasing regulatory pressures have made environmental performance a key determining factor of brand identity, product innovation and communication strategies (Morton et al., 2018). </w:t>
      </w:r>
      <w:r w:rsidR="00EA37DA">
        <w:rPr>
          <w:rFonts w:cs="Arial"/>
          <w:sz w:val="22"/>
          <w:szCs w:val="22"/>
        </w:rPr>
        <w:t>Consequently</w:t>
      </w:r>
      <w:r w:rsidR="006B4D76" w:rsidRPr="006B4D76">
        <w:rPr>
          <w:rFonts w:cs="Arial"/>
          <w:sz w:val="22"/>
          <w:szCs w:val="22"/>
        </w:rPr>
        <w:t xml:space="preserve">, the number of battery electric vehicles </w:t>
      </w:r>
      <w:r w:rsidR="00EA37DA">
        <w:rPr>
          <w:rFonts w:cs="Arial"/>
          <w:sz w:val="22"/>
          <w:szCs w:val="22"/>
        </w:rPr>
        <w:t>produced</w:t>
      </w:r>
      <w:r w:rsidR="006B4D76" w:rsidRPr="006B4D76">
        <w:rPr>
          <w:rFonts w:cs="Arial"/>
          <w:sz w:val="22"/>
          <w:szCs w:val="22"/>
        </w:rPr>
        <w:t xml:space="preserve"> in the </w:t>
      </w:r>
      <w:r w:rsidR="00EA37DA">
        <w:rPr>
          <w:rFonts w:cs="Arial"/>
          <w:sz w:val="22"/>
          <w:szCs w:val="22"/>
        </w:rPr>
        <w:t>country</w:t>
      </w:r>
      <w:r w:rsidR="006B4D76" w:rsidRPr="006B4D76">
        <w:rPr>
          <w:rFonts w:cs="Arial"/>
          <w:sz w:val="22"/>
          <w:szCs w:val="22"/>
        </w:rPr>
        <w:t xml:space="preserve"> has exceeded 1.7 million units in 2025 from around 1.47 million units in 2023 (</w:t>
      </w:r>
      <w:proofErr w:type="spellStart"/>
      <w:r w:rsidR="006B4D76" w:rsidRPr="006B4D76">
        <w:rPr>
          <w:rFonts w:cs="Arial"/>
          <w:sz w:val="22"/>
          <w:szCs w:val="22"/>
        </w:rPr>
        <w:t>Statista</w:t>
      </w:r>
      <w:proofErr w:type="spellEnd"/>
      <w:r w:rsidR="006B4D76" w:rsidRPr="006B4D76">
        <w:rPr>
          <w:rFonts w:cs="Arial"/>
          <w:sz w:val="22"/>
          <w:szCs w:val="22"/>
        </w:rPr>
        <w:t xml:space="preserve">, 2025a).  Furthermore, the </w:t>
      </w:r>
      <w:r w:rsidRPr="006B4D76">
        <w:rPr>
          <w:rFonts w:cs="Arial"/>
          <w:sz w:val="22"/>
          <w:szCs w:val="22"/>
        </w:rPr>
        <w:t xml:space="preserve">accelerated growth in the number of public charge points </w:t>
      </w:r>
      <w:r w:rsidR="006B4D76" w:rsidRPr="006B4D76">
        <w:rPr>
          <w:rFonts w:cs="Arial"/>
          <w:sz w:val="22"/>
          <w:szCs w:val="22"/>
        </w:rPr>
        <w:t xml:space="preserve">to </w:t>
      </w:r>
      <w:r w:rsidRPr="006B4D76">
        <w:rPr>
          <w:rFonts w:cs="Arial"/>
          <w:sz w:val="22"/>
          <w:szCs w:val="22"/>
        </w:rPr>
        <w:t>73,334 devices as of 1st January 2025, with approximately a 37% year-on-year increase</w:t>
      </w:r>
      <w:r w:rsidR="006B4D76" w:rsidRPr="006B4D76">
        <w:rPr>
          <w:rFonts w:cs="Arial"/>
          <w:sz w:val="22"/>
          <w:szCs w:val="22"/>
        </w:rPr>
        <w:t xml:space="preserve">, </w:t>
      </w:r>
      <w:r w:rsidRPr="006B4D76">
        <w:rPr>
          <w:rFonts w:cs="Arial"/>
          <w:sz w:val="22"/>
          <w:szCs w:val="22"/>
        </w:rPr>
        <w:t>provide</w:t>
      </w:r>
      <w:r w:rsidR="006B4D76" w:rsidRPr="006B4D76">
        <w:rPr>
          <w:rFonts w:cs="Arial"/>
          <w:sz w:val="22"/>
          <w:szCs w:val="22"/>
        </w:rPr>
        <w:t>s</w:t>
      </w:r>
      <w:r w:rsidRPr="006B4D76">
        <w:rPr>
          <w:rFonts w:cs="Arial"/>
          <w:sz w:val="22"/>
          <w:szCs w:val="22"/>
        </w:rPr>
        <w:t xml:space="preserve"> evidence that environmental drivers are leading to tangible market transformation</w:t>
      </w:r>
      <w:r w:rsidR="00127C86" w:rsidRPr="006B4D76">
        <w:rPr>
          <w:rFonts w:cs="Arial"/>
          <w:sz w:val="22"/>
          <w:szCs w:val="22"/>
        </w:rPr>
        <w:t xml:space="preserve"> in the country (GOV.UK, 2025</w:t>
      </w:r>
      <w:r w:rsidR="006B4D76" w:rsidRPr="006B4D76">
        <w:rPr>
          <w:rFonts w:cs="Arial"/>
          <w:sz w:val="22"/>
          <w:szCs w:val="22"/>
        </w:rPr>
        <w:t>b</w:t>
      </w:r>
      <w:r w:rsidR="00127C86" w:rsidRPr="006B4D76">
        <w:rPr>
          <w:rFonts w:cs="Arial"/>
          <w:sz w:val="22"/>
          <w:szCs w:val="22"/>
        </w:rPr>
        <w:t>).</w:t>
      </w:r>
    </w:p>
    <w:p w14:paraId="1C2B548A" w14:textId="77777777" w:rsidR="00454BE3" w:rsidRPr="00DC049E" w:rsidRDefault="00454BE3" w:rsidP="00DC049E">
      <w:pPr>
        <w:pStyle w:val="Heading2"/>
        <w:rPr>
          <w:rFonts w:cs="Arial"/>
          <w:sz w:val="22"/>
          <w:szCs w:val="22"/>
        </w:rPr>
      </w:pPr>
      <w:bookmarkStart w:id="4" w:name="_Toc214354967"/>
      <w:r>
        <w:t>Critical Analysis of Each Actor</w:t>
      </w:r>
      <w:bookmarkEnd w:id="4"/>
    </w:p>
    <w:p w14:paraId="4556F5CB" w14:textId="77777777" w:rsidR="00454BE3" w:rsidRPr="00DC049E" w:rsidRDefault="00454BE3" w:rsidP="00DC049E">
      <w:pPr>
        <w:spacing w:line="360" w:lineRule="auto"/>
        <w:rPr>
          <w:rFonts w:cs="Arial"/>
          <w:b/>
          <w:bCs/>
          <w:sz w:val="22"/>
          <w:szCs w:val="22"/>
        </w:rPr>
      </w:pPr>
      <w:r w:rsidRPr="00DC049E">
        <w:rPr>
          <w:rFonts w:cs="Arial"/>
          <w:b/>
          <w:bCs/>
          <w:sz w:val="22"/>
          <w:szCs w:val="22"/>
        </w:rPr>
        <w:t xml:space="preserve">Political Actor </w:t>
      </w:r>
    </w:p>
    <w:p w14:paraId="34204769" w14:textId="77777777" w:rsidR="00EA37DA" w:rsidRPr="00DC049E" w:rsidRDefault="00CC256A" w:rsidP="00DC049E">
      <w:pPr>
        <w:spacing w:line="360" w:lineRule="auto"/>
        <w:rPr>
          <w:rFonts w:cs="Arial"/>
          <w:sz w:val="22"/>
          <w:szCs w:val="22"/>
        </w:rPr>
      </w:pPr>
      <w:r w:rsidRPr="00DC049E">
        <w:rPr>
          <w:rFonts w:cs="Arial"/>
          <w:sz w:val="22"/>
          <w:szCs w:val="22"/>
        </w:rPr>
        <w:t>The political factors</w:t>
      </w:r>
      <w:r w:rsidR="00454BE3" w:rsidRPr="00DC049E">
        <w:rPr>
          <w:rFonts w:cs="Arial"/>
          <w:sz w:val="22"/>
          <w:szCs w:val="22"/>
        </w:rPr>
        <w:t xml:space="preserve"> control the format of market change</w:t>
      </w:r>
      <w:r w:rsidRPr="00DC049E">
        <w:rPr>
          <w:rFonts w:cs="Arial"/>
          <w:sz w:val="22"/>
          <w:szCs w:val="22"/>
        </w:rPr>
        <w:t xml:space="preserve"> in the EV industry</w:t>
      </w:r>
      <w:r w:rsidR="00454BE3" w:rsidRPr="00DC049E">
        <w:rPr>
          <w:rFonts w:cs="Arial"/>
          <w:sz w:val="22"/>
          <w:szCs w:val="22"/>
        </w:rPr>
        <w:t xml:space="preserve">. For instance, the </w:t>
      </w:r>
      <w:r w:rsidR="006B4D76" w:rsidRPr="00DC049E">
        <w:rPr>
          <w:rFonts w:cs="Arial"/>
          <w:sz w:val="22"/>
          <w:szCs w:val="22"/>
        </w:rPr>
        <w:t>ZEV</w:t>
      </w:r>
      <w:r w:rsidR="00454BE3" w:rsidRPr="00DC049E">
        <w:rPr>
          <w:rFonts w:cs="Arial"/>
          <w:sz w:val="22"/>
          <w:szCs w:val="22"/>
        </w:rPr>
        <w:t xml:space="preserve"> m</w:t>
      </w:r>
      <w:r w:rsidR="006B4D76" w:rsidRPr="00DC049E">
        <w:rPr>
          <w:rFonts w:cs="Arial"/>
          <w:sz w:val="22"/>
          <w:szCs w:val="22"/>
        </w:rPr>
        <w:t>andate</w:t>
      </w:r>
      <w:r w:rsidR="00454BE3" w:rsidRPr="00DC049E">
        <w:rPr>
          <w:rFonts w:cs="Arial"/>
          <w:sz w:val="22"/>
          <w:szCs w:val="22"/>
        </w:rPr>
        <w:t xml:space="preserve"> to be emission-free </w:t>
      </w:r>
      <w:r w:rsidR="006B4D76" w:rsidRPr="00DC049E">
        <w:rPr>
          <w:rFonts w:cs="Arial"/>
          <w:sz w:val="22"/>
          <w:szCs w:val="22"/>
        </w:rPr>
        <w:t xml:space="preserve">gives direct market opening to </w:t>
      </w:r>
      <w:r w:rsidRPr="00DC049E">
        <w:rPr>
          <w:rFonts w:cs="Arial"/>
          <w:sz w:val="22"/>
          <w:szCs w:val="22"/>
        </w:rPr>
        <w:t>pioneering</w:t>
      </w:r>
      <w:r w:rsidR="006B4D76" w:rsidRPr="00DC049E">
        <w:rPr>
          <w:rFonts w:cs="Arial"/>
          <w:sz w:val="22"/>
          <w:szCs w:val="22"/>
        </w:rPr>
        <w:t xml:space="preserve"> </w:t>
      </w:r>
      <w:r w:rsidR="002557ED" w:rsidRPr="00DC049E">
        <w:rPr>
          <w:rFonts w:cs="Arial"/>
          <w:sz w:val="22"/>
          <w:szCs w:val="22"/>
        </w:rPr>
        <w:t xml:space="preserve">EV </w:t>
      </w:r>
      <w:r w:rsidR="006B4D76" w:rsidRPr="00DC049E">
        <w:rPr>
          <w:rFonts w:cs="Arial"/>
          <w:sz w:val="22"/>
          <w:szCs w:val="22"/>
        </w:rPr>
        <w:t xml:space="preserve">companies </w:t>
      </w:r>
      <w:r w:rsidR="00454BE3" w:rsidRPr="00DC049E">
        <w:rPr>
          <w:rFonts w:cs="Arial"/>
          <w:sz w:val="22"/>
          <w:szCs w:val="22"/>
        </w:rPr>
        <w:t>such as</w:t>
      </w:r>
      <w:r w:rsidR="006B4D76" w:rsidRPr="00DC049E">
        <w:rPr>
          <w:rFonts w:cs="Arial"/>
          <w:sz w:val="22"/>
          <w:szCs w:val="22"/>
        </w:rPr>
        <w:t xml:space="preserve"> Tesla</w:t>
      </w:r>
      <w:r w:rsidRPr="00DC049E">
        <w:rPr>
          <w:rFonts w:cs="Arial"/>
          <w:sz w:val="22"/>
          <w:szCs w:val="22"/>
        </w:rPr>
        <w:t xml:space="preserve">, Ford, </w:t>
      </w:r>
      <w:r w:rsidR="006B4D76" w:rsidRPr="00DC049E">
        <w:rPr>
          <w:rFonts w:cs="Arial"/>
          <w:sz w:val="22"/>
          <w:szCs w:val="22"/>
        </w:rPr>
        <w:t>Nissan</w:t>
      </w:r>
      <w:r w:rsidRPr="00DC049E">
        <w:rPr>
          <w:rFonts w:cs="Arial"/>
          <w:sz w:val="22"/>
          <w:szCs w:val="22"/>
        </w:rPr>
        <w:t xml:space="preserve"> and others</w:t>
      </w:r>
      <w:r w:rsidR="00454BE3" w:rsidRPr="00DC049E">
        <w:rPr>
          <w:rFonts w:cs="Arial"/>
          <w:sz w:val="22"/>
          <w:szCs w:val="22"/>
        </w:rPr>
        <w:t xml:space="preserve">. </w:t>
      </w:r>
      <w:r w:rsidR="002557ED" w:rsidRPr="00DC049E">
        <w:rPr>
          <w:rFonts w:cs="Arial"/>
          <w:sz w:val="22"/>
          <w:szCs w:val="22"/>
        </w:rPr>
        <w:t>These</w:t>
      </w:r>
      <w:r w:rsidR="00454BE3" w:rsidRPr="00DC049E">
        <w:rPr>
          <w:rFonts w:cs="Arial"/>
          <w:sz w:val="22"/>
          <w:szCs w:val="22"/>
        </w:rPr>
        <w:t xml:space="preserve"> companies can </w:t>
      </w:r>
      <w:r w:rsidR="006B4D76" w:rsidRPr="00DC049E">
        <w:rPr>
          <w:rFonts w:cs="Arial"/>
          <w:sz w:val="22"/>
          <w:szCs w:val="22"/>
        </w:rPr>
        <w:t>use their early compliance as a strategic differentiator</w:t>
      </w:r>
      <w:r w:rsidR="00EA5D45" w:rsidRPr="00DC049E">
        <w:rPr>
          <w:rFonts w:cs="Arial"/>
          <w:sz w:val="22"/>
          <w:szCs w:val="22"/>
        </w:rPr>
        <w:t xml:space="preserve"> by using policy alignment to strengthen brand credibility (Kotler et al., 2020)</w:t>
      </w:r>
      <w:r w:rsidR="006B4D76" w:rsidRPr="00DC049E">
        <w:rPr>
          <w:rFonts w:cs="Arial"/>
          <w:sz w:val="22"/>
          <w:szCs w:val="22"/>
        </w:rPr>
        <w:t xml:space="preserve">. </w:t>
      </w:r>
      <w:r w:rsidR="00544463" w:rsidRPr="00DC049E">
        <w:rPr>
          <w:rFonts w:cs="Arial"/>
          <w:sz w:val="22"/>
          <w:szCs w:val="22"/>
        </w:rPr>
        <w:t xml:space="preserve">For instance, Tesla capitalises on its early alignment with </w:t>
      </w:r>
      <w:r w:rsidR="00EA5D45" w:rsidRPr="00DC049E">
        <w:rPr>
          <w:rFonts w:cs="Arial"/>
          <w:sz w:val="22"/>
          <w:szCs w:val="22"/>
        </w:rPr>
        <w:t>the</w:t>
      </w:r>
      <w:r w:rsidR="00544463" w:rsidRPr="00DC049E">
        <w:rPr>
          <w:rFonts w:cs="Arial"/>
          <w:sz w:val="22"/>
          <w:szCs w:val="22"/>
        </w:rPr>
        <w:t xml:space="preserve"> policy to dominate the </w:t>
      </w:r>
      <w:r w:rsidR="00544463" w:rsidRPr="00DC049E">
        <w:rPr>
          <w:rFonts w:cs="Arial"/>
          <w:sz w:val="22"/>
          <w:szCs w:val="22"/>
        </w:rPr>
        <w:lastRenderedPageBreak/>
        <w:t>luxury BEV sector, while also profiting from infrastructure collaborations such as its “Supercharger</w:t>
      </w:r>
      <w:r w:rsidR="002557ED" w:rsidRPr="00DC049E">
        <w:rPr>
          <w:rFonts w:cs="Arial"/>
          <w:sz w:val="22"/>
          <w:szCs w:val="22"/>
        </w:rPr>
        <w:t xml:space="preserve"> N</w:t>
      </w:r>
      <w:r w:rsidR="00544463" w:rsidRPr="00DC049E">
        <w:rPr>
          <w:rFonts w:cs="Arial"/>
          <w:sz w:val="22"/>
          <w:szCs w:val="22"/>
        </w:rPr>
        <w:t>etwork,</w:t>
      </w:r>
      <w:r w:rsidR="002557ED" w:rsidRPr="00DC049E">
        <w:rPr>
          <w:rFonts w:cs="Arial"/>
          <w:sz w:val="22"/>
          <w:szCs w:val="22"/>
        </w:rPr>
        <w:t>”</w:t>
      </w:r>
      <w:r w:rsidR="00544463" w:rsidRPr="00DC049E">
        <w:rPr>
          <w:rFonts w:cs="Arial"/>
          <w:sz w:val="22"/>
          <w:szCs w:val="22"/>
        </w:rPr>
        <w:t xml:space="preserve"> which now offers open access through government engagement (TESMAG, 2025). </w:t>
      </w:r>
      <w:r w:rsidR="006B4D76" w:rsidRPr="00DC049E">
        <w:rPr>
          <w:rFonts w:cs="Arial"/>
          <w:sz w:val="22"/>
          <w:szCs w:val="22"/>
        </w:rPr>
        <w:t xml:space="preserve">Nevertheless, there are </w:t>
      </w:r>
      <w:r w:rsidR="00454BE3" w:rsidRPr="00DC049E">
        <w:rPr>
          <w:rFonts w:cs="Arial"/>
          <w:sz w:val="22"/>
          <w:szCs w:val="22"/>
        </w:rPr>
        <w:t>also risks</w:t>
      </w:r>
      <w:r w:rsidR="006B4D76" w:rsidRPr="00DC049E">
        <w:rPr>
          <w:rFonts w:cs="Arial"/>
          <w:sz w:val="22"/>
          <w:szCs w:val="22"/>
        </w:rPr>
        <w:t xml:space="preserve"> brought about by political</w:t>
      </w:r>
      <w:r w:rsidR="002557ED" w:rsidRPr="00DC049E">
        <w:rPr>
          <w:rFonts w:cs="Arial"/>
          <w:sz w:val="22"/>
          <w:szCs w:val="22"/>
        </w:rPr>
        <w:t xml:space="preserve"> unpredictability</w:t>
      </w:r>
      <w:r w:rsidR="006B4D76" w:rsidRPr="00DC049E">
        <w:rPr>
          <w:rFonts w:cs="Arial"/>
          <w:sz w:val="22"/>
          <w:szCs w:val="22"/>
        </w:rPr>
        <w:t xml:space="preserve">. </w:t>
      </w:r>
      <w:r w:rsidRPr="00DC049E">
        <w:rPr>
          <w:rFonts w:cs="Arial"/>
          <w:sz w:val="22"/>
          <w:szCs w:val="22"/>
        </w:rPr>
        <w:t xml:space="preserve">For instance, </w:t>
      </w:r>
      <w:r w:rsidR="002557ED" w:rsidRPr="00DC049E">
        <w:rPr>
          <w:rFonts w:cs="Arial"/>
          <w:sz w:val="22"/>
          <w:szCs w:val="22"/>
        </w:rPr>
        <w:t>in</w:t>
      </w:r>
      <w:r w:rsidR="006B4D76" w:rsidRPr="00DC049E">
        <w:rPr>
          <w:rFonts w:cs="Arial"/>
          <w:sz w:val="22"/>
          <w:szCs w:val="22"/>
        </w:rPr>
        <w:t xml:space="preserve"> 2023, the government announced a postponement of the ban on the sale of new petrol and diesel vehicles to 2035 (Reuters, 202</w:t>
      </w:r>
      <w:r w:rsidRPr="00DC049E">
        <w:rPr>
          <w:rFonts w:cs="Arial"/>
          <w:sz w:val="22"/>
          <w:szCs w:val="22"/>
        </w:rPr>
        <w:t>3</w:t>
      </w:r>
      <w:r w:rsidR="006B4D76" w:rsidRPr="00DC049E">
        <w:rPr>
          <w:rFonts w:cs="Arial"/>
          <w:sz w:val="22"/>
          <w:szCs w:val="22"/>
        </w:rPr>
        <w:t>)</w:t>
      </w:r>
      <w:r w:rsidR="00454BE3" w:rsidRPr="00DC049E">
        <w:rPr>
          <w:rFonts w:cs="Arial"/>
          <w:sz w:val="22"/>
          <w:szCs w:val="22"/>
        </w:rPr>
        <w:t>.</w:t>
      </w:r>
      <w:r w:rsidRPr="00DC049E">
        <w:rPr>
          <w:rFonts w:cs="Arial"/>
          <w:sz w:val="22"/>
          <w:szCs w:val="22"/>
        </w:rPr>
        <w:t xml:space="preserve"> Ford, </w:t>
      </w:r>
      <w:r w:rsidR="00EA5D45" w:rsidRPr="00DC049E">
        <w:rPr>
          <w:rFonts w:cs="Arial"/>
          <w:sz w:val="22"/>
          <w:szCs w:val="22"/>
        </w:rPr>
        <w:t>which declared to</w:t>
      </w:r>
      <w:r w:rsidRPr="00DC049E">
        <w:rPr>
          <w:rFonts w:cs="Arial"/>
          <w:sz w:val="22"/>
          <w:szCs w:val="22"/>
        </w:rPr>
        <w:t xml:space="preserve"> invest £380m to retool Halewood to create electric drivetrains</w:t>
      </w:r>
      <w:r w:rsidR="002557ED" w:rsidRPr="00DC049E">
        <w:rPr>
          <w:rFonts w:cs="Arial"/>
          <w:sz w:val="22"/>
          <w:szCs w:val="22"/>
        </w:rPr>
        <w:t xml:space="preserve"> in response to the policy</w:t>
      </w:r>
      <w:r w:rsidRPr="00DC049E">
        <w:rPr>
          <w:rFonts w:cs="Arial"/>
          <w:sz w:val="22"/>
          <w:szCs w:val="22"/>
        </w:rPr>
        <w:t xml:space="preserve">, openly criticised the policy change </w:t>
      </w:r>
      <w:r w:rsidR="002557ED" w:rsidRPr="00DC049E">
        <w:rPr>
          <w:rFonts w:cs="Arial"/>
          <w:sz w:val="22"/>
          <w:szCs w:val="22"/>
        </w:rPr>
        <w:t>by stating</w:t>
      </w:r>
      <w:r w:rsidRPr="00DC049E">
        <w:rPr>
          <w:rFonts w:cs="Arial"/>
          <w:sz w:val="22"/>
          <w:szCs w:val="22"/>
        </w:rPr>
        <w:t xml:space="preserve"> that </w:t>
      </w:r>
      <w:proofErr w:type="spellStart"/>
      <w:r w:rsidRPr="00DC049E">
        <w:rPr>
          <w:rFonts w:cs="Arial"/>
          <w:sz w:val="22"/>
          <w:szCs w:val="22"/>
        </w:rPr>
        <w:t>backflushing</w:t>
      </w:r>
      <w:proofErr w:type="spellEnd"/>
      <w:r w:rsidRPr="00DC049E">
        <w:rPr>
          <w:rFonts w:cs="Arial"/>
          <w:sz w:val="22"/>
          <w:szCs w:val="22"/>
        </w:rPr>
        <w:t xml:space="preserve"> would cause customer and producer stress </w:t>
      </w:r>
      <w:r w:rsidR="002557ED" w:rsidRPr="00DC049E">
        <w:rPr>
          <w:rFonts w:cs="Arial"/>
          <w:sz w:val="22"/>
          <w:szCs w:val="22"/>
        </w:rPr>
        <w:t>while</w:t>
      </w:r>
      <w:r w:rsidRPr="00DC049E">
        <w:rPr>
          <w:rFonts w:cs="Arial"/>
          <w:sz w:val="22"/>
          <w:szCs w:val="22"/>
        </w:rPr>
        <w:t xml:space="preserve"> damag</w:t>
      </w:r>
      <w:r w:rsidR="002557ED" w:rsidRPr="00DC049E">
        <w:rPr>
          <w:rFonts w:cs="Arial"/>
          <w:sz w:val="22"/>
          <w:szCs w:val="22"/>
        </w:rPr>
        <w:t>ing</w:t>
      </w:r>
      <w:r w:rsidRPr="00DC049E">
        <w:rPr>
          <w:rFonts w:cs="Arial"/>
          <w:sz w:val="22"/>
          <w:szCs w:val="22"/>
        </w:rPr>
        <w:t xml:space="preserve"> zero-emission marketing activities (Reuters, 2023). However, </w:t>
      </w:r>
      <w:r w:rsidR="00544463" w:rsidRPr="00DC049E">
        <w:rPr>
          <w:rFonts w:cs="Arial"/>
          <w:sz w:val="22"/>
          <w:szCs w:val="22"/>
        </w:rPr>
        <w:t>follower companies such as Toyota took the occasion to increase their own hybrid-marketing efforts</w:t>
      </w:r>
      <w:r w:rsidR="00EA5D45" w:rsidRPr="00DC049E">
        <w:rPr>
          <w:rFonts w:cs="Arial"/>
          <w:sz w:val="22"/>
          <w:szCs w:val="22"/>
        </w:rPr>
        <w:t xml:space="preserve"> by stating that the delay enabled them to “remain competitive” (Financial Times, 2023),</w:t>
      </w:r>
      <w:r w:rsidR="00544463" w:rsidRPr="00DC049E">
        <w:rPr>
          <w:rFonts w:cs="Arial"/>
          <w:sz w:val="22"/>
          <w:szCs w:val="22"/>
        </w:rPr>
        <w:t xml:space="preserve"> while Jaguar Land Rover reasserted its all-electric goal of 2030</w:t>
      </w:r>
      <w:r w:rsidR="00EA5D45" w:rsidRPr="00DC049E">
        <w:rPr>
          <w:rFonts w:cs="Arial"/>
          <w:sz w:val="22"/>
          <w:szCs w:val="22"/>
        </w:rPr>
        <w:t xml:space="preserve"> following the delay (The Financial Express, 2023)</w:t>
      </w:r>
      <w:r w:rsidRPr="00DC049E">
        <w:rPr>
          <w:rFonts w:cs="Arial"/>
          <w:sz w:val="22"/>
          <w:szCs w:val="22"/>
        </w:rPr>
        <w:t>.</w:t>
      </w:r>
      <w:r w:rsidR="00544463" w:rsidRPr="00DC049E">
        <w:rPr>
          <w:rFonts w:cs="Arial"/>
          <w:sz w:val="22"/>
          <w:szCs w:val="22"/>
        </w:rPr>
        <w:t xml:space="preserve"> </w:t>
      </w:r>
      <w:r w:rsidR="00E26173" w:rsidRPr="00E26173">
        <w:rPr>
          <w:rFonts w:cs="Arial"/>
          <w:sz w:val="22"/>
          <w:szCs w:val="22"/>
        </w:rPr>
        <w:t xml:space="preserve">Hence, these illustrations explain that </w:t>
      </w:r>
      <w:r w:rsidR="00E26173">
        <w:rPr>
          <w:rFonts w:cs="Arial"/>
          <w:sz w:val="22"/>
          <w:szCs w:val="22"/>
        </w:rPr>
        <w:t>political change</w:t>
      </w:r>
      <w:r w:rsidR="00E26173" w:rsidRPr="00E26173">
        <w:rPr>
          <w:rFonts w:cs="Arial"/>
          <w:sz w:val="22"/>
          <w:szCs w:val="22"/>
        </w:rPr>
        <w:t xml:space="preserve"> emphasi</w:t>
      </w:r>
      <w:r w:rsidR="00E26173">
        <w:rPr>
          <w:rFonts w:cs="Arial"/>
          <w:sz w:val="22"/>
          <w:szCs w:val="22"/>
        </w:rPr>
        <w:t>s</w:t>
      </w:r>
      <w:r w:rsidR="00E26173" w:rsidRPr="00E26173">
        <w:rPr>
          <w:rFonts w:cs="Arial"/>
          <w:sz w:val="22"/>
          <w:szCs w:val="22"/>
        </w:rPr>
        <w:t xml:space="preserve">es the need for pioneering firms to maintain brand resilience while follower enterprises are </w:t>
      </w:r>
      <w:r w:rsidR="00E26173">
        <w:rPr>
          <w:rFonts w:cs="Arial"/>
          <w:sz w:val="22"/>
          <w:szCs w:val="22"/>
        </w:rPr>
        <w:t>required</w:t>
      </w:r>
      <w:r w:rsidR="00E26173" w:rsidRPr="00E26173">
        <w:rPr>
          <w:rFonts w:cs="Arial"/>
          <w:sz w:val="22"/>
          <w:szCs w:val="22"/>
        </w:rPr>
        <w:t xml:space="preserve"> to take on strategies that align with the changing policy environments to capture the benefits of market timing.</w:t>
      </w:r>
    </w:p>
    <w:p w14:paraId="556058BE" w14:textId="77777777" w:rsidR="00EA37DA" w:rsidRPr="00DC049E" w:rsidRDefault="00EA37DA" w:rsidP="00DC049E">
      <w:pPr>
        <w:spacing w:line="360" w:lineRule="auto"/>
        <w:rPr>
          <w:rFonts w:cs="Arial"/>
          <w:b/>
          <w:bCs/>
          <w:sz w:val="22"/>
          <w:szCs w:val="22"/>
        </w:rPr>
      </w:pPr>
      <w:r w:rsidRPr="00DC049E">
        <w:rPr>
          <w:rFonts w:cs="Arial"/>
          <w:b/>
          <w:bCs/>
          <w:sz w:val="22"/>
          <w:szCs w:val="22"/>
        </w:rPr>
        <w:t>Environmental Actor</w:t>
      </w:r>
    </w:p>
    <w:p w14:paraId="6C394371" w14:textId="77777777" w:rsidR="00643B94" w:rsidRPr="00DC049E" w:rsidRDefault="00E26173" w:rsidP="00DC049E">
      <w:pPr>
        <w:spacing w:line="360" w:lineRule="auto"/>
        <w:rPr>
          <w:rFonts w:cs="Arial"/>
          <w:sz w:val="22"/>
          <w:szCs w:val="22"/>
        </w:rPr>
      </w:pPr>
      <w:r w:rsidRPr="00E26173">
        <w:rPr>
          <w:rFonts w:cs="Arial"/>
          <w:sz w:val="22"/>
          <w:szCs w:val="22"/>
        </w:rPr>
        <w:t xml:space="preserve">The environmental </w:t>
      </w:r>
      <w:r>
        <w:rPr>
          <w:rFonts w:cs="Arial"/>
          <w:sz w:val="22"/>
          <w:szCs w:val="22"/>
        </w:rPr>
        <w:t>factors</w:t>
      </w:r>
      <w:r w:rsidRPr="00E26173">
        <w:rPr>
          <w:rFonts w:cs="Arial"/>
          <w:sz w:val="22"/>
          <w:szCs w:val="22"/>
        </w:rPr>
        <w:t xml:space="preserve"> are the key drivers of demand in the EV</w:t>
      </w:r>
      <w:r>
        <w:rPr>
          <w:rFonts w:cs="Arial"/>
          <w:sz w:val="22"/>
          <w:szCs w:val="22"/>
        </w:rPr>
        <w:t xml:space="preserve"> </w:t>
      </w:r>
      <w:r w:rsidRPr="00E26173">
        <w:rPr>
          <w:rFonts w:cs="Arial"/>
          <w:sz w:val="22"/>
          <w:szCs w:val="22"/>
        </w:rPr>
        <w:t>market</w:t>
      </w:r>
      <w:r>
        <w:rPr>
          <w:rFonts w:cs="Arial"/>
          <w:sz w:val="22"/>
          <w:szCs w:val="22"/>
        </w:rPr>
        <w:t xml:space="preserve">. </w:t>
      </w:r>
      <w:r w:rsidRPr="00E26173">
        <w:rPr>
          <w:rFonts w:cs="Arial"/>
          <w:sz w:val="22"/>
          <w:szCs w:val="22"/>
        </w:rPr>
        <w:t>Growing societal awareness about climate change</w:t>
      </w:r>
      <w:r>
        <w:rPr>
          <w:rFonts w:cs="Arial"/>
          <w:sz w:val="22"/>
          <w:szCs w:val="22"/>
        </w:rPr>
        <w:t>,</w:t>
      </w:r>
      <w:r w:rsidRPr="00E26173">
        <w:rPr>
          <w:rFonts w:cs="Arial"/>
          <w:sz w:val="22"/>
          <w:szCs w:val="22"/>
        </w:rPr>
        <w:t xml:space="preserve"> </w:t>
      </w:r>
      <w:r>
        <w:rPr>
          <w:rFonts w:cs="Arial"/>
          <w:sz w:val="22"/>
          <w:szCs w:val="22"/>
        </w:rPr>
        <w:t>along with</w:t>
      </w:r>
      <w:r w:rsidRPr="00E26173">
        <w:rPr>
          <w:rFonts w:cs="Arial"/>
          <w:sz w:val="22"/>
          <w:szCs w:val="22"/>
        </w:rPr>
        <w:t xml:space="preserve"> the increasingly stringent governmental regulations and corporate commitment to achieve net zero emissions</w:t>
      </w:r>
      <w:r>
        <w:rPr>
          <w:rFonts w:cs="Arial"/>
          <w:sz w:val="22"/>
          <w:szCs w:val="22"/>
        </w:rPr>
        <w:t>,</w:t>
      </w:r>
      <w:r w:rsidRPr="00E26173">
        <w:rPr>
          <w:rFonts w:cs="Arial"/>
          <w:sz w:val="22"/>
          <w:szCs w:val="22"/>
        </w:rPr>
        <w:t xml:space="preserve"> ha</w:t>
      </w:r>
      <w:r>
        <w:rPr>
          <w:rFonts w:cs="Arial"/>
          <w:sz w:val="22"/>
          <w:szCs w:val="22"/>
        </w:rPr>
        <w:t>s</w:t>
      </w:r>
      <w:r w:rsidRPr="00E26173">
        <w:rPr>
          <w:rFonts w:cs="Arial"/>
          <w:sz w:val="22"/>
          <w:szCs w:val="22"/>
        </w:rPr>
        <w:t xml:space="preserve"> resulted in sustainability becoming a decisive factor influencing both consumer preference and corporate brand strategy (Morton et al., 2018). </w:t>
      </w:r>
      <w:r w:rsidR="00BC0AF9" w:rsidRPr="00BC0AF9">
        <w:rPr>
          <w:rFonts w:cs="Arial"/>
          <w:sz w:val="22"/>
          <w:szCs w:val="22"/>
        </w:rPr>
        <w:t>Th</w:t>
      </w:r>
      <w:r w:rsidR="00BC0AF9">
        <w:rPr>
          <w:rFonts w:cs="Arial"/>
          <w:sz w:val="22"/>
          <w:szCs w:val="22"/>
        </w:rPr>
        <w:t xml:space="preserve">is </w:t>
      </w:r>
      <w:r w:rsidR="00BC0AF9" w:rsidRPr="00BC0AF9">
        <w:rPr>
          <w:rFonts w:cs="Arial"/>
          <w:sz w:val="22"/>
          <w:szCs w:val="22"/>
        </w:rPr>
        <w:t>has enhanced the competitiveness of the innovative companies operating in the sector, including Tesla, Ford, Nissan and others. As an illustration, Tesla occupies the first place in the list of the most sustainable marketing companies with its message about a zero-emission future (Tesla, 2025). Similarly, the Nissan 3-billion initiative in Sunderland, UK, the EV36Zero, is among the largest investments in industrial sustainability that can not only improve its green industrial strategy but also support its reputation as a sustainability leader (Nissan, 2025).</w:t>
      </w:r>
      <w:r w:rsidR="00BC0AF9">
        <w:rPr>
          <w:rFonts w:cs="Arial"/>
          <w:sz w:val="22"/>
          <w:szCs w:val="22"/>
        </w:rPr>
        <w:t xml:space="preserve"> </w:t>
      </w:r>
      <w:r w:rsidR="00BA2B69" w:rsidRPr="00DC049E">
        <w:rPr>
          <w:rFonts w:cs="Arial"/>
          <w:sz w:val="22"/>
          <w:szCs w:val="22"/>
        </w:rPr>
        <w:t xml:space="preserve">Conversely, in the case of follower organisations, environmental forces present the opportunity to capitalise on the pre-existing consumer awareness, while posing the challenge of differentiation in a market that is increasingly sustainability-saturated (Morton et al., 2018). </w:t>
      </w:r>
      <w:r w:rsidR="00BC0AF9" w:rsidRPr="00BC0AF9">
        <w:rPr>
          <w:rFonts w:cs="Arial"/>
          <w:sz w:val="22"/>
          <w:szCs w:val="22"/>
        </w:rPr>
        <w:t>Consequently, the follower companies, including Hyundai, Volkswagen, BYD, and MG, have made their sustainability strategies centred on affordability. In the case of Volkswagen, the campaign of the ID.3 and ID.4 models boast</w:t>
      </w:r>
      <w:r w:rsidR="00BC0AF9">
        <w:rPr>
          <w:rFonts w:cs="Arial"/>
          <w:sz w:val="22"/>
          <w:szCs w:val="22"/>
        </w:rPr>
        <w:t>s</w:t>
      </w:r>
      <w:r w:rsidR="00BC0AF9" w:rsidRPr="00BC0AF9">
        <w:rPr>
          <w:rFonts w:cs="Arial"/>
          <w:sz w:val="22"/>
          <w:szCs w:val="22"/>
        </w:rPr>
        <w:t xml:space="preserve"> of carbon-neutral production and 100 per</w:t>
      </w:r>
      <w:r w:rsidR="00BC0AF9">
        <w:rPr>
          <w:rFonts w:cs="Arial"/>
          <w:sz w:val="22"/>
          <w:szCs w:val="22"/>
        </w:rPr>
        <w:t xml:space="preserve"> </w:t>
      </w:r>
      <w:r w:rsidR="00BC0AF9" w:rsidRPr="00BC0AF9">
        <w:rPr>
          <w:rFonts w:cs="Arial"/>
          <w:sz w:val="22"/>
          <w:szCs w:val="22"/>
        </w:rPr>
        <w:t xml:space="preserve">cent renewable charging alliances, without </w:t>
      </w:r>
      <w:r w:rsidR="00BC0AF9">
        <w:rPr>
          <w:rFonts w:cs="Arial"/>
          <w:sz w:val="22"/>
          <w:szCs w:val="22"/>
        </w:rPr>
        <w:t xml:space="preserve">any </w:t>
      </w:r>
      <w:r w:rsidR="00BC0AF9" w:rsidRPr="00BC0AF9">
        <w:rPr>
          <w:rFonts w:cs="Arial"/>
          <w:sz w:val="22"/>
          <w:szCs w:val="22"/>
        </w:rPr>
        <w:t xml:space="preserve">premium pricing (Volkswagen, 2020). Nevertheless, greenwashing is increasingly becoming a significant threat to the followers because, in the present time, sustainability is no longer a differentiator but a prerequisite (Liao and Wu, 2024). Thus, these initiatives imply that </w:t>
      </w:r>
      <w:r w:rsidR="00BC0AF9" w:rsidRPr="00BC0AF9">
        <w:rPr>
          <w:rFonts w:cs="Arial"/>
          <w:sz w:val="22"/>
          <w:szCs w:val="22"/>
        </w:rPr>
        <w:lastRenderedPageBreak/>
        <w:t>environmental stewardship is no longer just a reputational resource, but also a strategic necessity that has played a significant role in product development and marketing differentiation across the EV industry.</w:t>
      </w:r>
    </w:p>
    <w:p w14:paraId="6BDD3EC2" w14:textId="77777777" w:rsidR="00643B94" w:rsidRDefault="00643B94" w:rsidP="00643B94">
      <w:r>
        <w:br w:type="page"/>
      </w:r>
    </w:p>
    <w:p w14:paraId="21BD8A4B" w14:textId="77777777" w:rsidR="00643B94" w:rsidRDefault="00643B94" w:rsidP="00643B94">
      <w:pPr>
        <w:pStyle w:val="Heading1"/>
      </w:pPr>
      <w:bookmarkStart w:id="5" w:name="_Toc214354968"/>
      <w:r>
        <w:lastRenderedPageBreak/>
        <w:t>Task 2: Strategic Responses of Pioneering and Follower Organisations</w:t>
      </w:r>
      <w:bookmarkEnd w:id="5"/>
    </w:p>
    <w:p w14:paraId="7F6F35C9" w14:textId="77777777" w:rsidR="00643B94" w:rsidRPr="00643B94" w:rsidRDefault="00643B94" w:rsidP="00643B94">
      <w:pPr>
        <w:pStyle w:val="Heading2"/>
      </w:pPr>
      <w:bookmarkStart w:id="6" w:name="_Toc214354969"/>
      <w:r>
        <w:t>Pioneering Organisations’ Strategic Responses</w:t>
      </w:r>
      <w:bookmarkEnd w:id="6"/>
    </w:p>
    <w:p w14:paraId="686F585A" w14:textId="77777777" w:rsidR="00BD1779" w:rsidRDefault="00643B94" w:rsidP="00BD1779">
      <w:pPr>
        <w:spacing w:line="360" w:lineRule="auto"/>
        <w:rPr>
          <w:rFonts w:cs="Arial"/>
          <w:sz w:val="22"/>
          <w:szCs w:val="28"/>
        </w:rPr>
      </w:pPr>
      <w:r>
        <w:rPr>
          <w:rFonts w:cs="Arial"/>
          <w:sz w:val="22"/>
          <w:szCs w:val="28"/>
        </w:rPr>
        <w:t>Pioneering</w:t>
      </w:r>
      <w:r w:rsidRPr="00643B94">
        <w:rPr>
          <w:rFonts w:cs="Arial"/>
          <w:sz w:val="22"/>
          <w:szCs w:val="28"/>
        </w:rPr>
        <w:t xml:space="preserve"> organisations in the EV industry, such as Tesla, Nissan, and Ford, have been instrumental in establishing the early course of the shift towards sustainable electric mobility.</w:t>
      </w:r>
      <w:r w:rsidR="00F1303B">
        <w:rPr>
          <w:rFonts w:cs="Arial"/>
          <w:sz w:val="22"/>
          <w:szCs w:val="28"/>
        </w:rPr>
        <w:t xml:space="preserve"> </w:t>
      </w:r>
      <w:r w:rsidRPr="00643B94">
        <w:rPr>
          <w:rFonts w:cs="Arial"/>
          <w:sz w:val="22"/>
          <w:szCs w:val="28"/>
        </w:rPr>
        <w:t xml:space="preserve">According to Kotler, Keller and </w:t>
      </w:r>
      <w:proofErr w:type="spellStart"/>
      <w:r w:rsidRPr="00643B94">
        <w:rPr>
          <w:rFonts w:cs="Arial"/>
          <w:sz w:val="22"/>
          <w:szCs w:val="28"/>
        </w:rPr>
        <w:t>Chernev</w:t>
      </w:r>
      <w:proofErr w:type="spellEnd"/>
      <w:r w:rsidRPr="00643B94">
        <w:rPr>
          <w:rFonts w:cs="Arial"/>
          <w:sz w:val="22"/>
          <w:szCs w:val="28"/>
        </w:rPr>
        <w:t xml:space="preserve"> (2021), </w:t>
      </w:r>
      <w:r>
        <w:rPr>
          <w:rFonts w:cs="Arial"/>
          <w:sz w:val="22"/>
          <w:szCs w:val="28"/>
        </w:rPr>
        <w:t>pioneering</w:t>
      </w:r>
      <w:r w:rsidRPr="00643B94">
        <w:rPr>
          <w:rFonts w:cs="Arial"/>
          <w:sz w:val="22"/>
          <w:szCs w:val="28"/>
        </w:rPr>
        <w:t xml:space="preserve"> companies gain </w:t>
      </w:r>
      <w:r>
        <w:rPr>
          <w:rFonts w:cs="Arial"/>
          <w:sz w:val="22"/>
          <w:szCs w:val="28"/>
        </w:rPr>
        <w:t xml:space="preserve">a </w:t>
      </w:r>
      <w:r w:rsidRPr="00643B94">
        <w:rPr>
          <w:rFonts w:cs="Arial"/>
          <w:sz w:val="22"/>
          <w:szCs w:val="28"/>
        </w:rPr>
        <w:t xml:space="preserve">competitive edge </w:t>
      </w:r>
      <w:r w:rsidR="00F1303B">
        <w:rPr>
          <w:rFonts w:cs="Arial"/>
          <w:sz w:val="22"/>
          <w:szCs w:val="28"/>
        </w:rPr>
        <w:t xml:space="preserve">in the market </w:t>
      </w:r>
      <w:r w:rsidRPr="00643B94">
        <w:rPr>
          <w:rFonts w:cs="Arial"/>
          <w:sz w:val="22"/>
          <w:szCs w:val="28"/>
        </w:rPr>
        <w:t>by creating innovations ahead of market maturity.</w:t>
      </w:r>
      <w:r w:rsidR="00F1303B">
        <w:rPr>
          <w:rFonts w:cs="Arial"/>
          <w:sz w:val="22"/>
          <w:szCs w:val="28"/>
        </w:rPr>
        <w:t xml:space="preserve"> Furthermore, </w:t>
      </w:r>
      <w:proofErr w:type="spellStart"/>
      <w:r w:rsidR="00F1303B" w:rsidRPr="00F1303B">
        <w:rPr>
          <w:rFonts w:cs="Arial"/>
          <w:sz w:val="22"/>
          <w:szCs w:val="28"/>
        </w:rPr>
        <w:t>Suntsova</w:t>
      </w:r>
      <w:proofErr w:type="spellEnd"/>
      <w:r w:rsidR="00F1303B" w:rsidRPr="00F1303B">
        <w:rPr>
          <w:rFonts w:cs="Arial"/>
          <w:sz w:val="22"/>
          <w:szCs w:val="28"/>
        </w:rPr>
        <w:t xml:space="preserve"> (2024) emphasi</w:t>
      </w:r>
      <w:r w:rsidR="00F1303B">
        <w:rPr>
          <w:rFonts w:cs="Arial"/>
          <w:sz w:val="22"/>
          <w:szCs w:val="28"/>
        </w:rPr>
        <w:t>s</w:t>
      </w:r>
      <w:r w:rsidR="00F1303B" w:rsidRPr="00F1303B">
        <w:rPr>
          <w:rFonts w:cs="Arial"/>
          <w:sz w:val="22"/>
          <w:szCs w:val="28"/>
        </w:rPr>
        <w:t>es that first-mover advantages enable corporations to set industry norms, create brand identities, and influence the actions of subsequent entrants into the market.</w:t>
      </w:r>
      <w:r w:rsidR="00483269">
        <w:rPr>
          <w:rFonts w:cs="Arial"/>
          <w:sz w:val="22"/>
          <w:szCs w:val="28"/>
        </w:rPr>
        <w:t xml:space="preserve"> </w:t>
      </w:r>
      <w:r w:rsidR="00F1303B">
        <w:rPr>
          <w:rFonts w:cs="Arial"/>
          <w:sz w:val="22"/>
          <w:szCs w:val="28"/>
        </w:rPr>
        <w:t>However, in</w:t>
      </w:r>
      <w:r w:rsidRPr="00643B94">
        <w:rPr>
          <w:rFonts w:cs="Arial"/>
          <w:sz w:val="22"/>
          <w:szCs w:val="28"/>
        </w:rPr>
        <w:t xml:space="preserve"> the </w:t>
      </w:r>
      <w:r w:rsidR="00F1303B">
        <w:rPr>
          <w:rFonts w:cs="Arial"/>
          <w:sz w:val="22"/>
          <w:szCs w:val="28"/>
        </w:rPr>
        <w:t>UK</w:t>
      </w:r>
      <w:r w:rsidRPr="00643B94">
        <w:rPr>
          <w:rFonts w:cs="Arial"/>
          <w:sz w:val="22"/>
          <w:szCs w:val="28"/>
        </w:rPr>
        <w:t>, where political forces (</w:t>
      </w:r>
      <w:r w:rsidR="00F1303B">
        <w:rPr>
          <w:rFonts w:cs="Arial"/>
          <w:sz w:val="22"/>
          <w:szCs w:val="28"/>
        </w:rPr>
        <w:t xml:space="preserve">e.g., </w:t>
      </w:r>
      <w:r w:rsidRPr="00643B94">
        <w:rPr>
          <w:rFonts w:cs="Arial"/>
          <w:sz w:val="22"/>
          <w:szCs w:val="28"/>
        </w:rPr>
        <w:t xml:space="preserve">ZEV) and environmental </w:t>
      </w:r>
      <w:r w:rsidR="00F1303B" w:rsidRPr="00F1303B">
        <w:rPr>
          <w:rFonts w:cs="Arial"/>
          <w:sz w:val="22"/>
          <w:szCs w:val="28"/>
        </w:rPr>
        <w:t xml:space="preserve">imperatives </w:t>
      </w:r>
      <w:r w:rsidR="00F1303B">
        <w:rPr>
          <w:rFonts w:cs="Arial"/>
          <w:sz w:val="22"/>
          <w:szCs w:val="28"/>
        </w:rPr>
        <w:t>(</w:t>
      </w:r>
      <w:r w:rsidRPr="00643B94">
        <w:rPr>
          <w:rFonts w:cs="Arial"/>
          <w:sz w:val="22"/>
          <w:szCs w:val="28"/>
        </w:rPr>
        <w:t xml:space="preserve">e.g., </w:t>
      </w:r>
      <w:r w:rsidR="00F1303B" w:rsidRPr="00F1303B">
        <w:rPr>
          <w:rFonts w:cs="Arial"/>
          <w:sz w:val="22"/>
          <w:szCs w:val="28"/>
        </w:rPr>
        <w:t>the 2050 Net Zero target</w:t>
      </w:r>
      <w:r w:rsidRPr="00643B94">
        <w:rPr>
          <w:rFonts w:cs="Arial"/>
          <w:sz w:val="22"/>
          <w:szCs w:val="28"/>
        </w:rPr>
        <w:t xml:space="preserve">) are dominant, </w:t>
      </w:r>
      <w:r w:rsidR="00F1303B">
        <w:rPr>
          <w:rFonts w:cs="Arial"/>
          <w:sz w:val="22"/>
          <w:szCs w:val="28"/>
        </w:rPr>
        <w:t>these companies</w:t>
      </w:r>
      <w:r w:rsidRPr="00643B94">
        <w:rPr>
          <w:rFonts w:cs="Arial"/>
          <w:sz w:val="22"/>
          <w:szCs w:val="28"/>
        </w:rPr>
        <w:t xml:space="preserve"> </w:t>
      </w:r>
      <w:r w:rsidR="00F1303B">
        <w:rPr>
          <w:rFonts w:cs="Arial"/>
          <w:sz w:val="22"/>
          <w:szCs w:val="28"/>
        </w:rPr>
        <w:t xml:space="preserve">are in constant </w:t>
      </w:r>
      <w:r w:rsidRPr="00643B94">
        <w:rPr>
          <w:rFonts w:cs="Arial"/>
          <w:sz w:val="22"/>
          <w:szCs w:val="28"/>
        </w:rPr>
        <w:t xml:space="preserve">need to align their marketing plans with regulatory and sustainability goals. </w:t>
      </w:r>
      <w:r w:rsidR="00BD1779">
        <w:rPr>
          <w:rFonts w:cs="Arial"/>
          <w:sz w:val="22"/>
          <w:szCs w:val="28"/>
        </w:rPr>
        <w:t>In light of this, t</w:t>
      </w:r>
      <w:r w:rsidR="00BD1779" w:rsidRPr="00BD1779">
        <w:rPr>
          <w:rFonts w:cs="Arial"/>
          <w:sz w:val="22"/>
          <w:szCs w:val="28"/>
        </w:rPr>
        <w:t xml:space="preserve">he </w:t>
      </w:r>
      <w:r w:rsidR="00BD1779">
        <w:rPr>
          <w:rFonts w:cs="Arial"/>
          <w:sz w:val="22"/>
          <w:szCs w:val="28"/>
        </w:rPr>
        <w:t>following analysis provides</w:t>
      </w:r>
      <w:r w:rsidR="00BD1779" w:rsidRPr="00BD1779">
        <w:rPr>
          <w:rFonts w:cs="Arial"/>
          <w:sz w:val="22"/>
          <w:szCs w:val="28"/>
        </w:rPr>
        <w:t xml:space="preserve"> useful </w:t>
      </w:r>
      <w:r w:rsidR="00BD1779">
        <w:rPr>
          <w:rFonts w:cs="Arial"/>
          <w:sz w:val="22"/>
          <w:szCs w:val="28"/>
        </w:rPr>
        <w:t>insights</w:t>
      </w:r>
      <w:r w:rsidR="00BD1779" w:rsidRPr="00BD1779">
        <w:rPr>
          <w:rFonts w:cs="Arial"/>
          <w:sz w:val="22"/>
          <w:szCs w:val="28"/>
        </w:rPr>
        <w:t xml:space="preserve"> </w:t>
      </w:r>
      <w:r w:rsidR="00BD1779">
        <w:rPr>
          <w:rFonts w:cs="Arial"/>
          <w:sz w:val="22"/>
          <w:szCs w:val="28"/>
        </w:rPr>
        <w:t>in</w:t>
      </w:r>
      <w:r w:rsidR="00BD1779" w:rsidRPr="00BD1779">
        <w:rPr>
          <w:rFonts w:cs="Arial"/>
          <w:sz w:val="22"/>
          <w:szCs w:val="28"/>
        </w:rPr>
        <w:t xml:space="preserve">to </w:t>
      </w:r>
      <w:r w:rsidR="00BD1779">
        <w:rPr>
          <w:rFonts w:cs="Arial"/>
          <w:sz w:val="22"/>
          <w:szCs w:val="28"/>
        </w:rPr>
        <w:t>the</w:t>
      </w:r>
      <w:r w:rsidR="00BD1779" w:rsidRPr="00BD1779">
        <w:rPr>
          <w:rFonts w:cs="Arial"/>
          <w:sz w:val="22"/>
          <w:szCs w:val="28"/>
        </w:rPr>
        <w:t xml:space="preserve"> react</w:t>
      </w:r>
      <w:r w:rsidR="00BD1779">
        <w:rPr>
          <w:rFonts w:cs="Arial"/>
          <w:sz w:val="22"/>
          <w:szCs w:val="28"/>
        </w:rPr>
        <w:t>ion of these firms</w:t>
      </w:r>
      <w:r w:rsidR="00BD1779" w:rsidRPr="00BD1779">
        <w:rPr>
          <w:rFonts w:cs="Arial"/>
          <w:sz w:val="22"/>
          <w:szCs w:val="28"/>
        </w:rPr>
        <w:t xml:space="preserve"> to external threats and opportunities.</w:t>
      </w:r>
    </w:p>
    <w:p w14:paraId="129D6A1C" w14:textId="61BD1DF3" w:rsidR="00BD1779" w:rsidRPr="00BD1779" w:rsidRDefault="00BD1779" w:rsidP="00483269">
      <w:pPr>
        <w:pStyle w:val="Heading3"/>
      </w:pPr>
      <w:bookmarkStart w:id="7" w:name="_Toc214354970"/>
      <w:proofErr w:type="spellStart"/>
      <w:r w:rsidRPr="00BD1779">
        <w:t>Ansoff's</w:t>
      </w:r>
      <w:proofErr w:type="spellEnd"/>
      <w:r w:rsidRPr="00BD1779">
        <w:t xml:space="preserve"> Growth Matrix</w:t>
      </w:r>
      <w:r>
        <w:t xml:space="preserve"> Analysis</w:t>
      </w:r>
      <w:r w:rsidR="00D23D64" w:rsidRPr="00D23D64">
        <w:t xml:space="preserve"> </w:t>
      </w:r>
      <w:r w:rsidR="00D23D64">
        <w:t>of P</w:t>
      </w:r>
      <w:r w:rsidR="00D23D64" w:rsidRPr="00D23D64">
        <w:t xml:space="preserve">ioneering </w:t>
      </w:r>
      <w:r w:rsidR="00D23D64">
        <w:t>C</w:t>
      </w:r>
      <w:r w:rsidR="00D23D64" w:rsidRPr="00D23D64">
        <w:t>ompanies</w:t>
      </w:r>
      <w:bookmarkEnd w:id="7"/>
    </w:p>
    <w:p w14:paraId="3BFC7FDA" w14:textId="77777777" w:rsidR="00BD1779" w:rsidRPr="003A5F0B" w:rsidRDefault="00BD1779" w:rsidP="003A5F0B">
      <w:pPr>
        <w:spacing w:line="360" w:lineRule="auto"/>
        <w:rPr>
          <w:rFonts w:cs="Arial"/>
          <w:sz w:val="22"/>
          <w:szCs w:val="22"/>
        </w:rPr>
      </w:pPr>
      <w:r w:rsidRPr="003A5F0B">
        <w:rPr>
          <w:rFonts w:cs="Arial"/>
          <w:sz w:val="22"/>
          <w:szCs w:val="22"/>
        </w:rPr>
        <w:t>It presents the four strategic options (see Appendix D) that assist</w:t>
      </w:r>
      <w:r w:rsidR="00DE717A">
        <w:rPr>
          <w:rFonts w:cs="Arial"/>
          <w:sz w:val="22"/>
          <w:szCs w:val="22"/>
        </w:rPr>
        <w:t xml:space="preserve"> pioneering</w:t>
      </w:r>
      <w:r w:rsidRPr="003A5F0B">
        <w:rPr>
          <w:rFonts w:cs="Arial"/>
          <w:sz w:val="22"/>
          <w:szCs w:val="22"/>
        </w:rPr>
        <w:t xml:space="preserve"> companies in realising growth by venturing into new markets and product lines or existing markets and product lines (Kotler et al., 2020). It is incorporated below to analyse the pioneers</w:t>
      </w:r>
      <w:r w:rsidR="00F91682" w:rsidRPr="003A5F0B">
        <w:rPr>
          <w:rFonts w:cs="Arial"/>
          <w:sz w:val="22"/>
          <w:szCs w:val="22"/>
        </w:rPr>
        <w:t>’ reaction</w:t>
      </w:r>
      <w:r w:rsidRPr="003A5F0B">
        <w:rPr>
          <w:rFonts w:cs="Arial"/>
          <w:sz w:val="22"/>
          <w:szCs w:val="22"/>
        </w:rPr>
        <w:t xml:space="preserve"> to the market.</w:t>
      </w:r>
    </w:p>
    <w:tbl>
      <w:tblPr>
        <w:tblStyle w:val="TableGrid"/>
        <w:tblW w:w="0" w:type="auto"/>
        <w:tblLook w:val="04A0" w:firstRow="1" w:lastRow="0" w:firstColumn="1" w:lastColumn="0" w:noHBand="0" w:noVBand="1"/>
      </w:tblPr>
      <w:tblGrid>
        <w:gridCol w:w="1838"/>
        <w:gridCol w:w="2693"/>
        <w:gridCol w:w="4485"/>
      </w:tblGrid>
      <w:tr w:rsidR="003A5F0B" w:rsidRPr="003A5F0B" w14:paraId="5BC8737B" w14:textId="77777777" w:rsidTr="003A5F0B">
        <w:tc>
          <w:tcPr>
            <w:tcW w:w="1838" w:type="dxa"/>
            <w:vAlign w:val="center"/>
          </w:tcPr>
          <w:p w14:paraId="60C19334" w14:textId="77777777" w:rsidR="003A5F0B" w:rsidRPr="003A5F0B" w:rsidRDefault="003A5F0B" w:rsidP="003A5F0B">
            <w:pPr>
              <w:spacing w:line="360" w:lineRule="auto"/>
              <w:jc w:val="center"/>
              <w:rPr>
                <w:rFonts w:cs="Arial"/>
                <w:b/>
                <w:bCs/>
                <w:color w:val="000000"/>
                <w:sz w:val="22"/>
                <w:szCs w:val="22"/>
              </w:rPr>
            </w:pPr>
            <w:proofErr w:type="spellStart"/>
            <w:r w:rsidRPr="003A5F0B">
              <w:rPr>
                <w:rFonts w:cs="Arial"/>
                <w:b/>
                <w:bCs/>
                <w:color w:val="000000"/>
                <w:sz w:val="22"/>
                <w:szCs w:val="22"/>
              </w:rPr>
              <w:t>Ansoff</w:t>
            </w:r>
            <w:proofErr w:type="spellEnd"/>
            <w:r w:rsidRPr="003A5F0B">
              <w:rPr>
                <w:rFonts w:cs="Arial"/>
                <w:b/>
                <w:bCs/>
                <w:color w:val="000000"/>
                <w:sz w:val="22"/>
                <w:szCs w:val="22"/>
              </w:rPr>
              <w:t xml:space="preserve"> Strategy</w:t>
            </w:r>
          </w:p>
        </w:tc>
        <w:tc>
          <w:tcPr>
            <w:tcW w:w="2693" w:type="dxa"/>
            <w:vAlign w:val="center"/>
          </w:tcPr>
          <w:p w14:paraId="7D3916E4" w14:textId="77777777" w:rsidR="003A5F0B" w:rsidRPr="003A5F0B" w:rsidRDefault="003A5F0B" w:rsidP="003A5F0B">
            <w:pPr>
              <w:spacing w:line="360" w:lineRule="auto"/>
              <w:jc w:val="center"/>
              <w:rPr>
                <w:rFonts w:cs="Arial"/>
                <w:b/>
                <w:bCs/>
                <w:color w:val="000000"/>
                <w:sz w:val="22"/>
                <w:szCs w:val="22"/>
              </w:rPr>
            </w:pPr>
            <w:r w:rsidRPr="003A5F0B">
              <w:rPr>
                <w:rFonts w:cs="Arial"/>
                <w:b/>
                <w:bCs/>
                <w:color w:val="000000"/>
                <w:sz w:val="22"/>
                <w:szCs w:val="22"/>
              </w:rPr>
              <w:t>Application in the UK EV Industry</w:t>
            </w:r>
          </w:p>
        </w:tc>
        <w:tc>
          <w:tcPr>
            <w:tcW w:w="4485" w:type="dxa"/>
            <w:vAlign w:val="center"/>
          </w:tcPr>
          <w:p w14:paraId="12302357" w14:textId="77777777" w:rsidR="003A5F0B" w:rsidRPr="003A5F0B" w:rsidRDefault="003A5F0B" w:rsidP="003A5F0B">
            <w:pPr>
              <w:spacing w:line="360" w:lineRule="auto"/>
              <w:jc w:val="center"/>
              <w:rPr>
                <w:rFonts w:cs="Arial"/>
                <w:b/>
                <w:bCs/>
                <w:color w:val="000000"/>
                <w:sz w:val="22"/>
                <w:szCs w:val="22"/>
              </w:rPr>
            </w:pPr>
            <w:r w:rsidRPr="003A5F0B">
              <w:rPr>
                <w:rFonts w:cs="Arial"/>
                <w:b/>
                <w:bCs/>
                <w:color w:val="000000"/>
                <w:sz w:val="22"/>
                <w:szCs w:val="22"/>
              </w:rPr>
              <w:t>Activities of Pioneering Firms</w:t>
            </w:r>
          </w:p>
        </w:tc>
      </w:tr>
      <w:tr w:rsidR="003A5F0B" w:rsidRPr="003A5F0B" w14:paraId="05C8CBE5" w14:textId="77777777" w:rsidTr="003A5F0B">
        <w:tc>
          <w:tcPr>
            <w:tcW w:w="1838" w:type="dxa"/>
            <w:vAlign w:val="center"/>
          </w:tcPr>
          <w:p w14:paraId="34031C56" w14:textId="77777777" w:rsidR="003A5F0B" w:rsidRPr="003A5F0B" w:rsidRDefault="003A5F0B" w:rsidP="003A5F0B">
            <w:pPr>
              <w:spacing w:line="360" w:lineRule="auto"/>
              <w:jc w:val="center"/>
              <w:rPr>
                <w:rFonts w:cs="Arial"/>
                <w:color w:val="000000"/>
                <w:sz w:val="22"/>
                <w:szCs w:val="22"/>
              </w:rPr>
            </w:pPr>
            <w:r w:rsidRPr="003A5F0B">
              <w:rPr>
                <w:rFonts w:cs="Arial"/>
                <w:color w:val="000000"/>
                <w:sz w:val="22"/>
                <w:szCs w:val="22"/>
              </w:rPr>
              <w:t>Market Penetration</w:t>
            </w:r>
          </w:p>
        </w:tc>
        <w:tc>
          <w:tcPr>
            <w:tcW w:w="2693" w:type="dxa"/>
          </w:tcPr>
          <w:p w14:paraId="7662E33C" w14:textId="77777777" w:rsidR="003A5F0B" w:rsidRPr="003A5F0B" w:rsidRDefault="003A5F0B" w:rsidP="003A5F0B">
            <w:pPr>
              <w:spacing w:line="360" w:lineRule="auto"/>
              <w:rPr>
                <w:rFonts w:cs="Arial"/>
                <w:sz w:val="22"/>
                <w:szCs w:val="22"/>
              </w:rPr>
            </w:pPr>
            <w:r w:rsidRPr="003A5F0B">
              <w:rPr>
                <w:rFonts w:cs="Arial"/>
                <w:color w:val="000000"/>
                <w:sz w:val="22"/>
                <w:szCs w:val="22"/>
              </w:rPr>
              <w:t>Deepening market share through increased adoption and infrastructure expansion (</w:t>
            </w:r>
            <w:r w:rsidRPr="003A5F0B">
              <w:rPr>
                <w:rFonts w:cs="Arial"/>
                <w:sz w:val="22"/>
                <w:szCs w:val="22"/>
              </w:rPr>
              <w:t>Corporate Finance Institute, 2025).</w:t>
            </w:r>
          </w:p>
        </w:tc>
        <w:tc>
          <w:tcPr>
            <w:tcW w:w="4485" w:type="dxa"/>
          </w:tcPr>
          <w:p w14:paraId="4AB46663" w14:textId="63971D16" w:rsidR="003A5F0B" w:rsidRPr="003A5F0B" w:rsidRDefault="00206BE3" w:rsidP="003A5F0B">
            <w:pPr>
              <w:spacing w:line="360" w:lineRule="auto"/>
              <w:rPr>
                <w:rFonts w:cs="Arial"/>
                <w:color w:val="000000"/>
                <w:sz w:val="22"/>
                <w:szCs w:val="22"/>
              </w:rPr>
            </w:pPr>
            <w:r>
              <w:rPr>
                <w:rFonts w:cs="Arial"/>
                <w:sz w:val="22"/>
                <w:szCs w:val="22"/>
              </w:rPr>
              <w:t>Tesla’s</w:t>
            </w:r>
            <w:r w:rsidRPr="00991C65">
              <w:rPr>
                <w:rFonts w:cs="Arial"/>
                <w:sz w:val="22"/>
                <w:szCs w:val="22"/>
              </w:rPr>
              <w:t xml:space="preserve"> proprietary software systems (e.g., Autopilot and Full Self-Driving), vertically integrated production model, and exclusive energy ecosystem (including </w:t>
            </w:r>
            <w:proofErr w:type="spellStart"/>
            <w:r w:rsidRPr="00991C65">
              <w:rPr>
                <w:rFonts w:cs="Arial"/>
                <w:sz w:val="22"/>
                <w:szCs w:val="22"/>
              </w:rPr>
              <w:t>Powerwall</w:t>
            </w:r>
            <w:proofErr w:type="spellEnd"/>
            <w:r w:rsidRPr="00991C65">
              <w:rPr>
                <w:rFonts w:cs="Arial"/>
                <w:sz w:val="22"/>
                <w:szCs w:val="22"/>
              </w:rPr>
              <w:t xml:space="preserve"> and Supercharger networks) enable superior control over cost, quality, and customer experience </w:t>
            </w:r>
            <w:r w:rsidRPr="00991C65">
              <w:rPr>
                <w:rFonts w:cs="Arial"/>
                <w:color w:val="000000"/>
                <w:sz w:val="22"/>
                <w:szCs w:val="22"/>
              </w:rPr>
              <w:t>(Tesla, 2025).</w:t>
            </w:r>
            <w:r>
              <w:rPr>
                <w:rFonts w:cs="Arial"/>
                <w:color w:val="000000"/>
                <w:sz w:val="22"/>
                <w:szCs w:val="22"/>
              </w:rPr>
              <w:t xml:space="preserve"> Furthermore, it</w:t>
            </w:r>
            <w:r w:rsidRPr="003A5F0B">
              <w:rPr>
                <w:rFonts w:cs="Arial"/>
                <w:color w:val="000000"/>
                <w:sz w:val="22"/>
                <w:szCs w:val="22"/>
              </w:rPr>
              <w:t xml:space="preserve"> enhanced its accessibility in the UK by opening its “Supercharger Network” to all EV </w:t>
            </w:r>
            <w:r w:rsidRPr="003A5F0B">
              <w:rPr>
                <w:rFonts w:cs="Arial"/>
                <w:color w:val="000000"/>
                <w:sz w:val="22"/>
                <w:szCs w:val="22"/>
              </w:rPr>
              <w:lastRenderedPageBreak/>
              <w:t>users in collaboration with government (TESMAG, 2025).</w:t>
            </w:r>
          </w:p>
        </w:tc>
      </w:tr>
      <w:tr w:rsidR="003A5F0B" w:rsidRPr="003A5F0B" w14:paraId="6C736640" w14:textId="77777777" w:rsidTr="003A5F0B">
        <w:tc>
          <w:tcPr>
            <w:tcW w:w="1838" w:type="dxa"/>
            <w:vAlign w:val="center"/>
          </w:tcPr>
          <w:p w14:paraId="0342C133" w14:textId="77777777" w:rsidR="003A5F0B" w:rsidRPr="003A5F0B" w:rsidRDefault="003A5F0B" w:rsidP="003A5F0B">
            <w:pPr>
              <w:spacing w:line="360" w:lineRule="auto"/>
              <w:jc w:val="center"/>
              <w:rPr>
                <w:rFonts w:cs="Arial"/>
                <w:color w:val="000000"/>
                <w:sz w:val="22"/>
                <w:szCs w:val="22"/>
              </w:rPr>
            </w:pPr>
            <w:r w:rsidRPr="003A5F0B">
              <w:rPr>
                <w:rFonts w:cs="Arial"/>
                <w:color w:val="000000"/>
                <w:sz w:val="22"/>
                <w:szCs w:val="22"/>
              </w:rPr>
              <w:lastRenderedPageBreak/>
              <w:t>Product Development</w:t>
            </w:r>
          </w:p>
        </w:tc>
        <w:tc>
          <w:tcPr>
            <w:tcW w:w="2693" w:type="dxa"/>
          </w:tcPr>
          <w:p w14:paraId="32FA6D10" w14:textId="77777777" w:rsidR="003A5F0B" w:rsidRPr="003A5F0B" w:rsidRDefault="003A5F0B" w:rsidP="003A5F0B">
            <w:pPr>
              <w:spacing w:line="360" w:lineRule="auto"/>
              <w:rPr>
                <w:rFonts w:cs="Arial"/>
                <w:color w:val="000000"/>
                <w:sz w:val="22"/>
                <w:szCs w:val="22"/>
              </w:rPr>
            </w:pPr>
            <w:r w:rsidRPr="003A5F0B">
              <w:rPr>
                <w:rFonts w:cs="Arial"/>
                <w:color w:val="000000"/>
                <w:sz w:val="22"/>
                <w:szCs w:val="22"/>
              </w:rPr>
              <w:t>Developing new EV technologies</w:t>
            </w:r>
            <w:r w:rsidR="00E26173">
              <w:rPr>
                <w:rFonts w:cs="Arial"/>
                <w:color w:val="000000"/>
                <w:sz w:val="22"/>
                <w:szCs w:val="22"/>
              </w:rPr>
              <w:t xml:space="preserve"> that ensure </w:t>
            </w:r>
            <w:r w:rsidRPr="003A5F0B">
              <w:rPr>
                <w:rFonts w:cs="Arial"/>
                <w:color w:val="000000"/>
                <w:sz w:val="22"/>
                <w:szCs w:val="22"/>
              </w:rPr>
              <w:t>sustainable production (</w:t>
            </w:r>
            <w:r w:rsidRPr="003A5F0B">
              <w:rPr>
                <w:rFonts w:cs="Arial"/>
                <w:sz w:val="22"/>
                <w:szCs w:val="22"/>
              </w:rPr>
              <w:t>Corporate Finance Institute, 2025).</w:t>
            </w:r>
          </w:p>
        </w:tc>
        <w:tc>
          <w:tcPr>
            <w:tcW w:w="4485" w:type="dxa"/>
          </w:tcPr>
          <w:p w14:paraId="4C36C6BF" w14:textId="6CD79E19" w:rsidR="003A5F0B" w:rsidRPr="003A5F0B" w:rsidRDefault="003A5F0B" w:rsidP="003A5F0B">
            <w:pPr>
              <w:spacing w:line="360" w:lineRule="auto"/>
              <w:rPr>
                <w:rFonts w:cs="Arial"/>
                <w:color w:val="000000"/>
                <w:sz w:val="22"/>
                <w:szCs w:val="22"/>
              </w:rPr>
            </w:pPr>
            <w:r w:rsidRPr="003A5F0B">
              <w:rPr>
                <w:rFonts w:cs="Arial"/>
                <w:color w:val="000000"/>
                <w:sz w:val="22"/>
                <w:szCs w:val="22"/>
              </w:rPr>
              <w:t>Nissan invested £3 billion in its EV36Zero hub in Sunderland, UK, to integrate battery recycling and renewable energy into vehicle production (Nissan, 2025).</w:t>
            </w:r>
            <w:r w:rsidR="00206BE3">
              <w:rPr>
                <w:rFonts w:cs="Arial"/>
                <w:color w:val="000000"/>
                <w:sz w:val="22"/>
                <w:szCs w:val="22"/>
              </w:rPr>
              <w:t xml:space="preserve"> </w:t>
            </w:r>
            <w:r w:rsidR="00206BE3">
              <w:rPr>
                <w:rFonts w:cs="Arial"/>
                <w:sz w:val="22"/>
                <w:szCs w:val="22"/>
              </w:rPr>
              <w:t xml:space="preserve">This </w:t>
            </w:r>
            <w:r w:rsidR="007E13EA">
              <w:rPr>
                <w:rFonts w:cs="Arial"/>
                <w:sz w:val="22"/>
                <w:szCs w:val="22"/>
              </w:rPr>
              <w:t>product</w:t>
            </w:r>
            <w:r w:rsidR="00206BE3" w:rsidRPr="00991C65">
              <w:rPr>
                <w:rFonts w:cs="Arial"/>
                <w:sz w:val="22"/>
                <w:szCs w:val="22"/>
              </w:rPr>
              <w:t xml:space="preserve"> translate</w:t>
            </w:r>
            <w:r w:rsidR="00206BE3">
              <w:rPr>
                <w:rFonts w:cs="Arial"/>
                <w:sz w:val="22"/>
                <w:szCs w:val="22"/>
              </w:rPr>
              <w:t>s its</w:t>
            </w:r>
            <w:r w:rsidR="00206BE3" w:rsidRPr="00991C65">
              <w:rPr>
                <w:rFonts w:cs="Arial"/>
                <w:sz w:val="22"/>
                <w:szCs w:val="22"/>
              </w:rPr>
              <w:t xml:space="preserve"> environmental compliance into market advantage </w:t>
            </w:r>
            <w:r w:rsidR="00206BE3" w:rsidRPr="00991C65">
              <w:rPr>
                <w:rFonts w:cs="Arial"/>
                <w:color w:val="000000"/>
                <w:sz w:val="22"/>
                <w:szCs w:val="22"/>
              </w:rPr>
              <w:t>(Nissan, 2025).</w:t>
            </w:r>
          </w:p>
        </w:tc>
      </w:tr>
      <w:tr w:rsidR="003A5F0B" w:rsidRPr="003A5F0B" w14:paraId="256F6525" w14:textId="77777777" w:rsidTr="003A5F0B">
        <w:tc>
          <w:tcPr>
            <w:tcW w:w="1838" w:type="dxa"/>
            <w:vAlign w:val="center"/>
          </w:tcPr>
          <w:p w14:paraId="22268F6D" w14:textId="77777777" w:rsidR="003A5F0B" w:rsidRPr="003A5F0B" w:rsidRDefault="003A5F0B" w:rsidP="003A5F0B">
            <w:pPr>
              <w:spacing w:line="360" w:lineRule="auto"/>
              <w:jc w:val="center"/>
              <w:rPr>
                <w:rFonts w:cs="Arial"/>
                <w:color w:val="000000"/>
                <w:sz w:val="22"/>
                <w:szCs w:val="22"/>
              </w:rPr>
            </w:pPr>
            <w:r w:rsidRPr="003A5F0B">
              <w:rPr>
                <w:rFonts w:cs="Arial"/>
                <w:color w:val="000000"/>
                <w:sz w:val="22"/>
                <w:szCs w:val="22"/>
              </w:rPr>
              <w:t>Market Development</w:t>
            </w:r>
          </w:p>
        </w:tc>
        <w:tc>
          <w:tcPr>
            <w:tcW w:w="2693" w:type="dxa"/>
          </w:tcPr>
          <w:p w14:paraId="3C590AE9" w14:textId="77777777" w:rsidR="003A5F0B" w:rsidRPr="003A5F0B" w:rsidRDefault="003A5F0B" w:rsidP="003A5F0B">
            <w:pPr>
              <w:spacing w:line="360" w:lineRule="auto"/>
              <w:rPr>
                <w:rFonts w:cs="Arial"/>
                <w:color w:val="000000"/>
                <w:sz w:val="22"/>
                <w:szCs w:val="22"/>
              </w:rPr>
            </w:pPr>
            <w:r w:rsidRPr="003A5F0B">
              <w:rPr>
                <w:rFonts w:cs="Arial"/>
                <w:color w:val="000000"/>
                <w:sz w:val="22"/>
                <w:szCs w:val="22"/>
              </w:rPr>
              <w:t>Entering new customer segments as infrastructure matures (</w:t>
            </w:r>
            <w:r w:rsidRPr="003A5F0B">
              <w:rPr>
                <w:rFonts w:cs="Arial"/>
                <w:sz w:val="22"/>
                <w:szCs w:val="22"/>
              </w:rPr>
              <w:t>Corporate Finance Institute, 2025).</w:t>
            </w:r>
          </w:p>
        </w:tc>
        <w:tc>
          <w:tcPr>
            <w:tcW w:w="4485" w:type="dxa"/>
          </w:tcPr>
          <w:p w14:paraId="3F045CF8" w14:textId="247A0DDC" w:rsidR="003A5F0B" w:rsidRPr="003A5F0B" w:rsidRDefault="003A5F0B" w:rsidP="003A5F0B">
            <w:pPr>
              <w:spacing w:line="360" w:lineRule="auto"/>
              <w:rPr>
                <w:rFonts w:cs="Arial"/>
                <w:color w:val="000000"/>
                <w:sz w:val="22"/>
                <w:szCs w:val="22"/>
              </w:rPr>
            </w:pPr>
            <w:r w:rsidRPr="003A5F0B">
              <w:rPr>
                <w:rFonts w:cs="Arial"/>
                <w:color w:val="000000"/>
                <w:sz w:val="22"/>
                <w:szCs w:val="22"/>
              </w:rPr>
              <w:t xml:space="preserve">Ford targeted commercial fleet electrification through the “E-Transit Custom” to align with government incentives for zero-emission vans (Ford, 2024). </w:t>
            </w:r>
            <w:r w:rsidR="00206BE3">
              <w:rPr>
                <w:rFonts w:cs="Arial"/>
                <w:color w:val="000000"/>
                <w:sz w:val="22"/>
                <w:szCs w:val="22"/>
              </w:rPr>
              <w:t>It</w:t>
            </w:r>
            <w:r w:rsidR="00206BE3" w:rsidRPr="00991C65">
              <w:rPr>
                <w:rFonts w:cs="Arial"/>
                <w:sz w:val="22"/>
                <w:szCs w:val="22"/>
              </w:rPr>
              <w:t xml:space="preserve"> target</w:t>
            </w:r>
            <w:r w:rsidR="00206BE3">
              <w:rPr>
                <w:rFonts w:cs="Arial"/>
                <w:sz w:val="22"/>
                <w:szCs w:val="22"/>
              </w:rPr>
              <w:t>s</w:t>
            </w:r>
            <w:r w:rsidR="00206BE3" w:rsidRPr="00991C65">
              <w:rPr>
                <w:rFonts w:cs="Arial"/>
                <w:sz w:val="22"/>
                <w:szCs w:val="22"/>
              </w:rPr>
              <w:t xml:space="preserve"> fleet electrification using economies of scale along with localised UK manufacturing to balance affordability and sustainability (Ford, 2024).</w:t>
            </w:r>
            <w:r w:rsidR="00206BE3">
              <w:rPr>
                <w:rFonts w:cs="Arial"/>
                <w:sz w:val="22"/>
                <w:szCs w:val="22"/>
              </w:rPr>
              <w:t xml:space="preserve"> This allows the company to develop new market for EV customers who seek affordability while purchasing. </w:t>
            </w:r>
          </w:p>
        </w:tc>
      </w:tr>
      <w:tr w:rsidR="003A5F0B" w:rsidRPr="003A5F0B" w14:paraId="293EB4AF" w14:textId="77777777" w:rsidTr="003A5F0B">
        <w:tc>
          <w:tcPr>
            <w:tcW w:w="1838" w:type="dxa"/>
            <w:vAlign w:val="center"/>
          </w:tcPr>
          <w:p w14:paraId="3D88081F" w14:textId="77777777" w:rsidR="003A5F0B" w:rsidRPr="003A5F0B" w:rsidRDefault="003A5F0B" w:rsidP="003A5F0B">
            <w:pPr>
              <w:spacing w:line="360" w:lineRule="auto"/>
              <w:jc w:val="center"/>
              <w:rPr>
                <w:rFonts w:cs="Arial"/>
                <w:color w:val="000000"/>
                <w:sz w:val="22"/>
                <w:szCs w:val="22"/>
              </w:rPr>
            </w:pPr>
            <w:r w:rsidRPr="003A5F0B">
              <w:rPr>
                <w:rFonts w:cs="Arial"/>
                <w:color w:val="000000"/>
                <w:sz w:val="22"/>
                <w:szCs w:val="22"/>
              </w:rPr>
              <w:t>Diversification</w:t>
            </w:r>
          </w:p>
        </w:tc>
        <w:tc>
          <w:tcPr>
            <w:tcW w:w="2693" w:type="dxa"/>
          </w:tcPr>
          <w:p w14:paraId="26AC5246" w14:textId="77777777" w:rsidR="003A5F0B" w:rsidRPr="00084C0E" w:rsidRDefault="003A5F0B" w:rsidP="00084C0E">
            <w:pPr>
              <w:spacing w:line="360" w:lineRule="auto"/>
              <w:rPr>
                <w:rFonts w:cs="Arial"/>
                <w:color w:val="000000"/>
                <w:sz w:val="22"/>
                <w:szCs w:val="22"/>
              </w:rPr>
            </w:pPr>
            <w:r w:rsidRPr="00084C0E">
              <w:rPr>
                <w:rFonts w:cs="Arial"/>
                <w:color w:val="000000"/>
                <w:sz w:val="22"/>
                <w:szCs w:val="22"/>
              </w:rPr>
              <w:t>Integrating energy, data, and mobility services to create multi-dimensional offerings (</w:t>
            </w:r>
            <w:r w:rsidRPr="00084C0E">
              <w:rPr>
                <w:rFonts w:cs="Arial"/>
                <w:sz w:val="22"/>
                <w:szCs w:val="22"/>
              </w:rPr>
              <w:t>Corporate Finance Institute, 2025).</w:t>
            </w:r>
          </w:p>
        </w:tc>
        <w:tc>
          <w:tcPr>
            <w:tcW w:w="4485" w:type="dxa"/>
          </w:tcPr>
          <w:p w14:paraId="3BDD0612" w14:textId="163856AC" w:rsidR="003A5F0B" w:rsidRPr="00084C0E" w:rsidRDefault="003A5F0B" w:rsidP="00084C0E">
            <w:pPr>
              <w:pStyle w:val="NormalWeb"/>
              <w:spacing w:line="360" w:lineRule="auto"/>
              <w:rPr>
                <w:rFonts w:ascii="Arial" w:hAnsi="Arial" w:cs="Arial"/>
                <w:sz w:val="22"/>
                <w:szCs w:val="22"/>
              </w:rPr>
            </w:pPr>
            <w:r w:rsidRPr="00084C0E">
              <w:rPr>
                <w:rFonts w:ascii="Arial" w:hAnsi="Arial" w:cs="Arial"/>
                <w:color w:val="000000"/>
                <w:sz w:val="22"/>
                <w:szCs w:val="22"/>
              </w:rPr>
              <w:t xml:space="preserve">Tesla integrated solar energy and energy storage with its EV product ecosystem to reinforce its "zero-emission future" message (Tesla, 2025). </w:t>
            </w:r>
            <w:r w:rsidR="00084C0E">
              <w:rPr>
                <w:rFonts w:ascii="Arial" w:hAnsi="Arial" w:cs="Arial"/>
                <w:color w:val="000000"/>
                <w:sz w:val="22"/>
                <w:szCs w:val="22"/>
              </w:rPr>
              <w:t xml:space="preserve">It helps the company </w:t>
            </w:r>
            <w:r w:rsidR="00084C0E" w:rsidRPr="00084C0E">
              <w:rPr>
                <w:rFonts w:ascii="Arial" w:hAnsi="Arial" w:cs="Arial"/>
                <w:sz w:val="22"/>
                <w:szCs w:val="22"/>
              </w:rPr>
              <w:t>distinguish its</w:t>
            </w:r>
            <w:r w:rsidR="00084C0E">
              <w:rPr>
                <w:rFonts w:ascii="Arial" w:hAnsi="Arial" w:cs="Arial"/>
                <w:sz w:val="22"/>
                <w:szCs w:val="22"/>
              </w:rPr>
              <w:t xml:space="preserve"> products from others</w:t>
            </w:r>
            <w:r w:rsidR="00084C0E" w:rsidRPr="00084C0E">
              <w:rPr>
                <w:rFonts w:ascii="Arial" w:hAnsi="Arial" w:cs="Arial"/>
                <w:sz w:val="22"/>
                <w:szCs w:val="22"/>
              </w:rPr>
              <w:t xml:space="preserve"> by delivering an all-encompassing clean-energy ecosystem, including solar production, residential battery, and EVs. </w:t>
            </w:r>
          </w:p>
        </w:tc>
      </w:tr>
    </w:tbl>
    <w:p w14:paraId="5D6BA87E" w14:textId="77777777" w:rsidR="00483269" w:rsidRDefault="00483269" w:rsidP="00483269">
      <w:pPr>
        <w:pStyle w:val="Heading2"/>
      </w:pPr>
      <w:bookmarkStart w:id="8" w:name="_Toc214354971"/>
      <w:r>
        <w:t>Follower Organisations’ Strategic Responses</w:t>
      </w:r>
      <w:bookmarkEnd w:id="8"/>
    </w:p>
    <w:p w14:paraId="062BD91F" w14:textId="77777777" w:rsidR="00483269" w:rsidRDefault="000200BE" w:rsidP="003C67B0">
      <w:pPr>
        <w:spacing w:line="360" w:lineRule="auto"/>
        <w:rPr>
          <w:rFonts w:cs="Arial"/>
          <w:sz w:val="22"/>
          <w:szCs w:val="28"/>
        </w:rPr>
      </w:pPr>
      <w:r w:rsidRPr="000200BE">
        <w:rPr>
          <w:rFonts w:cs="Arial"/>
          <w:sz w:val="22"/>
          <w:szCs w:val="22"/>
        </w:rPr>
        <w:t>The presence of follower companies in the EV market, including Toyota, Volkswagen, Hyundai, BYD, and MG, is relevant to the large-scale implementation of electric mobility by benefiting from the market platform reali</w:t>
      </w:r>
      <w:r>
        <w:rPr>
          <w:rFonts w:cs="Arial"/>
          <w:sz w:val="22"/>
          <w:szCs w:val="22"/>
        </w:rPr>
        <w:t>s</w:t>
      </w:r>
      <w:r w:rsidRPr="000200BE">
        <w:rPr>
          <w:rFonts w:cs="Arial"/>
          <w:sz w:val="22"/>
          <w:szCs w:val="22"/>
        </w:rPr>
        <w:t xml:space="preserve">ed by their competitors. Hooley, Piercy, and </w:t>
      </w:r>
      <w:proofErr w:type="spellStart"/>
      <w:r w:rsidRPr="000200BE">
        <w:rPr>
          <w:rFonts w:cs="Arial"/>
          <w:sz w:val="22"/>
          <w:szCs w:val="22"/>
        </w:rPr>
        <w:t>Nicoulaud</w:t>
      </w:r>
      <w:proofErr w:type="spellEnd"/>
      <w:r w:rsidRPr="000200BE">
        <w:rPr>
          <w:rFonts w:cs="Arial"/>
          <w:sz w:val="22"/>
          <w:szCs w:val="22"/>
        </w:rPr>
        <w:t xml:space="preserve"> (2020) highlight that the competitiveness of follower firms in the market is based not on radical innovation but on the adaptive approach.</w:t>
      </w:r>
      <w:r w:rsidR="00483269" w:rsidRPr="00483269">
        <w:rPr>
          <w:rFonts w:cs="Arial"/>
          <w:sz w:val="22"/>
          <w:szCs w:val="22"/>
        </w:rPr>
        <w:t xml:space="preserve"> Whitfield and </w:t>
      </w:r>
      <w:proofErr w:type="spellStart"/>
      <w:r w:rsidR="00483269" w:rsidRPr="00483269">
        <w:rPr>
          <w:rFonts w:cs="Arial"/>
          <w:sz w:val="22"/>
          <w:szCs w:val="22"/>
        </w:rPr>
        <w:t>Wuttke</w:t>
      </w:r>
      <w:proofErr w:type="spellEnd"/>
      <w:r w:rsidR="00483269" w:rsidRPr="00483269">
        <w:rPr>
          <w:rFonts w:cs="Arial"/>
          <w:sz w:val="22"/>
          <w:szCs w:val="22"/>
        </w:rPr>
        <w:t xml:space="preserve"> (2024) further contend that late </w:t>
      </w:r>
      <w:r w:rsidR="00483269" w:rsidRPr="00483269">
        <w:rPr>
          <w:rFonts w:cs="Arial"/>
          <w:sz w:val="22"/>
          <w:szCs w:val="22"/>
        </w:rPr>
        <w:lastRenderedPageBreak/>
        <w:t xml:space="preserve">entrants take advantage of the benefits, </w:t>
      </w:r>
      <w:r w:rsidR="003C67B0">
        <w:rPr>
          <w:rFonts w:cs="Arial"/>
          <w:sz w:val="22"/>
          <w:szCs w:val="22"/>
        </w:rPr>
        <w:t>such as</w:t>
      </w:r>
      <w:r w:rsidR="00483269" w:rsidRPr="00483269">
        <w:rPr>
          <w:rFonts w:cs="Arial"/>
          <w:sz w:val="22"/>
          <w:szCs w:val="22"/>
        </w:rPr>
        <w:t xml:space="preserve"> lower costs of learning and better-identified infrastructure, by aligning their tactics with new market frameworks. However, in the UK, where political forces (e.g., ZEV) and environmental imperatives (e.g., the 2050 Net Zero target) are dominant, the follower firms are required to constantly adjust their marketing strategies to </w:t>
      </w:r>
      <w:r w:rsidR="003C67B0">
        <w:rPr>
          <w:rFonts w:cs="Arial"/>
          <w:sz w:val="22"/>
          <w:szCs w:val="22"/>
        </w:rPr>
        <w:t xml:space="preserve">remain competitive by </w:t>
      </w:r>
      <w:r w:rsidR="00483269" w:rsidRPr="00483269">
        <w:rPr>
          <w:rFonts w:cs="Arial"/>
          <w:sz w:val="22"/>
          <w:szCs w:val="22"/>
        </w:rPr>
        <w:t>differentiat</w:t>
      </w:r>
      <w:r w:rsidR="003C67B0">
        <w:rPr>
          <w:rFonts w:cs="Arial"/>
          <w:sz w:val="22"/>
          <w:szCs w:val="22"/>
        </w:rPr>
        <w:t>ing</w:t>
      </w:r>
      <w:r w:rsidR="00483269" w:rsidRPr="00483269">
        <w:rPr>
          <w:rFonts w:cs="Arial"/>
          <w:sz w:val="22"/>
          <w:szCs w:val="22"/>
        </w:rPr>
        <w:t xml:space="preserve"> their products from others regarding market changes. </w:t>
      </w:r>
      <w:r w:rsidR="003C67B0">
        <w:rPr>
          <w:rFonts w:cs="Arial"/>
          <w:sz w:val="22"/>
          <w:szCs w:val="28"/>
        </w:rPr>
        <w:t>In light of this, t</w:t>
      </w:r>
      <w:r w:rsidR="003C67B0" w:rsidRPr="00BD1779">
        <w:rPr>
          <w:rFonts w:cs="Arial"/>
          <w:sz w:val="22"/>
          <w:szCs w:val="28"/>
        </w:rPr>
        <w:t xml:space="preserve">he </w:t>
      </w:r>
      <w:r w:rsidR="003C67B0">
        <w:rPr>
          <w:rFonts w:cs="Arial"/>
          <w:sz w:val="22"/>
          <w:szCs w:val="28"/>
        </w:rPr>
        <w:t>following analysis provides</w:t>
      </w:r>
      <w:r w:rsidR="003C67B0" w:rsidRPr="00BD1779">
        <w:rPr>
          <w:rFonts w:cs="Arial"/>
          <w:sz w:val="22"/>
          <w:szCs w:val="28"/>
        </w:rPr>
        <w:t xml:space="preserve"> useful </w:t>
      </w:r>
      <w:r w:rsidR="003C67B0">
        <w:rPr>
          <w:rFonts w:cs="Arial"/>
          <w:sz w:val="22"/>
          <w:szCs w:val="28"/>
        </w:rPr>
        <w:t>insights</w:t>
      </w:r>
      <w:r w:rsidR="003C67B0" w:rsidRPr="00BD1779">
        <w:rPr>
          <w:rFonts w:cs="Arial"/>
          <w:sz w:val="22"/>
          <w:szCs w:val="28"/>
        </w:rPr>
        <w:t xml:space="preserve"> </w:t>
      </w:r>
      <w:r w:rsidR="003C67B0">
        <w:rPr>
          <w:rFonts w:cs="Arial"/>
          <w:sz w:val="22"/>
          <w:szCs w:val="28"/>
        </w:rPr>
        <w:t>in</w:t>
      </w:r>
      <w:r w:rsidR="003C67B0" w:rsidRPr="00BD1779">
        <w:rPr>
          <w:rFonts w:cs="Arial"/>
          <w:sz w:val="22"/>
          <w:szCs w:val="28"/>
        </w:rPr>
        <w:t xml:space="preserve">to </w:t>
      </w:r>
      <w:r w:rsidR="003C67B0">
        <w:rPr>
          <w:rFonts w:cs="Arial"/>
          <w:sz w:val="22"/>
          <w:szCs w:val="28"/>
        </w:rPr>
        <w:t>the</w:t>
      </w:r>
      <w:r w:rsidR="003C67B0" w:rsidRPr="00BD1779">
        <w:rPr>
          <w:rFonts w:cs="Arial"/>
          <w:sz w:val="22"/>
          <w:szCs w:val="28"/>
        </w:rPr>
        <w:t xml:space="preserve"> react</w:t>
      </w:r>
      <w:r w:rsidR="003C67B0">
        <w:rPr>
          <w:rFonts w:cs="Arial"/>
          <w:sz w:val="22"/>
          <w:szCs w:val="28"/>
        </w:rPr>
        <w:t>ion of these firms</w:t>
      </w:r>
      <w:r w:rsidR="003C67B0" w:rsidRPr="00BD1779">
        <w:rPr>
          <w:rFonts w:cs="Arial"/>
          <w:sz w:val="22"/>
          <w:szCs w:val="28"/>
        </w:rPr>
        <w:t xml:space="preserve"> to external threats and opportunities.</w:t>
      </w:r>
    </w:p>
    <w:p w14:paraId="5B352A97" w14:textId="7BA2D0FF" w:rsidR="003C67B0" w:rsidRPr="00BD1779" w:rsidRDefault="003C67B0" w:rsidP="003C67B0">
      <w:pPr>
        <w:pStyle w:val="Heading3"/>
      </w:pPr>
      <w:bookmarkStart w:id="9" w:name="_Toc214354972"/>
      <w:proofErr w:type="spellStart"/>
      <w:r w:rsidRPr="00BD1779">
        <w:t>Ansoff's</w:t>
      </w:r>
      <w:proofErr w:type="spellEnd"/>
      <w:r w:rsidRPr="00BD1779">
        <w:t xml:space="preserve"> Growth Matrix</w:t>
      </w:r>
      <w:r>
        <w:t xml:space="preserve"> Analysis</w:t>
      </w:r>
      <w:r w:rsidR="00ED6B36">
        <w:t xml:space="preserve"> of F</w:t>
      </w:r>
      <w:r w:rsidR="00ED6B36" w:rsidRPr="00ED6B36">
        <w:t xml:space="preserve">ollower </w:t>
      </w:r>
      <w:r w:rsidR="00ED6B36">
        <w:t>O</w:t>
      </w:r>
      <w:r w:rsidR="00ED6B36" w:rsidRPr="00ED6B36">
        <w:t>rganisations</w:t>
      </w:r>
      <w:bookmarkEnd w:id="9"/>
      <w:r w:rsidR="00ED6B36">
        <w:t xml:space="preserve"> </w:t>
      </w:r>
    </w:p>
    <w:p w14:paraId="21AFC2C4" w14:textId="3B8720D7" w:rsidR="003C67B0" w:rsidRPr="003153F0" w:rsidRDefault="003C67B0" w:rsidP="003153F0">
      <w:pPr>
        <w:spacing w:line="360" w:lineRule="auto"/>
        <w:rPr>
          <w:rFonts w:cs="Arial"/>
          <w:sz w:val="22"/>
          <w:szCs w:val="22"/>
        </w:rPr>
      </w:pPr>
      <w:r w:rsidRPr="003153F0">
        <w:rPr>
          <w:rFonts w:cs="Arial"/>
          <w:sz w:val="22"/>
          <w:szCs w:val="22"/>
        </w:rPr>
        <w:t xml:space="preserve">It presents the four strategic options explain the processes through which follower organisations </w:t>
      </w:r>
      <w:r w:rsidR="00B63C65">
        <w:rPr>
          <w:rFonts w:cs="Arial"/>
          <w:sz w:val="22"/>
          <w:szCs w:val="22"/>
        </w:rPr>
        <w:t xml:space="preserve">can </w:t>
      </w:r>
      <w:r w:rsidRPr="003153F0">
        <w:rPr>
          <w:rFonts w:cs="Arial"/>
          <w:sz w:val="22"/>
          <w:szCs w:val="22"/>
        </w:rPr>
        <w:t xml:space="preserve">grow </w:t>
      </w:r>
      <w:r w:rsidR="00B63C65">
        <w:rPr>
          <w:rFonts w:cs="Arial"/>
          <w:sz w:val="22"/>
          <w:szCs w:val="22"/>
        </w:rPr>
        <w:t>while</w:t>
      </w:r>
      <w:r w:rsidRPr="003153F0">
        <w:rPr>
          <w:rFonts w:cs="Arial"/>
          <w:sz w:val="22"/>
          <w:szCs w:val="22"/>
        </w:rPr>
        <w:t xml:space="preserve"> reduc</w:t>
      </w:r>
      <w:r w:rsidR="00B63C65">
        <w:rPr>
          <w:rFonts w:cs="Arial"/>
          <w:sz w:val="22"/>
          <w:szCs w:val="22"/>
        </w:rPr>
        <w:t>ing</w:t>
      </w:r>
      <w:r w:rsidRPr="003153F0">
        <w:rPr>
          <w:rFonts w:cs="Arial"/>
          <w:sz w:val="22"/>
          <w:szCs w:val="22"/>
        </w:rPr>
        <w:t xml:space="preserve"> the risk of experimentation (Kotler et al., 2020). It is incorporated below to analyse the follower</w:t>
      </w:r>
      <w:r w:rsidR="003153F0">
        <w:rPr>
          <w:rFonts w:cs="Arial"/>
          <w:sz w:val="22"/>
          <w:szCs w:val="22"/>
        </w:rPr>
        <w:t>s’</w:t>
      </w:r>
      <w:r w:rsidRPr="003153F0">
        <w:rPr>
          <w:rFonts w:cs="Arial"/>
          <w:sz w:val="22"/>
          <w:szCs w:val="22"/>
        </w:rPr>
        <w:t xml:space="preserve"> reaction to the market.</w:t>
      </w:r>
    </w:p>
    <w:tbl>
      <w:tblPr>
        <w:tblStyle w:val="TableGrid"/>
        <w:tblW w:w="0" w:type="auto"/>
        <w:tblLook w:val="04A0" w:firstRow="1" w:lastRow="0" w:firstColumn="1" w:lastColumn="0" w:noHBand="0" w:noVBand="1"/>
      </w:tblPr>
      <w:tblGrid>
        <w:gridCol w:w="1838"/>
        <w:gridCol w:w="2977"/>
        <w:gridCol w:w="4201"/>
      </w:tblGrid>
      <w:tr w:rsidR="003C67B0" w:rsidRPr="003153F0" w14:paraId="0DE2DEA7" w14:textId="77777777" w:rsidTr="000E7BA7">
        <w:tc>
          <w:tcPr>
            <w:tcW w:w="1838" w:type="dxa"/>
            <w:vAlign w:val="center"/>
          </w:tcPr>
          <w:p w14:paraId="6ECF9FDC" w14:textId="77777777" w:rsidR="003C67B0" w:rsidRPr="003153F0" w:rsidRDefault="003C67B0" w:rsidP="003153F0">
            <w:pPr>
              <w:spacing w:line="360" w:lineRule="auto"/>
              <w:jc w:val="center"/>
              <w:rPr>
                <w:rFonts w:cs="Arial"/>
                <w:b/>
                <w:bCs/>
                <w:color w:val="000000"/>
                <w:sz w:val="22"/>
                <w:szCs w:val="22"/>
              </w:rPr>
            </w:pPr>
            <w:proofErr w:type="spellStart"/>
            <w:r w:rsidRPr="003153F0">
              <w:rPr>
                <w:rFonts w:cs="Arial"/>
                <w:b/>
                <w:bCs/>
                <w:color w:val="000000"/>
                <w:sz w:val="22"/>
                <w:szCs w:val="22"/>
              </w:rPr>
              <w:t>Ansoff</w:t>
            </w:r>
            <w:proofErr w:type="spellEnd"/>
            <w:r w:rsidRPr="003153F0">
              <w:rPr>
                <w:rFonts w:cs="Arial"/>
                <w:b/>
                <w:bCs/>
                <w:color w:val="000000"/>
                <w:sz w:val="22"/>
                <w:szCs w:val="22"/>
              </w:rPr>
              <w:t xml:space="preserve"> Strategy</w:t>
            </w:r>
          </w:p>
        </w:tc>
        <w:tc>
          <w:tcPr>
            <w:tcW w:w="2977" w:type="dxa"/>
            <w:vAlign w:val="center"/>
          </w:tcPr>
          <w:p w14:paraId="2E349FC7" w14:textId="77777777" w:rsidR="003C67B0" w:rsidRPr="003153F0" w:rsidRDefault="003C67B0" w:rsidP="003153F0">
            <w:pPr>
              <w:spacing w:line="360" w:lineRule="auto"/>
              <w:jc w:val="center"/>
              <w:rPr>
                <w:rFonts w:cs="Arial"/>
                <w:b/>
                <w:bCs/>
                <w:color w:val="000000"/>
                <w:sz w:val="22"/>
                <w:szCs w:val="22"/>
              </w:rPr>
            </w:pPr>
            <w:r w:rsidRPr="003153F0">
              <w:rPr>
                <w:rFonts w:cs="Arial"/>
                <w:b/>
                <w:bCs/>
                <w:color w:val="000000"/>
                <w:sz w:val="22"/>
                <w:szCs w:val="22"/>
              </w:rPr>
              <w:t>Application in the UK EV Industry</w:t>
            </w:r>
          </w:p>
        </w:tc>
        <w:tc>
          <w:tcPr>
            <w:tcW w:w="4201" w:type="dxa"/>
            <w:vAlign w:val="center"/>
          </w:tcPr>
          <w:p w14:paraId="33E25BA7" w14:textId="77777777" w:rsidR="003C67B0" w:rsidRPr="003153F0" w:rsidRDefault="003C67B0" w:rsidP="003153F0">
            <w:pPr>
              <w:spacing w:line="360" w:lineRule="auto"/>
              <w:jc w:val="center"/>
              <w:rPr>
                <w:rFonts w:cs="Arial"/>
                <w:b/>
                <w:bCs/>
                <w:color w:val="000000"/>
                <w:sz w:val="22"/>
                <w:szCs w:val="22"/>
              </w:rPr>
            </w:pPr>
            <w:r w:rsidRPr="003153F0">
              <w:rPr>
                <w:rFonts w:cs="Arial"/>
                <w:b/>
                <w:bCs/>
                <w:color w:val="000000"/>
                <w:sz w:val="22"/>
                <w:szCs w:val="22"/>
              </w:rPr>
              <w:t>Activities of Pioneering Firms</w:t>
            </w:r>
          </w:p>
        </w:tc>
      </w:tr>
      <w:tr w:rsidR="003C67B0" w:rsidRPr="003153F0" w14:paraId="52D9DBCE" w14:textId="77777777" w:rsidTr="003153F0">
        <w:trPr>
          <w:trHeight w:val="1445"/>
        </w:trPr>
        <w:tc>
          <w:tcPr>
            <w:tcW w:w="1838" w:type="dxa"/>
            <w:vAlign w:val="center"/>
          </w:tcPr>
          <w:p w14:paraId="53845CFF" w14:textId="77777777" w:rsidR="003C67B0" w:rsidRPr="003153F0" w:rsidRDefault="003C67B0" w:rsidP="003153F0">
            <w:pPr>
              <w:spacing w:line="360" w:lineRule="auto"/>
              <w:jc w:val="center"/>
              <w:rPr>
                <w:rFonts w:cs="Arial"/>
                <w:color w:val="000000"/>
                <w:sz w:val="22"/>
                <w:szCs w:val="22"/>
              </w:rPr>
            </w:pPr>
            <w:r w:rsidRPr="003153F0">
              <w:rPr>
                <w:rFonts w:cs="Arial"/>
                <w:color w:val="000000"/>
                <w:sz w:val="22"/>
                <w:szCs w:val="22"/>
              </w:rPr>
              <w:t>Market Penetration</w:t>
            </w:r>
          </w:p>
        </w:tc>
        <w:tc>
          <w:tcPr>
            <w:tcW w:w="2977" w:type="dxa"/>
          </w:tcPr>
          <w:p w14:paraId="17F0828C" w14:textId="77777777" w:rsidR="003C67B0" w:rsidRPr="003153F0" w:rsidRDefault="003C67B0" w:rsidP="003153F0">
            <w:pPr>
              <w:spacing w:line="360" w:lineRule="auto"/>
              <w:rPr>
                <w:rFonts w:cs="Arial"/>
                <w:color w:val="000000"/>
                <w:sz w:val="22"/>
                <w:szCs w:val="22"/>
              </w:rPr>
            </w:pPr>
            <w:r w:rsidRPr="003153F0">
              <w:rPr>
                <w:rFonts w:cs="Arial"/>
                <w:color w:val="000000"/>
                <w:sz w:val="22"/>
                <w:szCs w:val="22"/>
              </w:rPr>
              <w:t>Increas</w:t>
            </w:r>
            <w:r w:rsidR="00E26173">
              <w:rPr>
                <w:rFonts w:cs="Arial"/>
                <w:color w:val="000000"/>
                <w:sz w:val="22"/>
                <w:szCs w:val="22"/>
              </w:rPr>
              <w:t>ing</w:t>
            </w:r>
            <w:r w:rsidRPr="003153F0">
              <w:rPr>
                <w:rFonts w:cs="Arial"/>
                <w:color w:val="000000"/>
                <w:sz w:val="22"/>
                <w:szCs w:val="22"/>
              </w:rPr>
              <w:t xml:space="preserve"> share in existing EV segments through competitive pricing, dealer networks and promotions</w:t>
            </w:r>
            <w:r w:rsidR="003153F0">
              <w:rPr>
                <w:rFonts w:cs="Arial"/>
                <w:color w:val="000000"/>
                <w:sz w:val="22"/>
                <w:szCs w:val="22"/>
              </w:rPr>
              <w:t xml:space="preserve"> </w:t>
            </w:r>
            <w:r w:rsidR="003153F0" w:rsidRPr="003A5F0B">
              <w:rPr>
                <w:rFonts w:cs="Arial"/>
                <w:color w:val="000000"/>
                <w:sz w:val="22"/>
                <w:szCs w:val="22"/>
              </w:rPr>
              <w:t>(</w:t>
            </w:r>
            <w:r w:rsidR="003153F0" w:rsidRPr="003A5F0B">
              <w:rPr>
                <w:rFonts w:cs="Arial"/>
                <w:sz w:val="22"/>
                <w:szCs w:val="22"/>
              </w:rPr>
              <w:t>Corporate Finance Institute, 2025).</w:t>
            </w:r>
          </w:p>
        </w:tc>
        <w:tc>
          <w:tcPr>
            <w:tcW w:w="4201" w:type="dxa"/>
          </w:tcPr>
          <w:p w14:paraId="00CCFB85" w14:textId="065257F7" w:rsidR="003C67B0" w:rsidRPr="003153F0" w:rsidRDefault="00206BE3" w:rsidP="003153F0">
            <w:pPr>
              <w:spacing w:line="360" w:lineRule="auto"/>
              <w:rPr>
                <w:rFonts w:cs="Arial"/>
                <w:sz w:val="22"/>
                <w:szCs w:val="22"/>
              </w:rPr>
            </w:pPr>
            <w:r w:rsidRPr="000200BE">
              <w:rPr>
                <w:rStyle w:val="Strong"/>
                <w:rFonts w:cs="Arial"/>
                <w:b w:val="0"/>
                <w:bCs w:val="0"/>
                <w:sz w:val="22"/>
                <w:szCs w:val="22"/>
              </w:rPr>
              <w:t>BYD</w:t>
            </w:r>
            <w:r w:rsidRPr="00EE27CA">
              <w:rPr>
                <w:rFonts w:cs="Arial"/>
                <w:sz w:val="22"/>
                <w:szCs w:val="22"/>
              </w:rPr>
              <w:t xml:space="preserve"> implemented strategies such as</w:t>
            </w:r>
            <w:r>
              <w:rPr>
                <w:rFonts w:cs="Arial"/>
                <w:sz w:val="22"/>
                <w:szCs w:val="22"/>
              </w:rPr>
              <w:t xml:space="preserve"> “</w:t>
            </w:r>
            <w:r w:rsidRPr="006D128A">
              <w:rPr>
                <w:rStyle w:val="Emphasis"/>
                <w:rFonts w:cs="Arial"/>
                <w:i w:val="0"/>
                <w:iCs w:val="0"/>
                <w:sz w:val="22"/>
                <w:szCs w:val="22"/>
              </w:rPr>
              <w:t>Blade Battery”</w:t>
            </w:r>
            <w:r w:rsidRPr="00EE27CA">
              <w:rPr>
                <w:rStyle w:val="Emphasis"/>
                <w:rFonts w:cs="Arial"/>
                <w:sz w:val="22"/>
                <w:szCs w:val="22"/>
              </w:rPr>
              <w:t xml:space="preserve"> </w:t>
            </w:r>
            <w:r w:rsidRPr="006D128A">
              <w:rPr>
                <w:rStyle w:val="Emphasis"/>
                <w:rFonts w:cs="Arial"/>
                <w:i w:val="0"/>
                <w:iCs w:val="0"/>
                <w:sz w:val="22"/>
                <w:szCs w:val="22"/>
              </w:rPr>
              <w:t>that</w:t>
            </w:r>
            <w:r w:rsidRPr="00EE27CA">
              <w:rPr>
                <w:rStyle w:val="Emphasis"/>
                <w:rFonts w:cs="Arial"/>
                <w:sz w:val="22"/>
                <w:szCs w:val="22"/>
              </w:rPr>
              <w:t xml:space="preserve"> </w:t>
            </w:r>
            <w:r w:rsidRPr="00EE27CA">
              <w:rPr>
                <w:rFonts w:cs="Arial"/>
                <w:sz w:val="22"/>
                <w:szCs w:val="22"/>
              </w:rPr>
              <w:t>cut production costs by up to 30% (BYD, 2025)</w:t>
            </w:r>
            <w:r>
              <w:rPr>
                <w:rFonts w:cs="Arial"/>
                <w:sz w:val="22"/>
                <w:szCs w:val="22"/>
              </w:rPr>
              <w:t xml:space="preserve">. Furthermore, it introduced </w:t>
            </w:r>
            <w:r w:rsidRPr="00EE27CA">
              <w:rPr>
                <w:rFonts w:cs="Arial"/>
                <w:sz w:val="22"/>
                <w:szCs w:val="22"/>
              </w:rPr>
              <w:t xml:space="preserve">competitively priced models </w:t>
            </w:r>
            <w:r>
              <w:rPr>
                <w:rFonts w:cs="Arial"/>
                <w:sz w:val="22"/>
                <w:szCs w:val="22"/>
              </w:rPr>
              <w:t>such as</w:t>
            </w:r>
            <w:r w:rsidRPr="00EE27CA">
              <w:rPr>
                <w:rFonts w:cs="Arial"/>
                <w:sz w:val="22"/>
                <w:szCs w:val="22"/>
              </w:rPr>
              <w:t xml:space="preserve"> the </w:t>
            </w:r>
            <w:proofErr w:type="spellStart"/>
            <w:r w:rsidRPr="00EB60C7">
              <w:rPr>
                <w:rStyle w:val="Emphasis"/>
                <w:rFonts w:cs="Arial"/>
                <w:i w:val="0"/>
                <w:iCs w:val="0"/>
                <w:sz w:val="22"/>
                <w:szCs w:val="22"/>
              </w:rPr>
              <w:t>Atto</w:t>
            </w:r>
            <w:proofErr w:type="spellEnd"/>
            <w:r w:rsidRPr="00EB60C7">
              <w:rPr>
                <w:rStyle w:val="Emphasis"/>
                <w:rFonts w:cs="Arial"/>
                <w:i w:val="0"/>
                <w:iCs w:val="0"/>
                <w:sz w:val="22"/>
                <w:szCs w:val="22"/>
              </w:rPr>
              <w:t xml:space="preserve"> 3</w:t>
            </w:r>
            <w:r w:rsidRPr="00EE27CA">
              <w:rPr>
                <w:rFonts w:cs="Arial"/>
                <w:sz w:val="22"/>
                <w:szCs w:val="22"/>
              </w:rPr>
              <w:t xml:space="preserve"> (priced at £37,000) to gain rapid traction in the UK market</w:t>
            </w:r>
            <w:r>
              <w:rPr>
                <w:rFonts w:cs="Arial"/>
                <w:sz w:val="22"/>
                <w:szCs w:val="22"/>
              </w:rPr>
              <w:t xml:space="preserve"> </w:t>
            </w:r>
            <w:r w:rsidRPr="00EE27CA">
              <w:rPr>
                <w:rFonts w:cs="Arial"/>
                <w:sz w:val="22"/>
                <w:szCs w:val="22"/>
              </w:rPr>
              <w:t>(BYD, 2025).</w:t>
            </w:r>
            <w:r>
              <w:rPr>
                <w:rFonts w:cs="Arial"/>
                <w:sz w:val="22"/>
                <w:szCs w:val="22"/>
              </w:rPr>
              <w:t xml:space="preserve"> Hence, the company</w:t>
            </w:r>
            <w:r w:rsidRPr="003153F0">
              <w:rPr>
                <w:rFonts w:cs="Arial"/>
                <w:sz w:val="22"/>
                <w:szCs w:val="22"/>
              </w:rPr>
              <w:t xml:space="preserve"> </w:t>
            </w:r>
            <w:r w:rsidR="007E13EA">
              <w:rPr>
                <w:rFonts w:cs="Arial"/>
                <w:sz w:val="22"/>
                <w:szCs w:val="22"/>
              </w:rPr>
              <w:t>can</w:t>
            </w:r>
            <w:r>
              <w:rPr>
                <w:rFonts w:cs="Arial"/>
                <w:sz w:val="22"/>
                <w:szCs w:val="22"/>
              </w:rPr>
              <w:t xml:space="preserve"> </w:t>
            </w:r>
            <w:r w:rsidRPr="003153F0">
              <w:rPr>
                <w:rFonts w:cs="Arial"/>
                <w:sz w:val="22"/>
                <w:szCs w:val="22"/>
              </w:rPr>
              <w:t xml:space="preserve">rapidly expand its sales volumes in the UK using </w:t>
            </w:r>
            <w:r>
              <w:rPr>
                <w:rFonts w:cs="Arial"/>
                <w:sz w:val="22"/>
                <w:szCs w:val="22"/>
              </w:rPr>
              <w:t xml:space="preserve">this </w:t>
            </w:r>
            <w:r w:rsidRPr="003153F0">
              <w:rPr>
                <w:rFonts w:cs="Arial"/>
                <w:sz w:val="22"/>
                <w:szCs w:val="22"/>
              </w:rPr>
              <w:t>value pricing.</w:t>
            </w:r>
          </w:p>
        </w:tc>
      </w:tr>
      <w:tr w:rsidR="003C67B0" w:rsidRPr="003153F0" w14:paraId="247A65F2" w14:textId="77777777" w:rsidTr="003153F0">
        <w:tc>
          <w:tcPr>
            <w:tcW w:w="1838" w:type="dxa"/>
            <w:vAlign w:val="center"/>
          </w:tcPr>
          <w:p w14:paraId="0AD25A69" w14:textId="77777777" w:rsidR="003C67B0" w:rsidRPr="003153F0" w:rsidRDefault="003C67B0" w:rsidP="003153F0">
            <w:pPr>
              <w:spacing w:line="360" w:lineRule="auto"/>
              <w:jc w:val="center"/>
              <w:rPr>
                <w:rFonts w:cs="Arial"/>
                <w:color w:val="000000"/>
                <w:sz w:val="22"/>
                <w:szCs w:val="22"/>
              </w:rPr>
            </w:pPr>
            <w:r w:rsidRPr="003153F0">
              <w:rPr>
                <w:rFonts w:cs="Arial"/>
                <w:color w:val="000000"/>
                <w:sz w:val="22"/>
                <w:szCs w:val="22"/>
              </w:rPr>
              <w:t>Product Development</w:t>
            </w:r>
          </w:p>
        </w:tc>
        <w:tc>
          <w:tcPr>
            <w:tcW w:w="2977" w:type="dxa"/>
          </w:tcPr>
          <w:p w14:paraId="42E334A7" w14:textId="77777777" w:rsidR="003C67B0" w:rsidRPr="003153F0" w:rsidRDefault="003C67B0" w:rsidP="003153F0">
            <w:pPr>
              <w:spacing w:line="360" w:lineRule="auto"/>
              <w:rPr>
                <w:rFonts w:cs="Arial"/>
                <w:color w:val="000000"/>
                <w:sz w:val="22"/>
                <w:szCs w:val="22"/>
              </w:rPr>
            </w:pPr>
            <w:r w:rsidRPr="003153F0">
              <w:rPr>
                <w:rFonts w:cs="Arial"/>
                <w:color w:val="000000"/>
                <w:sz w:val="22"/>
                <w:szCs w:val="22"/>
              </w:rPr>
              <w:t>Offer</w:t>
            </w:r>
            <w:r w:rsidR="00E26173">
              <w:rPr>
                <w:rFonts w:cs="Arial"/>
                <w:color w:val="000000"/>
                <w:sz w:val="22"/>
                <w:szCs w:val="22"/>
              </w:rPr>
              <w:t>ing</w:t>
            </w:r>
            <w:r w:rsidRPr="003153F0">
              <w:rPr>
                <w:rFonts w:cs="Arial"/>
                <w:color w:val="000000"/>
                <w:sz w:val="22"/>
                <w:szCs w:val="22"/>
              </w:rPr>
              <w:t xml:space="preserve"> adapted models to match local demand</w:t>
            </w:r>
            <w:r w:rsidR="003153F0">
              <w:rPr>
                <w:rFonts w:cs="Arial"/>
                <w:color w:val="000000"/>
                <w:sz w:val="22"/>
                <w:szCs w:val="22"/>
              </w:rPr>
              <w:t xml:space="preserve"> </w:t>
            </w:r>
            <w:r w:rsidR="003153F0" w:rsidRPr="003A5F0B">
              <w:rPr>
                <w:rFonts w:cs="Arial"/>
                <w:color w:val="000000"/>
                <w:sz w:val="22"/>
                <w:szCs w:val="22"/>
              </w:rPr>
              <w:t>(</w:t>
            </w:r>
            <w:r w:rsidR="003153F0" w:rsidRPr="003A5F0B">
              <w:rPr>
                <w:rFonts w:cs="Arial"/>
                <w:sz w:val="22"/>
                <w:szCs w:val="22"/>
              </w:rPr>
              <w:t>Corporate Finance Institute, 2025).</w:t>
            </w:r>
          </w:p>
        </w:tc>
        <w:tc>
          <w:tcPr>
            <w:tcW w:w="4201" w:type="dxa"/>
          </w:tcPr>
          <w:p w14:paraId="04602C8F" w14:textId="77777777" w:rsidR="003C67B0" w:rsidRPr="00084C0E" w:rsidRDefault="000E7BA7" w:rsidP="00084C0E">
            <w:pPr>
              <w:spacing w:line="360" w:lineRule="auto"/>
              <w:rPr>
                <w:rFonts w:cs="Arial"/>
                <w:sz w:val="22"/>
                <w:szCs w:val="22"/>
              </w:rPr>
            </w:pPr>
            <w:r w:rsidRPr="00084C0E">
              <w:rPr>
                <w:rFonts w:cs="Arial"/>
                <w:sz w:val="22"/>
                <w:szCs w:val="22"/>
              </w:rPr>
              <w:t>Toyota emphasised a multi-pathway BEV strategy</w:t>
            </w:r>
            <w:r w:rsidR="006D128A" w:rsidRPr="00084C0E">
              <w:rPr>
                <w:rFonts w:cs="Arial"/>
                <w:sz w:val="22"/>
                <w:szCs w:val="22"/>
              </w:rPr>
              <w:t xml:space="preserve"> named </w:t>
            </w:r>
            <w:r w:rsidRPr="00084C0E">
              <w:rPr>
                <w:rFonts w:cs="Arial"/>
                <w:sz w:val="22"/>
                <w:szCs w:val="22"/>
              </w:rPr>
              <w:t>“Beyond Zero”</w:t>
            </w:r>
            <w:r w:rsidR="006D128A" w:rsidRPr="00084C0E">
              <w:rPr>
                <w:rFonts w:cs="Arial"/>
                <w:sz w:val="22"/>
                <w:szCs w:val="22"/>
              </w:rPr>
              <w:t xml:space="preserve"> </w:t>
            </w:r>
            <w:r w:rsidRPr="00084C0E">
              <w:rPr>
                <w:rFonts w:cs="Arial"/>
                <w:sz w:val="22"/>
                <w:szCs w:val="22"/>
              </w:rPr>
              <w:t>to serve consumers beyond carbon neutrality with the products, services and operations offered by finding new ways to make a positive impact on the planet and society (Toyota, 2023).</w:t>
            </w:r>
            <w:r w:rsidR="00206BE3" w:rsidRPr="00084C0E">
              <w:rPr>
                <w:rFonts w:cs="Arial"/>
                <w:sz w:val="22"/>
                <w:szCs w:val="22"/>
              </w:rPr>
              <w:t xml:space="preserve"> This novel approach emphasises hybrid and plug-in hybrid leadership as practical transitional </w:t>
            </w:r>
            <w:r w:rsidR="00206BE3" w:rsidRPr="00084C0E">
              <w:rPr>
                <w:rFonts w:cs="Arial"/>
                <w:sz w:val="22"/>
                <w:szCs w:val="22"/>
              </w:rPr>
              <w:lastRenderedPageBreak/>
              <w:t xml:space="preserve">solutions that maintain profitability and brand reliability while preparing for full BEV expansion by 2026 (Toyota, 2023). </w:t>
            </w:r>
          </w:p>
          <w:p w14:paraId="2167C196" w14:textId="3EA6FEFC" w:rsidR="00206BE3" w:rsidRPr="00084C0E" w:rsidRDefault="00206BE3" w:rsidP="00084C0E">
            <w:pPr>
              <w:spacing w:line="360" w:lineRule="auto"/>
              <w:rPr>
                <w:rFonts w:cs="Arial"/>
                <w:sz w:val="22"/>
                <w:szCs w:val="22"/>
              </w:rPr>
            </w:pPr>
            <w:r w:rsidRPr="00084C0E">
              <w:rPr>
                <w:rFonts w:cs="Arial"/>
                <w:sz w:val="22"/>
                <w:szCs w:val="22"/>
              </w:rPr>
              <w:t xml:space="preserve">Conversely, Hyundai’s </w:t>
            </w:r>
            <w:proofErr w:type="spellStart"/>
            <w:r w:rsidRPr="00084C0E">
              <w:rPr>
                <w:rStyle w:val="Strong"/>
                <w:rFonts w:cs="Arial"/>
                <w:b w:val="0"/>
                <w:bCs w:val="0"/>
                <w:sz w:val="22"/>
                <w:szCs w:val="22"/>
              </w:rPr>
              <w:t>Ioniq</w:t>
            </w:r>
            <w:proofErr w:type="spellEnd"/>
            <w:r w:rsidRPr="00084C0E">
              <w:rPr>
                <w:rStyle w:val="Strong"/>
                <w:rFonts w:cs="Arial"/>
                <w:b w:val="0"/>
                <w:bCs w:val="0"/>
                <w:sz w:val="22"/>
                <w:szCs w:val="22"/>
              </w:rPr>
              <w:t xml:space="preserve"> 5</w:t>
            </w:r>
            <w:r w:rsidRPr="00084C0E">
              <w:rPr>
                <w:rFonts w:cs="Arial"/>
                <w:b/>
                <w:bCs/>
                <w:sz w:val="22"/>
                <w:szCs w:val="22"/>
              </w:rPr>
              <w:t xml:space="preserve"> </w:t>
            </w:r>
            <w:r w:rsidRPr="00084C0E">
              <w:rPr>
                <w:rFonts w:cs="Arial"/>
                <w:sz w:val="22"/>
                <w:szCs w:val="22"/>
              </w:rPr>
              <w:t>and</w:t>
            </w:r>
            <w:r w:rsidRPr="00084C0E">
              <w:rPr>
                <w:rFonts w:cs="Arial"/>
                <w:b/>
                <w:bCs/>
                <w:sz w:val="22"/>
                <w:szCs w:val="22"/>
              </w:rPr>
              <w:t xml:space="preserve"> </w:t>
            </w:r>
            <w:proofErr w:type="spellStart"/>
            <w:r w:rsidRPr="00084C0E">
              <w:rPr>
                <w:rStyle w:val="Strong"/>
                <w:rFonts w:cs="Arial"/>
                <w:b w:val="0"/>
                <w:bCs w:val="0"/>
                <w:sz w:val="22"/>
                <w:szCs w:val="22"/>
              </w:rPr>
              <w:t>Ioniq</w:t>
            </w:r>
            <w:proofErr w:type="spellEnd"/>
            <w:r w:rsidRPr="00084C0E">
              <w:rPr>
                <w:rStyle w:val="Strong"/>
                <w:rFonts w:cs="Arial"/>
                <w:b w:val="0"/>
                <w:bCs w:val="0"/>
                <w:sz w:val="22"/>
                <w:szCs w:val="22"/>
              </w:rPr>
              <w:t xml:space="preserve"> 6</w:t>
            </w:r>
            <w:r w:rsidRPr="00084C0E">
              <w:rPr>
                <w:rFonts w:cs="Arial"/>
                <w:sz w:val="22"/>
                <w:szCs w:val="22"/>
              </w:rPr>
              <w:t xml:space="preserve"> models employ an 800V battery architecture that achieves a 10-80% charge in 18 minutes, creating a clear technological distinction in the mid-price segment (Hyundai, 2025).</w:t>
            </w:r>
          </w:p>
        </w:tc>
      </w:tr>
      <w:tr w:rsidR="003C67B0" w:rsidRPr="003153F0" w14:paraId="09842802" w14:textId="77777777" w:rsidTr="003153F0">
        <w:tc>
          <w:tcPr>
            <w:tcW w:w="1838" w:type="dxa"/>
            <w:vAlign w:val="center"/>
          </w:tcPr>
          <w:p w14:paraId="06A5AF36" w14:textId="77777777" w:rsidR="003C67B0" w:rsidRPr="003153F0" w:rsidRDefault="003C67B0" w:rsidP="003153F0">
            <w:pPr>
              <w:spacing w:line="360" w:lineRule="auto"/>
              <w:jc w:val="center"/>
              <w:rPr>
                <w:rFonts w:cs="Arial"/>
                <w:color w:val="000000"/>
                <w:sz w:val="22"/>
                <w:szCs w:val="22"/>
              </w:rPr>
            </w:pPr>
            <w:r w:rsidRPr="003153F0">
              <w:rPr>
                <w:rFonts w:cs="Arial"/>
                <w:color w:val="000000"/>
                <w:sz w:val="22"/>
                <w:szCs w:val="22"/>
              </w:rPr>
              <w:lastRenderedPageBreak/>
              <w:t>Market Development</w:t>
            </w:r>
          </w:p>
        </w:tc>
        <w:tc>
          <w:tcPr>
            <w:tcW w:w="2977" w:type="dxa"/>
          </w:tcPr>
          <w:p w14:paraId="1D3F6A3C" w14:textId="77777777" w:rsidR="003C67B0" w:rsidRPr="003153F0" w:rsidRDefault="003C67B0" w:rsidP="003153F0">
            <w:pPr>
              <w:spacing w:line="360" w:lineRule="auto"/>
              <w:rPr>
                <w:rFonts w:cs="Arial"/>
                <w:color w:val="000000"/>
                <w:sz w:val="22"/>
                <w:szCs w:val="22"/>
              </w:rPr>
            </w:pPr>
            <w:r w:rsidRPr="003153F0">
              <w:rPr>
                <w:rFonts w:cs="Arial"/>
                <w:color w:val="000000"/>
                <w:sz w:val="22"/>
                <w:szCs w:val="22"/>
              </w:rPr>
              <w:t>Enter</w:t>
            </w:r>
            <w:r w:rsidR="00B856ED">
              <w:rPr>
                <w:rFonts w:cs="Arial"/>
                <w:color w:val="000000"/>
                <w:sz w:val="22"/>
                <w:szCs w:val="22"/>
              </w:rPr>
              <w:t>ing</w:t>
            </w:r>
            <w:r w:rsidRPr="003153F0">
              <w:rPr>
                <w:rFonts w:cs="Arial"/>
                <w:color w:val="000000"/>
                <w:sz w:val="22"/>
                <w:szCs w:val="22"/>
              </w:rPr>
              <w:t xml:space="preserve"> new regional segments as charging </w:t>
            </w:r>
            <w:r w:rsidR="000E7BA7" w:rsidRPr="003153F0">
              <w:rPr>
                <w:rFonts w:cs="Arial"/>
                <w:color w:val="000000"/>
                <w:sz w:val="22"/>
                <w:szCs w:val="22"/>
              </w:rPr>
              <w:t xml:space="preserve">infrastructure </w:t>
            </w:r>
            <w:r w:rsidRPr="003153F0">
              <w:rPr>
                <w:rFonts w:cs="Arial"/>
                <w:color w:val="000000"/>
                <w:sz w:val="22"/>
                <w:szCs w:val="22"/>
              </w:rPr>
              <w:t>improves</w:t>
            </w:r>
            <w:r w:rsidR="003153F0">
              <w:rPr>
                <w:rFonts w:cs="Arial"/>
                <w:color w:val="000000"/>
                <w:sz w:val="22"/>
                <w:szCs w:val="22"/>
              </w:rPr>
              <w:t xml:space="preserve"> </w:t>
            </w:r>
            <w:r w:rsidR="003153F0" w:rsidRPr="003A5F0B">
              <w:rPr>
                <w:rFonts w:cs="Arial"/>
                <w:color w:val="000000"/>
                <w:sz w:val="22"/>
                <w:szCs w:val="22"/>
              </w:rPr>
              <w:t>(</w:t>
            </w:r>
            <w:r w:rsidR="003153F0" w:rsidRPr="003A5F0B">
              <w:rPr>
                <w:rFonts w:cs="Arial"/>
                <w:sz w:val="22"/>
                <w:szCs w:val="22"/>
              </w:rPr>
              <w:t>Corporate Finance Institute, 2025).</w:t>
            </w:r>
          </w:p>
        </w:tc>
        <w:tc>
          <w:tcPr>
            <w:tcW w:w="4201" w:type="dxa"/>
          </w:tcPr>
          <w:p w14:paraId="24DB3B71" w14:textId="13DC5145" w:rsidR="003C67B0" w:rsidRPr="00084C0E" w:rsidRDefault="000E7BA7" w:rsidP="00084C0E">
            <w:pPr>
              <w:pStyle w:val="NormalWeb"/>
              <w:spacing w:line="360" w:lineRule="auto"/>
              <w:rPr>
                <w:rFonts w:ascii="Arial" w:hAnsi="Arial" w:cs="Arial"/>
                <w:sz w:val="22"/>
                <w:szCs w:val="22"/>
              </w:rPr>
            </w:pPr>
            <w:r w:rsidRPr="00084C0E">
              <w:rPr>
                <w:rFonts w:ascii="Arial" w:hAnsi="Arial" w:cs="Arial"/>
                <w:sz w:val="22"/>
                <w:szCs w:val="22"/>
              </w:rPr>
              <w:t>MG intensified retail activity through new models such as the ZS Hybrid+ model (introduced in the second half of 2024)</w:t>
            </w:r>
            <w:r w:rsidR="006D128A" w:rsidRPr="00084C0E">
              <w:rPr>
                <w:rFonts w:ascii="Arial" w:hAnsi="Arial" w:cs="Arial"/>
                <w:sz w:val="22"/>
                <w:szCs w:val="22"/>
              </w:rPr>
              <w:t xml:space="preserve"> that </w:t>
            </w:r>
            <w:r w:rsidRPr="00084C0E">
              <w:rPr>
                <w:rFonts w:ascii="Arial" w:hAnsi="Arial" w:cs="Arial"/>
                <w:sz w:val="22"/>
                <w:szCs w:val="22"/>
              </w:rPr>
              <w:t>show</w:t>
            </w:r>
            <w:r w:rsidR="006D128A" w:rsidRPr="00084C0E">
              <w:rPr>
                <w:rFonts w:ascii="Arial" w:hAnsi="Arial" w:cs="Arial"/>
                <w:sz w:val="22"/>
                <w:szCs w:val="22"/>
              </w:rPr>
              <w:t>ed</w:t>
            </w:r>
            <w:r w:rsidRPr="00084C0E">
              <w:rPr>
                <w:rFonts w:ascii="Arial" w:hAnsi="Arial" w:cs="Arial"/>
                <w:sz w:val="22"/>
                <w:szCs w:val="22"/>
              </w:rPr>
              <w:t xml:space="preserve"> strong registrations (RRG Group, 2025).</w:t>
            </w:r>
            <w:r w:rsidR="00084C0E" w:rsidRPr="00084C0E">
              <w:rPr>
                <w:rFonts w:ascii="Arial" w:hAnsi="Arial" w:cs="Arial"/>
                <w:sz w:val="22"/>
                <w:szCs w:val="22"/>
              </w:rPr>
              <w:t xml:space="preserve"> </w:t>
            </w:r>
          </w:p>
        </w:tc>
      </w:tr>
      <w:tr w:rsidR="003C67B0" w:rsidRPr="003153F0" w14:paraId="6910519C" w14:textId="77777777" w:rsidTr="003153F0">
        <w:tc>
          <w:tcPr>
            <w:tcW w:w="1838" w:type="dxa"/>
            <w:vAlign w:val="center"/>
          </w:tcPr>
          <w:p w14:paraId="2DFF92EB" w14:textId="77777777" w:rsidR="003C67B0" w:rsidRPr="003153F0" w:rsidRDefault="003C67B0" w:rsidP="003153F0">
            <w:pPr>
              <w:spacing w:line="360" w:lineRule="auto"/>
              <w:jc w:val="center"/>
              <w:rPr>
                <w:rFonts w:cs="Arial"/>
                <w:color w:val="000000"/>
                <w:sz w:val="22"/>
                <w:szCs w:val="22"/>
              </w:rPr>
            </w:pPr>
            <w:r w:rsidRPr="003153F0">
              <w:rPr>
                <w:rFonts w:cs="Arial"/>
                <w:color w:val="000000"/>
                <w:sz w:val="22"/>
                <w:szCs w:val="22"/>
              </w:rPr>
              <w:t>Diversification</w:t>
            </w:r>
          </w:p>
        </w:tc>
        <w:tc>
          <w:tcPr>
            <w:tcW w:w="2977" w:type="dxa"/>
          </w:tcPr>
          <w:p w14:paraId="40B41212" w14:textId="77777777" w:rsidR="003C67B0" w:rsidRPr="003153F0" w:rsidRDefault="003C67B0" w:rsidP="003153F0">
            <w:pPr>
              <w:spacing w:line="360" w:lineRule="auto"/>
              <w:rPr>
                <w:rFonts w:cs="Arial"/>
                <w:color w:val="000000"/>
                <w:sz w:val="22"/>
                <w:szCs w:val="22"/>
              </w:rPr>
            </w:pPr>
            <w:r w:rsidRPr="003153F0">
              <w:rPr>
                <w:rFonts w:cs="Arial"/>
                <w:color w:val="000000"/>
                <w:sz w:val="22"/>
                <w:szCs w:val="22"/>
              </w:rPr>
              <w:t>Partner</w:t>
            </w:r>
            <w:r w:rsidR="00B856ED">
              <w:rPr>
                <w:rFonts w:cs="Arial"/>
                <w:color w:val="000000"/>
                <w:sz w:val="22"/>
                <w:szCs w:val="22"/>
              </w:rPr>
              <w:t>ing</w:t>
            </w:r>
            <w:r w:rsidRPr="003153F0">
              <w:rPr>
                <w:rFonts w:cs="Arial"/>
                <w:color w:val="000000"/>
                <w:sz w:val="22"/>
                <w:szCs w:val="22"/>
              </w:rPr>
              <w:t xml:space="preserve"> with energy providers</w:t>
            </w:r>
            <w:r w:rsidR="003153F0">
              <w:rPr>
                <w:rFonts w:cs="Arial"/>
                <w:color w:val="000000"/>
                <w:sz w:val="22"/>
                <w:szCs w:val="22"/>
              </w:rPr>
              <w:t xml:space="preserve"> </w:t>
            </w:r>
            <w:r w:rsidR="003153F0" w:rsidRPr="003A5F0B">
              <w:rPr>
                <w:rFonts w:cs="Arial"/>
                <w:color w:val="000000"/>
                <w:sz w:val="22"/>
                <w:szCs w:val="22"/>
              </w:rPr>
              <w:t>(</w:t>
            </w:r>
            <w:r w:rsidR="003153F0" w:rsidRPr="003A5F0B">
              <w:rPr>
                <w:rFonts w:cs="Arial"/>
                <w:sz w:val="22"/>
                <w:szCs w:val="22"/>
              </w:rPr>
              <w:t>Corporate Finance Institute, 2025).</w:t>
            </w:r>
          </w:p>
        </w:tc>
        <w:tc>
          <w:tcPr>
            <w:tcW w:w="4201" w:type="dxa"/>
          </w:tcPr>
          <w:p w14:paraId="57260811" w14:textId="77777777" w:rsidR="003C67B0" w:rsidRPr="003153F0" w:rsidRDefault="003153F0" w:rsidP="003153F0">
            <w:pPr>
              <w:pStyle w:val="NormalWeb"/>
              <w:spacing w:line="360" w:lineRule="auto"/>
              <w:rPr>
                <w:rFonts w:ascii="Arial" w:hAnsi="Arial" w:cs="Arial"/>
                <w:sz w:val="22"/>
                <w:szCs w:val="22"/>
              </w:rPr>
            </w:pPr>
            <w:r w:rsidRPr="003153F0">
              <w:rPr>
                <w:rFonts w:ascii="Arial" w:hAnsi="Arial" w:cs="Arial"/>
                <w:sz w:val="22"/>
                <w:szCs w:val="22"/>
              </w:rPr>
              <w:t xml:space="preserve">Volkswagen's </w:t>
            </w:r>
            <w:r w:rsidR="006D128A">
              <w:rPr>
                <w:rFonts w:ascii="Arial" w:hAnsi="Arial" w:cs="Arial"/>
                <w:sz w:val="22"/>
                <w:szCs w:val="22"/>
              </w:rPr>
              <w:t>“</w:t>
            </w:r>
            <w:r w:rsidRPr="003153F0">
              <w:rPr>
                <w:rFonts w:ascii="Arial" w:hAnsi="Arial" w:cs="Arial"/>
                <w:sz w:val="22"/>
                <w:szCs w:val="22"/>
              </w:rPr>
              <w:t>Way to Zero” strategy expands beyond traditional vehicle manufacturing into renewable-energy production, carbon-neutral logistics, and partnerships with charging providers like IONITY</w:t>
            </w:r>
            <w:r w:rsidR="006D128A">
              <w:rPr>
                <w:rFonts w:ascii="Arial" w:hAnsi="Arial" w:cs="Arial"/>
                <w:sz w:val="22"/>
                <w:szCs w:val="22"/>
              </w:rPr>
              <w:t xml:space="preserve"> </w:t>
            </w:r>
            <w:r w:rsidRPr="003153F0">
              <w:rPr>
                <w:rFonts w:ascii="Arial" w:hAnsi="Arial" w:cs="Arial"/>
                <w:sz w:val="22"/>
                <w:szCs w:val="22"/>
              </w:rPr>
              <w:t>(Volkswagen, 2024).</w:t>
            </w:r>
          </w:p>
        </w:tc>
      </w:tr>
    </w:tbl>
    <w:p w14:paraId="01C4B1A7" w14:textId="77777777" w:rsidR="00F679E2" w:rsidRDefault="00F679E2" w:rsidP="006D128A">
      <w:pPr>
        <w:pStyle w:val="Heading2"/>
      </w:pPr>
    </w:p>
    <w:p w14:paraId="71E00D96" w14:textId="77777777" w:rsidR="00F679E2" w:rsidRDefault="00F679E2" w:rsidP="00F679E2">
      <w:pPr>
        <w:rPr>
          <w:rFonts w:eastAsiaTheme="majorEastAsia" w:cstheme="majorBidi"/>
          <w:color w:val="2F5496" w:themeColor="accent1" w:themeShade="BF"/>
          <w:sz w:val="26"/>
          <w:szCs w:val="33"/>
        </w:rPr>
      </w:pPr>
      <w:r>
        <w:br w:type="page"/>
      </w:r>
    </w:p>
    <w:p w14:paraId="3B761CFF" w14:textId="77777777" w:rsidR="00043CB4" w:rsidRDefault="00F679E2" w:rsidP="00043CB4">
      <w:pPr>
        <w:pStyle w:val="Heading1"/>
      </w:pPr>
      <w:bookmarkStart w:id="10" w:name="_Toc214354973"/>
      <w:r>
        <w:t>Conclusion</w:t>
      </w:r>
      <w:bookmarkEnd w:id="10"/>
    </w:p>
    <w:p w14:paraId="3D43239A" w14:textId="77777777" w:rsidR="00043CB4" w:rsidRPr="00043CB4" w:rsidRDefault="00043CB4" w:rsidP="00043CB4">
      <w:pPr>
        <w:spacing w:line="360" w:lineRule="auto"/>
        <w:rPr>
          <w:rFonts w:cs="Arial"/>
          <w:sz w:val="22"/>
          <w:szCs w:val="28"/>
        </w:rPr>
      </w:pPr>
      <w:r w:rsidRPr="00043CB4">
        <w:rPr>
          <w:rFonts w:cs="Arial"/>
          <w:sz w:val="22"/>
          <w:szCs w:val="28"/>
        </w:rPr>
        <w:t xml:space="preserve">This report focuses on a critical analysis of the macro marketing environment in connection with both the pioneering and follower organisations in the EV industry in the United Kingdom. The analysis shows that political and environmental forces are the most influential external factors in strategic marketing decision-making of this sector. </w:t>
      </w:r>
      <w:r w:rsidR="000200BE" w:rsidRPr="000200BE">
        <w:rPr>
          <w:rFonts w:cs="Arial"/>
          <w:sz w:val="22"/>
          <w:szCs w:val="28"/>
        </w:rPr>
        <w:t>These macro-factors pose both opportunit</w:t>
      </w:r>
      <w:r w:rsidR="000200BE">
        <w:rPr>
          <w:rFonts w:cs="Arial"/>
          <w:sz w:val="22"/>
          <w:szCs w:val="28"/>
        </w:rPr>
        <w:t>ies</w:t>
      </w:r>
      <w:r w:rsidR="000200BE" w:rsidRPr="000200BE">
        <w:rPr>
          <w:rFonts w:cs="Arial"/>
          <w:sz w:val="22"/>
          <w:szCs w:val="28"/>
        </w:rPr>
        <w:t xml:space="preserve"> (as a result of government inducements, sustainability branding and technological innovation) and threats (as a result of regulatory uncertainty, cost pressure and heightened competition) to businesses. It demonstrates that the first movers in the market</w:t>
      </w:r>
      <w:r w:rsidR="000200BE">
        <w:rPr>
          <w:rFonts w:cs="Arial"/>
          <w:sz w:val="22"/>
          <w:szCs w:val="28"/>
        </w:rPr>
        <w:t>,</w:t>
      </w:r>
      <w:r w:rsidR="000200BE" w:rsidRPr="000200BE">
        <w:rPr>
          <w:rFonts w:cs="Arial"/>
          <w:sz w:val="22"/>
          <w:szCs w:val="28"/>
        </w:rPr>
        <w:t xml:space="preserve"> </w:t>
      </w:r>
      <w:r w:rsidR="000200BE">
        <w:rPr>
          <w:rFonts w:cs="Arial"/>
          <w:sz w:val="22"/>
          <w:szCs w:val="28"/>
        </w:rPr>
        <w:t>such as</w:t>
      </w:r>
      <w:r w:rsidR="000200BE" w:rsidRPr="000200BE">
        <w:rPr>
          <w:rFonts w:cs="Arial"/>
          <w:sz w:val="22"/>
          <w:szCs w:val="28"/>
        </w:rPr>
        <w:t xml:space="preserve"> Tesla, Nissan and Ford</w:t>
      </w:r>
      <w:r w:rsidR="000200BE">
        <w:rPr>
          <w:rFonts w:cs="Arial"/>
          <w:sz w:val="22"/>
          <w:szCs w:val="28"/>
        </w:rPr>
        <w:t>,</w:t>
      </w:r>
      <w:r w:rsidR="000200BE" w:rsidRPr="000200BE">
        <w:rPr>
          <w:rFonts w:cs="Arial"/>
          <w:sz w:val="22"/>
          <w:szCs w:val="28"/>
        </w:rPr>
        <w:t xml:space="preserve"> show active interaction with the market by way of product and market development, differentiation and diversification strategies. Their strategic reactions demonstrate the strength of the power of innovation, brand positioning and regulatory alignment to establish industry standards. Conversely, the follower organisations, including those of Toyota, Volkswagen, Hyundai, BYD and MG, use adaptable and cost-effective, credibility-oriented methods to take advantage of the infrastructure established by the pioneers. They </w:t>
      </w:r>
      <w:r w:rsidR="000200BE">
        <w:rPr>
          <w:rFonts w:cs="Arial"/>
          <w:sz w:val="22"/>
          <w:szCs w:val="28"/>
        </w:rPr>
        <w:t>remain</w:t>
      </w:r>
      <w:r w:rsidR="000200BE" w:rsidRPr="000200BE">
        <w:rPr>
          <w:rFonts w:cs="Arial"/>
          <w:sz w:val="22"/>
          <w:szCs w:val="28"/>
        </w:rPr>
        <w:t xml:space="preserve"> more realistic in their competitiveness by focusing on cost leadership, differentiation, and incremental innovation. Thus, the results demonstrate the strategic role of environmental scanning in marketing management. They reveal that as the market environment </w:t>
      </w:r>
      <w:r w:rsidR="000200BE">
        <w:rPr>
          <w:rFonts w:cs="Arial"/>
          <w:sz w:val="22"/>
          <w:szCs w:val="28"/>
        </w:rPr>
        <w:t>transforms,</w:t>
      </w:r>
      <w:r w:rsidR="000200BE" w:rsidRPr="000200BE">
        <w:rPr>
          <w:rFonts w:cs="Arial"/>
          <w:sz w:val="22"/>
          <w:szCs w:val="28"/>
        </w:rPr>
        <w:t xml:space="preserve"> dynamic conditions, companies need to integrate macro environmental intelligence in decision</w:t>
      </w:r>
      <w:r w:rsidR="000200BE">
        <w:rPr>
          <w:rFonts w:cs="Arial"/>
          <w:sz w:val="22"/>
          <w:szCs w:val="28"/>
        </w:rPr>
        <w:t>-</w:t>
      </w:r>
      <w:r w:rsidR="000200BE" w:rsidRPr="000200BE">
        <w:rPr>
          <w:rFonts w:cs="Arial"/>
          <w:sz w:val="22"/>
          <w:szCs w:val="28"/>
        </w:rPr>
        <w:t>making systems to be able to predict and react to change efficiently.</w:t>
      </w:r>
    </w:p>
    <w:p w14:paraId="53B990ED" w14:textId="77777777" w:rsidR="00043CB4" w:rsidRDefault="00043CB4" w:rsidP="00043CB4">
      <w:pPr>
        <w:pStyle w:val="Heading1"/>
        <w:rPr>
          <w:rFonts w:eastAsiaTheme="minorHAnsi" w:cs="Arial"/>
          <w:color w:val="auto"/>
          <w:sz w:val="22"/>
          <w:szCs w:val="28"/>
        </w:rPr>
      </w:pPr>
    </w:p>
    <w:p w14:paraId="10F9C6F7" w14:textId="77777777" w:rsidR="00043CB4" w:rsidRDefault="00043CB4">
      <w:pPr>
        <w:rPr>
          <w:rFonts w:cs="Arial"/>
          <w:sz w:val="22"/>
          <w:szCs w:val="28"/>
        </w:rPr>
      </w:pPr>
      <w:r>
        <w:rPr>
          <w:rFonts w:cs="Arial"/>
          <w:sz w:val="22"/>
          <w:szCs w:val="28"/>
        </w:rPr>
        <w:br w:type="page"/>
      </w:r>
    </w:p>
    <w:p w14:paraId="5952B6AA" w14:textId="77777777" w:rsidR="00043CB4" w:rsidRPr="00B63C65" w:rsidRDefault="0011636B" w:rsidP="00B63C65">
      <w:pPr>
        <w:pStyle w:val="Heading1"/>
      </w:pPr>
      <w:bookmarkStart w:id="11" w:name="_Toc214354974"/>
      <w:r>
        <w:rPr>
          <w:shd w:val="clear" w:color="auto" w:fill="FFFFFF"/>
        </w:rPr>
        <w:t>References</w:t>
      </w:r>
      <w:bookmarkEnd w:id="11"/>
    </w:p>
    <w:p w14:paraId="553675CB" w14:textId="77777777" w:rsidR="0011636B" w:rsidRPr="00DC049E" w:rsidRDefault="0011636B" w:rsidP="00EB60C7">
      <w:pPr>
        <w:spacing w:line="360" w:lineRule="auto"/>
        <w:rPr>
          <w:rFonts w:cs="Arial"/>
          <w:sz w:val="22"/>
          <w:szCs w:val="22"/>
          <w:shd w:val="clear" w:color="auto" w:fill="FFFFFF"/>
        </w:rPr>
      </w:pPr>
      <w:proofErr w:type="spellStart"/>
      <w:r w:rsidRPr="00DC049E">
        <w:rPr>
          <w:rFonts w:cs="Arial"/>
          <w:sz w:val="22"/>
          <w:szCs w:val="22"/>
          <w:shd w:val="clear" w:color="auto" w:fill="FFFFFF"/>
        </w:rPr>
        <w:t>Abratt</w:t>
      </w:r>
      <w:proofErr w:type="spellEnd"/>
      <w:r w:rsidRPr="00DC049E">
        <w:rPr>
          <w:rFonts w:cs="Arial"/>
          <w:sz w:val="22"/>
          <w:szCs w:val="22"/>
          <w:shd w:val="clear" w:color="auto" w:fill="FFFFFF"/>
        </w:rPr>
        <w:t xml:space="preserve">, R. and </w:t>
      </w:r>
      <w:proofErr w:type="spellStart"/>
      <w:r w:rsidRPr="00DC049E">
        <w:rPr>
          <w:rFonts w:cs="Arial"/>
          <w:sz w:val="22"/>
          <w:szCs w:val="22"/>
          <w:shd w:val="clear" w:color="auto" w:fill="FFFFFF"/>
        </w:rPr>
        <w:t>Bendixen</w:t>
      </w:r>
      <w:proofErr w:type="spellEnd"/>
      <w:r w:rsidRPr="00DC049E">
        <w:rPr>
          <w:rFonts w:cs="Arial"/>
          <w:sz w:val="22"/>
          <w:szCs w:val="22"/>
          <w:shd w:val="clear" w:color="auto" w:fill="FFFFFF"/>
        </w:rPr>
        <w:t>, M.</w:t>
      </w:r>
      <w:r w:rsidR="00B63C65" w:rsidRPr="00DC049E">
        <w:rPr>
          <w:rFonts w:cs="Arial"/>
          <w:sz w:val="22"/>
          <w:szCs w:val="22"/>
          <w:shd w:val="clear" w:color="auto" w:fill="FFFFFF"/>
        </w:rPr>
        <w:t xml:space="preserve"> (</w:t>
      </w:r>
      <w:r w:rsidRPr="00DC049E">
        <w:rPr>
          <w:rFonts w:cs="Arial"/>
          <w:sz w:val="22"/>
          <w:szCs w:val="22"/>
          <w:shd w:val="clear" w:color="auto" w:fill="FFFFFF"/>
        </w:rPr>
        <w:t>2018</w:t>
      </w:r>
      <w:r w:rsidR="00B63C65" w:rsidRPr="00DC049E">
        <w:rPr>
          <w:rFonts w:cs="Arial"/>
          <w:sz w:val="22"/>
          <w:szCs w:val="22"/>
          <w:shd w:val="clear" w:color="auto" w:fill="FFFFFF"/>
        </w:rPr>
        <w:t xml:space="preserve">) </w:t>
      </w:r>
      <w:r w:rsidRPr="00DC049E">
        <w:rPr>
          <w:rFonts w:cs="Arial"/>
          <w:i/>
          <w:iCs/>
          <w:sz w:val="22"/>
          <w:szCs w:val="22"/>
          <w:shd w:val="clear" w:color="auto" w:fill="FFFFFF"/>
        </w:rPr>
        <w:t>Strategic marketing: Concepts and cases</w:t>
      </w:r>
      <w:r w:rsidRPr="00DC049E">
        <w:rPr>
          <w:rFonts w:cs="Arial"/>
          <w:sz w:val="22"/>
          <w:szCs w:val="22"/>
          <w:shd w:val="clear" w:color="auto" w:fill="FFFFFF"/>
        </w:rPr>
        <w:t>. Routledge.</w:t>
      </w:r>
    </w:p>
    <w:p w14:paraId="2551C503" w14:textId="2C880235" w:rsidR="0011636B" w:rsidRPr="00DC049E" w:rsidRDefault="0011636B" w:rsidP="00EB60C7">
      <w:pPr>
        <w:spacing w:line="360" w:lineRule="auto"/>
        <w:rPr>
          <w:rFonts w:cs="Arial"/>
          <w:sz w:val="22"/>
          <w:szCs w:val="22"/>
        </w:rPr>
      </w:pPr>
      <w:proofErr w:type="spellStart"/>
      <w:r w:rsidRPr="00DC049E">
        <w:rPr>
          <w:rFonts w:cs="Arial"/>
          <w:sz w:val="22"/>
          <w:szCs w:val="22"/>
          <w:shd w:val="clear" w:color="auto" w:fill="FFFFFF"/>
        </w:rPr>
        <w:t>Bagozzi</w:t>
      </w:r>
      <w:proofErr w:type="spellEnd"/>
      <w:r w:rsidRPr="00DC049E">
        <w:rPr>
          <w:rFonts w:cs="Arial"/>
          <w:sz w:val="22"/>
          <w:szCs w:val="22"/>
          <w:shd w:val="clear" w:color="auto" w:fill="FFFFFF"/>
        </w:rPr>
        <w:t xml:space="preserve">, R.P., Rosa, J.A., </w:t>
      </w:r>
      <w:proofErr w:type="spellStart"/>
      <w:r w:rsidRPr="00DC049E">
        <w:rPr>
          <w:rFonts w:cs="Arial"/>
          <w:sz w:val="22"/>
          <w:szCs w:val="22"/>
          <w:shd w:val="clear" w:color="auto" w:fill="FFFFFF"/>
        </w:rPr>
        <w:t>Celly</w:t>
      </w:r>
      <w:proofErr w:type="spellEnd"/>
      <w:r w:rsidRPr="00DC049E">
        <w:rPr>
          <w:rFonts w:cs="Arial"/>
          <w:sz w:val="22"/>
          <w:szCs w:val="22"/>
          <w:shd w:val="clear" w:color="auto" w:fill="FFFFFF"/>
        </w:rPr>
        <w:t>, K.S. and Coronel, F.</w:t>
      </w:r>
      <w:r w:rsidR="00FC3EAC">
        <w:rPr>
          <w:rFonts w:cs="Arial"/>
          <w:sz w:val="22"/>
          <w:szCs w:val="22"/>
          <w:shd w:val="clear" w:color="auto" w:fill="FFFFFF"/>
          <w:lang w:val="en-US"/>
        </w:rPr>
        <w:t xml:space="preserve"> (</w:t>
      </w:r>
      <w:r w:rsidRPr="00DC049E">
        <w:rPr>
          <w:rFonts w:cs="Arial"/>
          <w:sz w:val="22"/>
          <w:szCs w:val="22"/>
          <w:shd w:val="clear" w:color="auto" w:fill="FFFFFF"/>
        </w:rPr>
        <w:t>2018</w:t>
      </w:r>
      <w:r w:rsidR="00FC3EAC">
        <w:rPr>
          <w:rFonts w:cs="Arial"/>
          <w:sz w:val="22"/>
          <w:szCs w:val="22"/>
          <w:shd w:val="clear" w:color="auto" w:fill="FFFFFF"/>
          <w:lang w:val="en-US"/>
        </w:rPr>
        <w:t>)</w:t>
      </w:r>
      <w:r w:rsidRPr="00DC049E">
        <w:rPr>
          <w:rFonts w:cs="Arial"/>
          <w:sz w:val="22"/>
          <w:szCs w:val="22"/>
          <w:shd w:val="clear" w:color="auto" w:fill="FFFFFF"/>
        </w:rPr>
        <w:t>. </w:t>
      </w:r>
      <w:r w:rsidRPr="00DC049E">
        <w:rPr>
          <w:rFonts w:cs="Arial"/>
          <w:i/>
          <w:iCs/>
          <w:sz w:val="22"/>
          <w:szCs w:val="22"/>
          <w:shd w:val="clear" w:color="auto" w:fill="FFFFFF"/>
        </w:rPr>
        <w:t>Marketing-Management</w:t>
      </w:r>
      <w:r w:rsidRPr="00DC049E">
        <w:rPr>
          <w:rFonts w:cs="Arial"/>
          <w:sz w:val="22"/>
          <w:szCs w:val="22"/>
          <w:shd w:val="clear" w:color="auto" w:fill="FFFFFF"/>
        </w:rPr>
        <w:t xml:space="preserve">. Walter de </w:t>
      </w:r>
      <w:proofErr w:type="spellStart"/>
      <w:r w:rsidRPr="00DC049E">
        <w:rPr>
          <w:rFonts w:cs="Arial"/>
          <w:sz w:val="22"/>
          <w:szCs w:val="22"/>
          <w:shd w:val="clear" w:color="auto" w:fill="FFFFFF"/>
        </w:rPr>
        <w:t>Gruyter</w:t>
      </w:r>
      <w:proofErr w:type="spellEnd"/>
      <w:r w:rsidRPr="00DC049E">
        <w:rPr>
          <w:rFonts w:cs="Arial"/>
          <w:sz w:val="22"/>
          <w:szCs w:val="22"/>
          <w:shd w:val="clear" w:color="auto" w:fill="FFFFFF"/>
        </w:rPr>
        <w:t xml:space="preserve"> GmbH &amp; Co KG.</w:t>
      </w:r>
      <w:r w:rsidRPr="00DC049E">
        <w:rPr>
          <w:rFonts w:cs="Arial"/>
          <w:sz w:val="22"/>
          <w:szCs w:val="22"/>
        </w:rPr>
        <w:t xml:space="preserve"> </w:t>
      </w:r>
    </w:p>
    <w:p w14:paraId="4CFFDCE1" w14:textId="77777777" w:rsidR="0011636B" w:rsidRPr="00DC049E" w:rsidRDefault="0011636B" w:rsidP="00EB60C7">
      <w:pPr>
        <w:spacing w:line="360" w:lineRule="auto"/>
        <w:rPr>
          <w:rFonts w:cs="Arial"/>
          <w:sz w:val="22"/>
          <w:szCs w:val="22"/>
        </w:rPr>
      </w:pPr>
      <w:r w:rsidRPr="00DC049E">
        <w:rPr>
          <w:rFonts w:cs="Arial"/>
          <w:sz w:val="22"/>
          <w:szCs w:val="22"/>
        </w:rPr>
        <w:t xml:space="preserve">Baker, M. (2004) </w:t>
      </w:r>
      <w:r w:rsidRPr="00DC049E">
        <w:rPr>
          <w:rStyle w:val="Emphasis"/>
          <w:rFonts w:cs="Arial"/>
          <w:sz w:val="22"/>
          <w:szCs w:val="22"/>
        </w:rPr>
        <w:t>Marketing Theory</w:t>
      </w:r>
      <w:r w:rsidRPr="00DC049E">
        <w:rPr>
          <w:rFonts w:cs="Arial"/>
          <w:sz w:val="22"/>
          <w:szCs w:val="22"/>
        </w:rPr>
        <w:t>. London: Thomson Learning.</w:t>
      </w:r>
    </w:p>
    <w:p w14:paraId="0EC986F2" w14:textId="77777777" w:rsidR="0011636B" w:rsidRPr="00DC049E" w:rsidRDefault="0011636B" w:rsidP="00EB60C7">
      <w:pPr>
        <w:spacing w:line="360" w:lineRule="auto"/>
        <w:rPr>
          <w:rFonts w:cs="Arial"/>
          <w:sz w:val="22"/>
          <w:szCs w:val="22"/>
          <w:shd w:val="clear" w:color="auto" w:fill="FFFFFF"/>
        </w:rPr>
      </w:pPr>
      <w:proofErr w:type="spellStart"/>
      <w:r w:rsidRPr="00DC049E">
        <w:rPr>
          <w:rFonts w:cs="Arial"/>
          <w:sz w:val="22"/>
          <w:szCs w:val="22"/>
        </w:rPr>
        <w:t>Brassington</w:t>
      </w:r>
      <w:proofErr w:type="spellEnd"/>
      <w:r w:rsidRPr="00DC049E">
        <w:rPr>
          <w:rFonts w:cs="Arial"/>
          <w:sz w:val="22"/>
          <w:szCs w:val="22"/>
        </w:rPr>
        <w:t xml:space="preserve">, F. and Pettit, S. (2010) </w:t>
      </w:r>
      <w:r w:rsidRPr="00DC049E">
        <w:rPr>
          <w:rStyle w:val="Emphasis"/>
          <w:rFonts w:cs="Arial"/>
          <w:sz w:val="22"/>
          <w:szCs w:val="22"/>
        </w:rPr>
        <w:t>Principles of Marketing.</w:t>
      </w:r>
      <w:r w:rsidRPr="00DC049E">
        <w:rPr>
          <w:rFonts w:cs="Arial"/>
          <w:sz w:val="22"/>
          <w:szCs w:val="22"/>
        </w:rPr>
        <w:t xml:space="preserve"> Harlow: FT Prentice Hall.</w:t>
      </w:r>
      <w:r w:rsidRPr="00DC049E">
        <w:rPr>
          <w:rFonts w:cs="Arial"/>
          <w:sz w:val="22"/>
          <w:szCs w:val="22"/>
          <w:shd w:val="clear" w:color="auto" w:fill="FFFFFF"/>
        </w:rPr>
        <w:t xml:space="preserve"> </w:t>
      </w:r>
    </w:p>
    <w:p w14:paraId="644AB845" w14:textId="77777777" w:rsidR="0011636B" w:rsidRPr="00DC049E" w:rsidRDefault="0011636B" w:rsidP="00EB60C7">
      <w:pPr>
        <w:spacing w:line="360" w:lineRule="auto"/>
        <w:rPr>
          <w:rFonts w:cs="Arial"/>
          <w:sz w:val="22"/>
          <w:szCs w:val="22"/>
        </w:rPr>
      </w:pPr>
      <w:r w:rsidRPr="00DC049E">
        <w:rPr>
          <w:rFonts w:cs="Arial"/>
          <w:sz w:val="22"/>
          <w:szCs w:val="22"/>
        </w:rPr>
        <w:t xml:space="preserve">BYD (2024) </w:t>
      </w:r>
      <w:r w:rsidRPr="00DC049E">
        <w:rPr>
          <w:rStyle w:val="Emphasis"/>
          <w:rFonts w:cs="Arial"/>
          <w:sz w:val="22"/>
          <w:szCs w:val="22"/>
        </w:rPr>
        <w:t>BYD UK sells more cars in Q1 2025 than whole of 2024</w:t>
      </w:r>
      <w:r w:rsidRPr="00DC049E">
        <w:rPr>
          <w:rFonts w:cs="Arial"/>
          <w:sz w:val="22"/>
          <w:szCs w:val="22"/>
        </w:rPr>
        <w:t xml:space="preserve"> [Online] Available at: </w:t>
      </w:r>
      <w:hyperlink r:id="rId9" w:history="1">
        <w:r w:rsidRPr="00DC049E">
          <w:rPr>
            <w:rStyle w:val="Hyperlink"/>
            <w:rFonts w:cs="Arial"/>
            <w:sz w:val="22"/>
            <w:szCs w:val="22"/>
          </w:rPr>
          <w:t>https://bydukmedia.com/en/news-articles/byd-uk-sells-more-cars-in-q1-2025-than-whole-of-2024.html</w:t>
        </w:r>
      </w:hyperlink>
      <w:r w:rsidRPr="00DC049E">
        <w:rPr>
          <w:rFonts w:cs="Arial"/>
          <w:sz w:val="22"/>
          <w:szCs w:val="22"/>
        </w:rPr>
        <w:t xml:space="preserve"> Accessed: 11 November, 2025 </w:t>
      </w:r>
    </w:p>
    <w:p w14:paraId="218C1E69" w14:textId="77777777" w:rsidR="0011636B" w:rsidRPr="00DC049E" w:rsidRDefault="0011636B" w:rsidP="00EB60C7">
      <w:pPr>
        <w:spacing w:line="360" w:lineRule="auto"/>
        <w:rPr>
          <w:rFonts w:cs="Arial"/>
          <w:sz w:val="22"/>
          <w:szCs w:val="22"/>
        </w:rPr>
      </w:pPr>
      <w:r w:rsidRPr="00DC049E">
        <w:rPr>
          <w:rFonts w:cs="Arial"/>
          <w:sz w:val="22"/>
          <w:szCs w:val="22"/>
        </w:rPr>
        <w:t xml:space="preserve">BYD (2025) </w:t>
      </w:r>
      <w:r w:rsidRPr="00DC049E">
        <w:rPr>
          <w:rStyle w:val="Emphasis"/>
          <w:rFonts w:cs="Arial"/>
          <w:sz w:val="22"/>
          <w:szCs w:val="22"/>
        </w:rPr>
        <w:t xml:space="preserve">BYD Blade Battery — Innovation Driving the Future of Electric Mobility </w:t>
      </w:r>
      <w:r w:rsidRPr="00DC049E">
        <w:rPr>
          <w:rFonts w:cs="Arial"/>
          <w:sz w:val="22"/>
          <w:szCs w:val="22"/>
        </w:rPr>
        <w:t xml:space="preserve">[Online] Available at: </w:t>
      </w:r>
      <w:hyperlink r:id="rId10" w:history="1">
        <w:r w:rsidRPr="00DC049E">
          <w:rPr>
            <w:rStyle w:val="Hyperlink"/>
            <w:rFonts w:cs="Arial"/>
            <w:sz w:val="22"/>
            <w:szCs w:val="22"/>
          </w:rPr>
          <w:t>https://bydauto.com.bd/byd-BladeBattery</w:t>
        </w:r>
      </w:hyperlink>
      <w:r w:rsidRPr="00DC049E">
        <w:rPr>
          <w:rFonts w:cs="Arial"/>
          <w:sz w:val="22"/>
          <w:szCs w:val="22"/>
        </w:rPr>
        <w:t xml:space="preserve">  Accessed: 11 November, 2025 </w:t>
      </w:r>
    </w:p>
    <w:p w14:paraId="177778D7" w14:textId="77777777" w:rsidR="00B63C65" w:rsidRPr="00DC049E" w:rsidRDefault="00B63C65" w:rsidP="00EB60C7">
      <w:pPr>
        <w:spacing w:line="360" w:lineRule="auto"/>
        <w:rPr>
          <w:rFonts w:cs="Arial"/>
          <w:sz w:val="22"/>
          <w:szCs w:val="22"/>
        </w:rPr>
      </w:pPr>
      <w:proofErr w:type="spellStart"/>
      <w:r w:rsidRPr="00DC049E">
        <w:rPr>
          <w:rFonts w:cs="Arial"/>
          <w:sz w:val="22"/>
          <w:szCs w:val="22"/>
        </w:rPr>
        <w:t>Çitilci</w:t>
      </w:r>
      <w:proofErr w:type="spellEnd"/>
      <w:r w:rsidRPr="00DC049E">
        <w:rPr>
          <w:rFonts w:cs="Arial"/>
          <w:sz w:val="22"/>
          <w:szCs w:val="22"/>
        </w:rPr>
        <w:t xml:space="preserve">, T. and </w:t>
      </w:r>
      <w:proofErr w:type="spellStart"/>
      <w:r w:rsidRPr="00DC049E">
        <w:rPr>
          <w:rFonts w:cs="Arial"/>
          <w:sz w:val="22"/>
          <w:szCs w:val="22"/>
        </w:rPr>
        <w:t>Akbalık</w:t>
      </w:r>
      <w:proofErr w:type="spellEnd"/>
      <w:r w:rsidRPr="00DC049E">
        <w:rPr>
          <w:rFonts w:cs="Arial"/>
          <w:sz w:val="22"/>
          <w:szCs w:val="22"/>
        </w:rPr>
        <w:t xml:space="preserve">, M. (2020) The importance of PESTEL analysis for environmental scanning process. In </w:t>
      </w:r>
      <w:r w:rsidRPr="00DC049E">
        <w:rPr>
          <w:rStyle w:val="Emphasis"/>
          <w:rFonts w:cs="Arial"/>
          <w:sz w:val="22"/>
          <w:szCs w:val="22"/>
        </w:rPr>
        <w:t>Handbook of Research on Decision-Making Techniques in Financial Marketing</w:t>
      </w:r>
      <w:r w:rsidRPr="00DC049E">
        <w:rPr>
          <w:rFonts w:cs="Arial"/>
          <w:sz w:val="22"/>
          <w:szCs w:val="22"/>
        </w:rPr>
        <w:t xml:space="preserve"> (pp. 336–357). IGI Global Scientific Publishing. </w:t>
      </w:r>
      <w:hyperlink r:id="rId11" w:history="1">
        <w:r w:rsidRPr="00DC049E">
          <w:rPr>
            <w:rStyle w:val="Hyperlink"/>
            <w:rFonts w:cs="Arial"/>
            <w:sz w:val="22"/>
            <w:szCs w:val="22"/>
          </w:rPr>
          <w:t>https://doi.org/10.4018/978-1-7998-2559-3.ch016</w:t>
        </w:r>
      </w:hyperlink>
      <w:r w:rsidRPr="00DC049E">
        <w:rPr>
          <w:rFonts w:cs="Arial"/>
          <w:sz w:val="22"/>
          <w:szCs w:val="22"/>
        </w:rPr>
        <w:t xml:space="preserve"> </w:t>
      </w:r>
    </w:p>
    <w:p w14:paraId="5D6389A6" w14:textId="77777777" w:rsidR="0011636B" w:rsidRPr="00DC049E" w:rsidRDefault="0011636B" w:rsidP="00EB60C7">
      <w:pPr>
        <w:spacing w:line="360" w:lineRule="auto"/>
        <w:rPr>
          <w:rFonts w:cs="Arial"/>
          <w:sz w:val="22"/>
          <w:szCs w:val="22"/>
        </w:rPr>
      </w:pPr>
      <w:r w:rsidRPr="00DC049E">
        <w:rPr>
          <w:rFonts w:cs="Arial"/>
          <w:sz w:val="22"/>
          <w:szCs w:val="22"/>
        </w:rPr>
        <w:t xml:space="preserve">Corporate Finance Institute (2025) </w:t>
      </w:r>
      <w:proofErr w:type="spellStart"/>
      <w:r w:rsidRPr="00DC049E">
        <w:rPr>
          <w:rFonts w:cs="Arial"/>
          <w:i/>
          <w:iCs/>
          <w:sz w:val="22"/>
          <w:szCs w:val="22"/>
        </w:rPr>
        <w:t>Ansoff</w:t>
      </w:r>
      <w:proofErr w:type="spellEnd"/>
      <w:r w:rsidRPr="00DC049E">
        <w:rPr>
          <w:rFonts w:cs="Arial"/>
          <w:i/>
          <w:iCs/>
          <w:sz w:val="22"/>
          <w:szCs w:val="22"/>
        </w:rPr>
        <w:t xml:space="preserve"> Matrix</w:t>
      </w:r>
      <w:r w:rsidRPr="00DC049E">
        <w:rPr>
          <w:rFonts w:cs="Arial"/>
          <w:sz w:val="22"/>
          <w:szCs w:val="22"/>
        </w:rPr>
        <w:t xml:space="preserve"> [Online] Available at: </w:t>
      </w:r>
      <w:hyperlink r:id="rId12" w:history="1">
        <w:r w:rsidRPr="00DC049E">
          <w:rPr>
            <w:rStyle w:val="Hyperlink"/>
            <w:rFonts w:cs="Arial"/>
            <w:sz w:val="22"/>
            <w:szCs w:val="22"/>
          </w:rPr>
          <w:t>https://corporatefinanceinstitute.com/resources/management/ansoff-matrix/</w:t>
        </w:r>
      </w:hyperlink>
      <w:r w:rsidRPr="00DC049E">
        <w:rPr>
          <w:rFonts w:cs="Arial"/>
          <w:sz w:val="22"/>
          <w:szCs w:val="22"/>
        </w:rPr>
        <w:t xml:space="preserve"> Accessed: 11 November, 2025</w:t>
      </w:r>
    </w:p>
    <w:p w14:paraId="4EA49253" w14:textId="77777777" w:rsidR="0011636B" w:rsidRPr="00DC049E" w:rsidRDefault="0011636B" w:rsidP="00EB60C7">
      <w:pPr>
        <w:spacing w:line="360" w:lineRule="auto"/>
        <w:rPr>
          <w:rFonts w:cs="Arial"/>
          <w:sz w:val="22"/>
          <w:szCs w:val="22"/>
        </w:rPr>
      </w:pPr>
      <w:proofErr w:type="spellStart"/>
      <w:r w:rsidRPr="00DC049E">
        <w:rPr>
          <w:rFonts w:cs="Arial"/>
          <w:sz w:val="22"/>
          <w:szCs w:val="22"/>
        </w:rPr>
        <w:t>Dibb</w:t>
      </w:r>
      <w:proofErr w:type="spellEnd"/>
      <w:r w:rsidRPr="00DC049E">
        <w:rPr>
          <w:rFonts w:cs="Arial"/>
          <w:sz w:val="22"/>
          <w:szCs w:val="22"/>
        </w:rPr>
        <w:t xml:space="preserve">, S., </w:t>
      </w:r>
      <w:proofErr w:type="spellStart"/>
      <w:r w:rsidRPr="00DC049E">
        <w:rPr>
          <w:rFonts w:cs="Arial"/>
          <w:sz w:val="22"/>
          <w:szCs w:val="22"/>
        </w:rPr>
        <w:t>Simkin</w:t>
      </w:r>
      <w:proofErr w:type="spellEnd"/>
      <w:r w:rsidRPr="00DC049E">
        <w:rPr>
          <w:rFonts w:cs="Arial"/>
          <w:sz w:val="22"/>
          <w:szCs w:val="22"/>
        </w:rPr>
        <w:t xml:space="preserve">, L. M. and Ferrell, O. C. (2012) </w:t>
      </w:r>
      <w:r w:rsidRPr="00DC049E">
        <w:rPr>
          <w:rStyle w:val="Emphasis"/>
          <w:rFonts w:eastAsiaTheme="majorEastAsia" w:cs="Arial"/>
          <w:sz w:val="22"/>
          <w:szCs w:val="22"/>
        </w:rPr>
        <w:t>Marketing: Concepts and Strategies.</w:t>
      </w:r>
      <w:r w:rsidRPr="00DC049E">
        <w:rPr>
          <w:rFonts w:cs="Arial"/>
          <w:sz w:val="22"/>
          <w:szCs w:val="22"/>
        </w:rPr>
        <w:t xml:space="preserve"> 6th </w:t>
      </w:r>
      <w:proofErr w:type="spellStart"/>
      <w:r w:rsidRPr="00DC049E">
        <w:rPr>
          <w:rFonts w:cs="Arial"/>
          <w:sz w:val="22"/>
          <w:szCs w:val="22"/>
        </w:rPr>
        <w:t>edn</w:t>
      </w:r>
      <w:proofErr w:type="spellEnd"/>
      <w:r w:rsidRPr="00DC049E">
        <w:rPr>
          <w:rFonts w:cs="Arial"/>
          <w:sz w:val="22"/>
          <w:szCs w:val="22"/>
        </w:rPr>
        <w:t xml:space="preserve">. Andover: Cengage Learning EMEA. </w:t>
      </w:r>
    </w:p>
    <w:p w14:paraId="1A8E5F02" w14:textId="77777777" w:rsidR="0011636B" w:rsidRPr="00DC049E" w:rsidRDefault="0011636B" w:rsidP="00EB60C7">
      <w:pPr>
        <w:spacing w:line="360" w:lineRule="auto"/>
        <w:rPr>
          <w:rFonts w:cs="Arial"/>
          <w:sz w:val="22"/>
          <w:szCs w:val="22"/>
        </w:rPr>
      </w:pPr>
      <w:r w:rsidRPr="00DC049E">
        <w:rPr>
          <w:rFonts w:cs="Arial"/>
          <w:sz w:val="22"/>
          <w:szCs w:val="22"/>
        </w:rPr>
        <w:t xml:space="preserve">Financial Times (2023) Toyota explores UK investments after hybrid ban postponed [Online] Available at: </w:t>
      </w:r>
      <w:hyperlink r:id="rId13" w:history="1">
        <w:r w:rsidRPr="00DC049E">
          <w:rPr>
            <w:rStyle w:val="Hyperlink"/>
            <w:rFonts w:cs="Arial"/>
            <w:sz w:val="22"/>
            <w:szCs w:val="22"/>
          </w:rPr>
          <w:t>https://www.ft.com/content/a6c12222-559e-4152-b404-a663c5392471</w:t>
        </w:r>
      </w:hyperlink>
      <w:r w:rsidRPr="00DC049E">
        <w:rPr>
          <w:rFonts w:cs="Arial"/>
          <w:sz w:val="22"/>
          <w:szCs w:val="22"/>
        </w:rPr>
        <w:t xml:space="preserve">   Accessed: 11 November 2025</w:t>
      </w:r>
    </w:p>
    <w:p w14:paraId="62DF95EF" w14:textId="77777777" w:rsidR="0011636B" w:rsidRPr="00DC049E" w:rsidRDefault="0011636B" w:rsidP="00EB60C7">
      <w:pPr>
        <w:spacing w:line="360" w:lineRule="auto"/>
        <w:rPr>
          <w:rFonts w:cs="Arial"/>
          <w:sz w:val="22"/>
          <w:szCs w:val="22"/>
        </w:rPr>
      </w:pPr>
      <w:r w:rsidRPr="00DC049E">
        <w:rPr>
          <w:rFonts w:cs="Arial"/>
          <w:sz w:val="22"/>
          <w:szCs w:val="22"/>
        </w:rPr>
        <w:t xml:space="preserve">Ford (2024) </w:t>
      </w:r>
      <w:r w:rsidRPr="00DC049E">
        <w:rPr>
          <w:rFonts w:cs="Arial"/>
          <w:i/>
          <w:iCs/>
          <w:sz w:val="22"/>
          <w:szCs w:val="22"/>
        </w:rPr>
        <w:t>All-New, All-Electric E-Transit Custom Van Ready to Electrify Small Business Productivity</w:t>
      </w:r>
      <w:r w:rsidRPr="00DC049E">
        <w:rPr>
          <w:rFonts w:cs="Arial"/>
          <w:sz w:val="22"/>
          <w:szCs w:val="22"/>
        </w:rPr>
        <w:t xml:space="preserve"> [Online] Available at </w:t>
      </w:r>
      <w:hyperlink r:id="rId14" w:history="1">
        <w:r w:rsidRPr="00DC049E">
          <w:rPr>
            <w:rStyle w:val="Hyperlink"/>
            <w:rFonts w:cs="Arial"/>
            <w:sz w:val="22"/>
            <w:szCs w:val="22"/>
          </w:rPr>
          <w:t>https://media.ford.com/content/fordmedia/feu/en/news/2024/05/21/all-new--all-electric-e-transit-custom-van-ready-to-electrify-sm.html</w:t>
        </w:r>
      </w:hyperlink>
      <w:r w:rsidRPr="00DC049E">
        <w:rPr>
          <w:rFonts w:cs="Arial"/>
          <w:sz w:val="22"/>
          <w:szCs w:val="22"/>
        </w:rPr>
        <w:t xml:space="preserve">  Accessed: 11 November 2025</w:t>
      </w:r>
    </w:p>
    <w:p w14:paraId="3687D33B" w14:textId="77777777" w:rsidR="0011636B" w:rsidRPr="00DC049E" w:rsidRDefault="0011636B" w:rsidP="00EB60C7">
      <w:pPr>
        <w:spacing w:line="360" w:lineRule="auto"/>
        <w:rPr>
          <w:rFonts w:cs="Arial"/>
          <w:sz w:val="22"/>
          <w:szCs w:val="22"/>
        </w:rPr>
      </w:pPr>
      <w:r w:rsidRPr="00DC049E">
        <w:rPr>
          <w:rFonts w:cs="Arial"/>
          <w:sz w:val="22"/>
          <w:szCs w:val="22"/>
        </w:rPr>
        <w:t xml:space="preserve">GOV.UK (2023) </w:t>
      </w:r>
      <w:r w:rsidRPr="00DC049E">
        <w:rPr>
          <w:rFonts w:cs="Arial"/>
          <w:i/>
          <w:iCs/>
          <w:sz w:val="22"/>
          <w:szCs w:val="22"/>
        </w:rPr>
        <w:t>Government sets out path to zero emission vehicles by 2035</w:t>
      </w:r>
      <w:r w:rsidRPr="00DC049E">
        <w:rPr>
          <w:rFonts w:cs="Arial"/>
          <w:sz w:val="22"/>
          <w:szCs w:val="22"/>
        </w:rPr>
        <w:t xml:space="preserve"> [Online] Available at: </w:t>
      </w:r>
      <w:hyperlink r:id="rId15" w:history="1">
        <w:r w:rsidRPr="00DC049E">
          <w:rPr>
            <w:rStyle w:val="Hyperlink"/>
            <w:rFonts w:cs="Arial"/>
            <w:sz w:val="22"/>
            <w:szCs w:val="22"/>
          </w:rPr>
          <w:t>https://www.gov.uk/government/news/government-sets-out-path-to-zero-emission-vehicles-by-2035</w:t>
        </w:r>
      </w:hyperlink>
      <w:r w:rsidRPr="00DC049E">
        <w:rPr>
          <w:rFonts w:cs="Arial"/>
          <w:sz w:val="22"/>
          <w:szCs w:val="22"/>
        </w:rPr>
        <w:t xml:space="preserve"> Accessed: 11 November 2025 </w:t>
      </w:r>
    </w:p>
    <w:p w14:paraId="13BF5D5F" w14:textId="77777777" w:rsidR="0011636B" w:rsidRPr="00DC049E" w:rsidRDefault="0011636B" w:rsidP="00EB60C7">
      <w:pPr>
        <w:spacing w:line="360" w:lineRule="auto"/>
        <w:rPr>
          <w:rFonts w:cs="Arial"/>
          <w:sz w:val="22"/>
          <w:szCs w:val="22"/>
        </w:rPr>
      </w:pPr>
      <w:r w:rsidRPr="00DC049E">
        <w:rPr>
          <w:rFonts w:cs="Arial"/>
          <w:sz w:val="22"/>
          <w:szCs w:val="22"/>
        </w:rPr>
        <w:t xml:space="preserve">GOV.UK (2025a) </w:t>
      </w:r>
      <w:r w:rsidRPr="00DC049E">
        <w:rPr>
          <w:rFonts w:cs="Arial"/>
          <w:i/>
          <w:iCs/>
          <w:sz w:val="22"/>
          <w:szCs w:val="22"/>
        </w:rPr>
        <w:t xml:space="preserve">Electric vehicle </w:t>
      </w:r>
      <w:proofErr w:type="spellStart"/>
      <w:r w:rsidRPr="00DC049E">
        <w:rPr>
          <w:rFonts w:cs="Arial"/>
          <w:i/>
          <w:iCs/>
          <w:sz w:val="22"/>
          <w:szCs w:val="22"/>
        </w:rPr>
        <w:t>chargepoint</w:t>
      </w:r>
      <w:proofErr w:type="spellEnd"/>
      <w:r w:rsidRPr="00DC049E">
        <w:rPr>
          <w:rFonts w:cs="Arial"/>
          <w:i/>
          <w:iCs/>
          <w:sz w:val="22"/>
          <w:szCs w:val="22"/>
        </w:rPr>
        <w:t xml:space="preserve"> grants</w:t>
      </w:r>
      <w:r w:rsidRPr="00DC049E">
        <w:rPr>
          <w:rFonts w:cs="Arial"/>
          <w:sz w:val="22"/>
          <w:szCs w:val="22"/>
        </w:rPr>
        <w:t xml:space="preserve"> [Online] Available at: </w:t>
      </w:r>
      <w:hyperlink r:id="rId16" w:history="1">
        <w:r w:rsidRPr="00DC049E">
          <w:rPr>
            <w:rStyle w:val="Hyperlink"/>
            <w:rFonts w:cs="Arial"/>
            <w:sz w:val="22"/>
            <w:szCs w:val="22"/>
          </w:rPr>
          <w:t>https://www.gov.uk/guidance/electric-vehicle-chargepoint-grants</w:t>
        </w:r>
      </w:hyperlink>
      <w:r w:rsidRPr="00DC049E">
        <w:rPr>
          <w:rFonts w:cs="Arial"/>
          <w:sz w:val="22"/>
          <w:szCs w:val="22"/>
        </w:rPr>
        <w:t xml:space="preserve"> Accessed: 11 November 2025</w:t>
      </w:r>
    </w:p>
    <w:p w14:paraId="2F6DBE4F" w14:textId="77777777" w:rsidR="0011636B" w:rsidRPr="00DC049E" w:rsidRDefault="0011636B" w:rsidP="00EB60C7">
      <w:pPr>
        <w:spacing w:line="360" w:lineRule="auto"/>
        <w:rPr>
          <w:rFonts w:cs="Arial"/>
          <w:sz w:val="22"/>
          <w:szCs w:val="22"/>
        </w:rPr>
      </w:pPr>
      <w:r w:rsidRPr="00DC049E">
        <w:rPr>
          <w:rFonts w:cs="Arial"/>
          <w:sz w:val="22"/>
          <w:szCs w:val="22"/>
        </w:rPr>
        <w:t xml:space="preserve">GOV.UK (2025b) </w:t>
      </w:r>
      <w:r w:rsidRPr="00DC049E">
        <w:rPr>
          <w:rFonts w:cs="Arial"/>
          <w:i/>
          <w:iCs/>
          <w:sz w:val="22"/>
          <w:szCs w:val="22"/>
        </w:rPr>
        <w:t>Electric vehicle public charging infrastructure statistics: January 2025</w:t>
      </w:r>
      <w:r w:rsidRPr="00DC049E">
        <w:rPr>
          <w:rFonts w:cs="Arial"/>
          <w:sz w:val="22"/>
          <w:szCs w:val="22"/>
        </w:rPr>
        <w:t xml:space="preserve"> [Online] Available at: </w:t>
      </w:r>
      <w:hyperlink r:id="rId17" w:history="1">
        <w:r w:rsidRPr="00DC049E">
          <w:rPr>
            <w:rStyle w:val="Hyperlink"/>
            <w:rFonts w:cs="Arial"/>
            <w:sz w:val="22"/>
            <w:szCs w:val="22"/>
          </w:rPr>
          <w:t>https://www.gov.uk/government/statistics/electric-vehicle-public-charging-infrastructure-statistics-january-2025/electric-vehicle-public-charging-infrastructure-statistics-january-2025</w:t>
        </w:r>
      </w:hyperlink>
      <w:r w:rsidRPr="00DC049E">
        <w:rPr>
          <w:rFonts w:cs="Arial"/>
          <w:sz w:val="22"/>
          <w:szCs w:val="22"/>
        </w:rPr>
        <w:t xml:space="preserve">  Accessed: 11 November 2025 </w:t>
      </w:r>
    </w:p>
    <w:p w14:paraId="202AAA67" w14:textId="77777777" w:rsidR="0011636B" w:rsidRPr="00DC049E" w:rsidRDefault="0011636B" w:rsidP="00EB60C7">
      <w:pPr>
        <w:spacing w:line="360" w:lineRule="auto"/>
        <w:rPr>
          <w:rFonts w:cs="Arial"/>
          <w:sz w:val="22"/>
          <w:szCs w:val="22"/>
        </w:rPr>
      </w:pPr>
      <w:r w:rsidRPr="00DC049E">
        <w:rPr>
          <w:rFonts w:cs="Arial"/>
          <w:sz w:val="22"/>
          <w:szCs w:val="22"/>
          <w:shd w:val="clear" w:color="auto" w:fill="FFFFFF"/>
        </w:rPr>
        <w:t xml:space="preserve">Hooley, G.J., Piercy, N. and </w:t>
      </w:r>
      <w:proofErr w:type="spellStart"/>
      <w:r w:rsidRPr="00DC049E">
        <w:rPr>
          <w:rFonts w:cs="Arial"/>
          <w:sz w:val="22"/>
          <w:szCs w:val="22"/>
          <w:shd w:val="clear" w:color="auto" w:fill="FFFFFF"/>
        </w:rPr>
        <w:t>Nicoulaud</w:t>
      </w:r>
      <w:proofErr w:type="spellEnd"/>
      <w:r w:rsidRPr="00DC049E">
        <w:rPr>
          <w:rFonts w:cs="Arial"/>
          <w:sz w:val="22"/>
          <w:szCs w:val="22"/>
          <w:shd w:val="clear" w:color="auto" w:fill="FFFFFF"/>
        </w:rPr>
        <w:t>, B.</w:t>
      </w:r>
      <w:r w:rsidR="00B63C65" w:rsidRPr="00DC049E">
        <w:rPr>
          <w:rFonts w:cs="Arial"/>
          <w:sz w:val="22"/>
          <w:szCs w:val="22"/>
          <w:shd w:val="clear" w:color="auto" w:fill="FFFFFF"/>
        </w:rPr>
        <w:t xml:space="preserve"> (</w:t>
      </w:r>
      <w:r w:rsidRPr="00DC049E">
        <w:rPr>
          <w:rFonts w:cs="Arial"/>
          <w:sz w:val="22"/>
          <w:szCs w:val="22"/>
          <w:shd w:val="clear" w:color="auto" w:fill="FFFFFF"/>
        </w:rPr>
        <w:t>2020</w:t>
      </w:r>
      <w:r w:rsidR="00B63C65" w:rsidRPr="00DC049E">
        <w:rPr>
          <w:rFonts w:cs="Arial"/>
          <w:sz w:val="22"/>
          <w:szCs w:val="22"/>
          <w:shd w:val="clear" w:color="auto" w:fill="FFFFFF"/>
        </w:rPr>
        <w:t>)</w:t>
      </w:r>
      <w:r w:rsidRPr="00DC049E">
        <w:rPr>
          <w:rFonts w:cs="Arial"/>
          <w:sz w:val="22"/>
          <w:szCs w:val="22"/>
          <w:shd w:val="clear" w:color="auto" w:fill="FFFFFF"/>
        </w:rPr>
        <w:t> </w:t>
      </w:r>
      <w:r w:rsidRPr="00DC049E">
        <w:rPr>
          <w:rFonts w:cs="Arial"/>
          <w:i/>
          <w:iCs/>
          <w:sz w:val="22"/>
          <w:szCs w:val="22"/>
          <w:shd w:val="clear" w:color="auto" w:fill="FFFFFF"/>
        </w:rPr>
        <w:t>Marketing strategy and competitive positioning</w:t>
      </w:r>
      <w:r w:rsidRPr="00DC049E">
        <w:rPr>
          <w:rFonts w:cs="Arial"/>
          <w:sz w:val="22"/>
          <w:szCs w:val="22"/>
          <w:shd w:val="clear" w:color="auto" w:fill="FFFFFF"/>
        </w:rPr>
        <w:t>. Pearson Education.</w:t>
      </w:r>
      <w:r w:rsidRPr="00DC049E">
        <w:rPr>
          <w:rFonts w:cs="Arial"/>
          <w:sz w:val="22"/>
          <w:szCs w:val="22"/>
        </w:rPr>
        <w:t xml:space="preserve"> </w:t>
      </w:r>
    </w:p>
    <w:p w14:paraId="1FD7F2C2" w14:textId="77777777" w:rsidR="0011636B" w:rsidRPr="00DC049E" w:rsidRDefault="0011636B" w:rsidP="00EB60C7">
      <w:pPr>
        <w:spacing w:line="360" w:lineRule="auto"/>
        <w:rPr>
          <w:rFonts w:cs="Arial"/>
          <w:sz w:val="22"/>
          <w:szCs w:val="22"/>
        </w:rPr>
      </w:pPr>
      <w:r w:rsidRPr="00DC049E">
        <w:rPr>
          <w:rFonts w:cs="Arial"/>
          <w:sz w:val="22"/>
          <w:szCs w:val="22"/>
        </w:rPr>
        <w:t xml:space="preserve">Hyundai (2025) </w:t>
      </w:r>
      <w:r w:rsidRPr="00DC049E">
        <w:rPr>
          <w:rFonts w:cs="Arial"/>
          <w:i/>
          <w:iCs/>
          <w:sz w:val="22"/>
          <w:szCs w:val="22"/>
        </w:rPr>
        <w:t>IONIQ 5 | New Cars</w:t>
      </w:r>
      <w:r w:rsidRPr="00DC049E">
        <w:rPr>
          <w:rFonts w:cs="Arial"/>
          <w:sz w:val="22"/>
          <w:szCs w:val="22"/>
        </w:rPr>
        <w:t xml:space="preserve"> [Online]Available at: </w:t>
      </w:r>
      <w:hyperlink r:id="rId18" w:history="1">
        <w:r w:rsidRPr="00DC049E">
          <w:rPr>
            <w:rStyle w:val="Hyperlink"/>
            <w:rFonts w:cs="Arial"/>
            <w:sz w:val="22"/>
            <w:szCs w:val="22"/>
          </w:rPr>
          <w:t>https://www.hyundai.com/uk/en/models/ioniq5.html</w:t>
        </w:r>
      </w:hyperlink>
      <w:r w:rsidRPr="00DC049E">
        <w:rPr>
          <w:rFonts w:cs="Arial"/>
          <w:sz w:val="22"/>
          <w:szCs w:val="22"/>
        </w:rPr>
        <w:t xml:space="preserve"> Accessed: 11 November 2025</w:t>
      </w:r>
    </w:p>
    <w:p w14:paraId="3A88BEF0" w14:textId="77777777" w:rsidR="0011636B" w:rsidRPr="00DC049E" w:rsidRDefault="0011636B" w:rsidP="00EB60C7">
      <w:pPr>
        <w:spacing w:line="360" w:lineRule="auto"/>
        <w:rPr>
          <w:rFonts w:cs="Arial"/>
          <w:sz w:val="22"/>
          <w:szCs w:val="22"/>
        </w:rPr>
      </w:pPr>
      <w:r w:rsidRPr="00DC049E">
        <w:rPr>
          <w:rFonts w:cs="Arial"/>
          <w:sz w:val="22"/>
          <w:szCs w:val="22"/>
        </w:rPr>
        <w:t xml:space="preserve">Kotler, P., Armstrong, G., Harris, L. and Piercy, N. (2020) </w:t>
      </w:r>
      <w:r w:rsidRPr="00DC049E">
        <w:rPr>
          <w:rFonts w:cs="Arial"/>
          <w:i/>
          <w:iCs/>
          <w:sz w:val="22"/>
          <w:szCs w:val="22"/>
        </w:rPr>
        <w:t>Principles of marketing</w:t>
      </w:r>
      <w:r w:rsidRPr="00DC049E">
        <w:rPr>
          <w:rFonts w:cs="Arial"/>
          <w:sz w:val="22"/>
          <w:szCs w:val="22"/>
        </w:rPr>
        <w:t xml:space="preserve">. 8th European </w:t>
      </w:r>
      <w:proofErr w:type="spellStart"/>
      <w:r w:rsidRPr="00DC049E">
        <w:rPr>
          <w:rFonts w:cs="Arial"/>
          <w:sz w:val="22"/>
          <w:szCs w:val="22"/>
        </w:rPr>
        <w:t>edn</w:t>
      </w:r>
      <w:proofErr w:type="spellEnd"/>
      <w:r w:rsidRPr="00DC049E">
        <w:rPr>
          <w:rFonts w:cs="Arial"/>
          <w:sz w:val="22"/>
          <w:szCs w:val="22"/>
        </w:rPr>
        <w:t>. Harlow: Pearson.</w:t>
      </w:r>
    </w:p>
    <w:p w14:paraId="2B11DB73" w14:textId="77777777" w:rsidR="0011636B" w:rsidRPr="00DC049E" w:rsidRDefault="0011636B" w:rsidP="00EB60C7">
      <w:pPr>
        <w:spacing w:line="360" w:lineRule="auto"/>
        <w:rPr>
          <w:rFonts w:cs="Arial"/>
          <w:sz w:val="22"/>
          <w:szCs w:val="22"/>
          <w:shd w:val="clear" w:color="auto" w:fill="FFFFFF"/>
        </w:rPr>
      </w:pPr>
      <w:r w:rsidRPr="00DC049E">
        <w:rPr>
          <w:rFonts w:cs="Arial"/>
          <w:sz w:val="22"/>
          <w:szCs w:val="22"/>
          <w:shd w:val="clear" w:color="auto" w:fill="FFFFFF"/>
        </w:rPr>
        <w:t>Kotler, P. and Keller, K.L.</w:t>
      </w:r>
      <w:r w:rsidR="00B63C65" w:rsidRPr="00DC049E">
        <w:rPr>
          <w:rFonts w:cs="Arial"/>
          <w:sz w:val="22"/>
          <w:szCs w:val="22"/>
          <w:shd w:val="clear" w:color="auto" w:fill="FFFFFF"/>
        </w:rPr>
        <w:t xml:space="preserve"> (</w:t>
      </w:r>
      <w:r w:rsidRPr="00DC049E">
        <w:rPr>
          <w:rFonts w:cs="Arial"/>
          <w:sz w:val="22"/>
          <w:szCs w:val="22"/>
          <w:shd w:val="clear" w:color="auto" w:fill="FFFFFF"/>
        </w:rPr>
        <w:t>2021</w:t>
      </w:r>
      <w:r w:rsidR="00B63C65" w:rsidRPr="00DC049E">
        <w:rPr>
          <w:rFonts w:cs="Arial"/>
          <w:sz w:val="22"/>
          <w:szCs w:val="22"/>
          <w:shd w:val="clear" w:color="auto" w:fill="FFFFFF"/>
        </w:rPr>
        <w:t>)</w:t>
      </w:r>
      <w:r w:rsidRPr="00DC049E">
        <w:rPr>
          <w:rFonts w:cs="Arial"/>
          <w:sz w:val="22"/>
          <w:szCs w:val="22"/>
          <w:shd w:val="clear" w:color="auto" w:fill="FFFFFF"/>
        </w:rPr>
        <w:t xml:space="preserve"> A. </w:t>
      </w:r>
      <w:proofErr w:type="spellStart"/>
      <w:r w:rsidRPr="00DC049E">
        <w:rPr>
          <w:rFonts w:cs="Arial"/>
          <w:sz w:val="22"/>
          <w:szCs w:val="22"/>
          <w:shd w:val="clear" w:color="auto" w:fill="FFFFFF"/>
        </w:rPr>
        <w:t>Chernev</w:t>
      </w:r>
      <w:proofErr w:type="spellEnd"/>
      <w:r w:rsidRPr="00DC049E">
        <w:rPr>
          <w:rFonts w:cs="Arial"/>
          <w:sz w:val="22"/>
          <w:szCs w:val="22"/>
          <w:shd w:val="clear" w:color="auto" w:fill="FFFFFF"/>
        </w:rPr>
        <w:t>. </w:t>
      </w:r>
      <w:r w:rsidRPr="00DC049E">
        <w:rPr>
          <w:rFonts w:cs="Arial"/>
          <w:i/>
          <w:iCs/>
          <w:sz w:val="22"/>
          <w:szCs w:val="22"/>
          <w:shd w:val="clear" w:color="auto" w:fill="FFFFFF"/>
        </w:rPr>
        <w:t>Marketing Management. 16th ed., Pearson</w:t>
      </w:r>
      <w:r w:rsidRPr="00DC049E">
        <w:rPr>
          <w:rFonts w:cs="Arial"/>
          <w:sz w:val="22"/>
          <w:szCs w:val="22"/>
          <w:shd w:val="clear" w:color="auto" w:fill="FFFFFF"/>
        </w:rPr>
        <w:t>.</w:t>
      </w:r>
    </w:p>
    <w:p w14:paraId="671C9195" w14:textId="77777777" w:rsidR="0011636B" w:rsidRPr="00DC049E" w:rsidRDefault="0011636B" w:rsidP="00EB60C7">
      <w:pPr>
        <w:spacing w:line="360" w:lineRule="auto"/>
        <w:rPr>
          <w:rFonts w:cs="Arial"/>
          <w:sz w:val="22"/>
          <w:szCs w:val="22"/>
        </w:rPr>
      </w:pPr>
      <w:r w:rsidRPr="00DC049E">
        <w:rPr>
          <w:rFonts w:cs="Arial"/>
          <w:sz w:val="22"/>
          <w:szCs w:val="22"/>
        </w:rPr>
        <w:t xml:space="preserve">Jones, S. (2022) </w:t>
      </w:r>
      <w:r w:rsidRPr="00DC049E">
        <w:rPr>
          <w:rStyle w:val="Emphasis"/>
          <w:rFonts w:cs="Arial"/>
          <w:sz w:val="22"/>
          <w:szCs w:val="22"/>
        </w:rPr>
        <w:t>A guide to SWOT and PESTLE analysis (with FREE Template)</w:t>
      </w:r>
      <w:r w:rsidRPr="00DC049E">
        <w:rPr>
          <w:rFonts w:cs="Arial"/>
          <w:sz w:val="22"/>
          <w:szCs w:val="22"/>
        </w:rPr>
        <w:t xml:space="preserve">. </w:t>
      </w:r>
      <w:proofErr w:type="spellStart"/>
      <w:r w:rsidRPr="00DC049E">
        <w:rPr>
          <w:rFonts w:cs="Arial"/>
          <w:sz w:val="22"/>
          <w:szCs w:val="22"/>
        </w:rPr>
        <w:t>LOCALiQ</w:t>
      </w:r>
      <w:proofErr w:type="spellEnd"/>
      <w:r w:rsidRPr="00DC049E">
        <w:rPr>
          <w:rFonts w:cs="Arial"/>
          <w:sz w:val="22"/>
          <w:szCs w:val="22"/>
        </w:rPr>
        <w:t xml:space="preserve">. [Online] Available at: </w:t>
      </w:r>
      <w:hyperlink r:id="rId19" w:history="1">
        <w:r w:rsidRPr="00DC049E">
          <w:rPr>
            <w:rStyle w:val="Hyperlink"/>
            <w:rFonts w:cs="Arial"/>
            <w:sz w:val="22"/>
            <w:szCs w:val="22"/>
          </w:rPr>
          <w:t>https://localiq.co.uk/blog/a-complete-guide-to-using-swot-pestle-for-marketing</w:t>
        </w:r>
      </w:hyperlink>
      <w:r w:rsidRPr="00DC049E">
        <w:rPr>
          <w:rFonts w:cs="Arial"/>
          <w:sz w:val="22"/>
          <w:szCs w:val="22"/>
        </w:rPr>
        <w:t xml:space="preserve"> Accessed: 11 November 2025</w:t>
      </w:r>
    </w:p>
    <w:p w14:paraId="4E09F3EB" w14:textId="77777777" w:rsidR="0011636B" w:rsidRPr="00DC049E" w:rsidRDefault="0011636B" w:rsidP="00EB60C7">
      <w:pPr>
        <w:spacing w:line="360" w:lineRule="auto"/>
        <w:rPr>
          <w:rFonts w:cs="Arial"/>
          <w:sz w:val="22"/>
          <w:szCs w:val="22"/>
          <w:shd w:val="clear" w:color="auto" w:fill="FFFFFF"/>
        </w:rPr>
      </w:pPr>
      <w:r w:rsidRPr="00DC049E">
        <w:rPr>
          <w:rFonts w:cs="Arial"/>
          <w:sz w:val="22"/>
          <w:szCs w:val="22"/>
          <w:shd w:val="clear" w:color="auto" w:fill="FFFFFF"/>
        </w:rPr>
        <w:t>Liao, Y. and Wu, L.</w:t>
      </w:r>
      <w:r w:rsidR="00B63C65" w:rsidRPr="00DC049E">
        <w:rPr>
          <w:rFonts w:cs="Arial"/>
          <w:sz w:val="22"/>
          <w:szCs w:val="22"/>
          <w:shd w:val="clear" w:color="auto" w:fill="FFFFFF"/>
        </w:rPr>
        <w:t xml:space="preserve"> (</w:t>
      </w:r>
      <w:r w:rsidRPr="00DC049E">
        <w:rPr>
          <w:rFonts w:cs="Arial"/>
          <w:sz w:val="22"/>
          <w:szCs w:val="22"/>
          <w:shd w:val="clear" w:color="auto" w:fill="FFFFFF"/>
        </w:rPr>
        <w:t>2024</w:t>
      </w:r>
      <w:r w:rsidR="00B63C65" w:rsidRPr="00DC049E">
        <w:rPr>
          <w:rFonts w:cs="Arial"/>
          <w:sz w:val="22"/>
          <w:szCs w:val="22"/>
          <w:shd w:val="clear" w:color="auto" w:fill="FFFFFF"/>
        </w:rPr>
        <w:t xml:space="preserve">) </w:t>
      </w:r>
      <w:r w:rsidRPr="00DC049E">
        <w:rPr>
          <w:rFonts w:cs="Arial"/>
          <w:sz w:val="22"/>
          <w:szCs w:val="22"/>
          <w:shd w:val="clear" w:color="auto" w:fill="FFFFFF"/>
        </w:rPr>
        <w:t>The Influence of Brand Greenwashing on EV Purchase Intention: The Moderating Role of Consumer Innovativeness and Peer Brand Attitude. </w:t>
      </w:r>
      <w:r w:rsidRPr="00DC049E">
        <w:rPr>
          <w:rFonts w:cs="Arial"/>
          <w:i/>
          <w:iCs/>
          <w:sz w:val="22"/>
          <w:szCs w:val="22"/>
          <w:shd w:val="clear" w:color="auto" w:fill="FFFFFF"/>
        </w:rPr>
        <w:t>World Electric Vehicle Journal</w:t>
      </w:r>
      <w:r w:rsidRPr="00DC049E">
        <w:rPr>
          <w:rFonts w:cs="Arial"/>
          <w:sz w:val="22"/>
          <w:szCs w:val="22"/>
          <w:shd w:val="clear" w:color="auto" w:fill="FFFFFF"/>
        </w:rPr>
        <w:t>, </w:t>
      </w:r>
      <w:r w:rsidRPr="00DC049E">
        <w:rPr>
          <w:rFonts w:cs="Arial"/>
          <w:i/>
          <w:iCs/>
          <w:sz w:val="22"/>
          <w:szCs w:val="22"/>
          <w:shd w:val="clear" w:color="auto" w:fill="FFFFFF"/>
        </w:rPr>
        <w:t>15</w:t>
      </w:r>
      <w:r w:rsidRPr="00DC049E">
        <w:rPr>
          <w:rFonts w:cs="Arial"/>
          <w:sz w:val="22"/>
          <w:szCs w:val="22"/>
          <w:shd w:val="clear" w:color="auto" w:fill="FFFFFF"/>
        </w:rPr>
        <w:t>(7), p.313.</w:t>
      </w:r>
    </w:p>
    <w:p w14:paraId="6EDF62B3" w14:textId="77777777" w:rsidR="0011636B" w:rsidRPr="00DC049E" w:rsidRDefault="0011636B" w:rsidP="00EB60C7">
      <w:pPr>
        <w:spacing w:line="360" w:lineRule="auto"/>
        <w:rPr>
          <w:rFonts w:cs="Arial"/>
          <w:sz w:val="22"/>
          <w:szCs w:val="22"/>
          <w:shd w:val="clear" w:color="auto" w:fill="FFFFFF"/>
        </w:rPr>
      </w:pPr>
      <w:r w:rsidRPr="00DC049E">
        <w:rPr>
          <w:rFonts w:cs="Arial"/>
          <w:sz w:val="22"/>
          <w:szCs w:val="22"/>
          <w:shd w:val="clear" w:color="auto" w:fill="FFFFFF"/>
        </w:rPr>
        <w:t xml:space="preserve">Morton, C., </w:t>
      </w:r>
      <w:proofErr w:type="spellStart"/>
      <w:r w:rsidRPr="00DC049E">
        <w:rPr>
          <w:rFonts w:cs="Arial"/>
          <w:sz w:val="22"/>
          <w:szCs w:val="22"/>
          <w:shd w:val="clear" w:color="auto" w:fill="FFFFFF"/>
        </w:rPr>
        <w:t>Anable</w:t>
      </w:r>
      <w:proofErr w:type="spellEnd"/>
      <w:r w:rsidRPr="00DC049E">
        <w:rPr>
          <w:rFonts w:cs="Arial"/>
          <w:sz w:val="22"/>
          <w:szCs w:val="22"/>
          <w:shd w:val="clear" w:color="auto" w:fill="FFFFFF"/>
        </w:rPr>
        <w:t xml:space="preserve">, J., </w:t>
      </w:r>
      <w:proofErr w:type="spellStart"/>
      <w:r w:rsidRPr="00DC049E">
        <w:rPr>
          <w:rFonts w:cs="Arial"/>
          <w:sz w:val="22"/>
          <w:szCs w:val="22"/>
          <w:shd w:val="clear" w:color="auto" w:fill="FFFFFF"/>
        </w:rPr>
        <w:t>Yeboah</w:t>
      </w:r>
      <w:proofErr w:type="spellEnd"/>
      <w:r w:rsidRPr="00DC049E">
        <w:rPr>
          <w:rFonts w:cs="Arial"/>
          <w:sz w:val="22"/>
          <w:szCs w:val="22"/>
          <w:shd w:val="clear" w:color="auto" w:fill="FFFFFF"/>
        </w:rPr>
        <w:t xml:space="preserve">, G. and </w:t>
      </w:r>
      <w:proofErr w:type="spellStart"/>
      <w:r w:rsidRPr="00DC049E">
        <w:rPr>
          <w:rFonts w:cs="Arial"/>
          <w:sz w:val="22"/>
          <w:szCs w:val="22"/>
          <w:shd w:val="clear" w:color="auto" w:fill="FFFFFF"/>
        </w:rPr>
        <w:t>Cottrill</w:t>
      </w:r>
      <w:proofErr w:type="spellEnd"/>
      <w:r w:rsidRPr="00DC049E">
        <w:rPr>
          <w:rFonts w:cs="Arial"/>
          <w:sz w:val="22"/>
          <w:szCs w:val="22"/>
          <w:shd w:val="clear" w:color="auto" w:fill="FFFFFF"/>
        </w:rPr>
        <w:t>, C.</w:t>
      </w:r>
      <w:r w:rsidR="00B63C65" w:rsidRPr="00DC049E">
        <w:rPr>
          <w:rFonts w:cs="Arial"/>
          <w:sz w:val="22"/>
          <w:szCs w:val="22"/>
          <w:shd w:val="clear" w:color="auto" w:fill="FFFFFF"/>
        </w:rPr>
        <w:t xml:space="preserve"> (</w:t>
      </w:r>
      <w:r w:rsidRPr="00DC049E">
        <w:rPr>
          <w:rFonts w:cs="Arial"/>
          <w:sz w:val="22"/>
          <w:szCs w:val="22"/>
          <w:shd w:val="clear" w:color="auto" w:fill="FFFFFF"/>
        </w:rPr>
        <w:t>2018</w:t>
      </w:r>
      <w:r w:rsidR="00B63C65" w:rsidRPr="00DC049E">
        <w:rPr>
          <w:rFonts w:cs="Arial"/>
          <w:sz w:val="22"/>
          <w:szCs w:val="22"/>
          <w:shd w:val="clear" w:color="auto" w:fill="FFFFFF"/>
        </w:rPr>
        <w:t>)</w:t>
      </w:r>
      <w:r w:rsidRPr="00DC049E">
        <w:rPr>
          <w:rFonts w:cs="Arial"/>
          <w:sz w:val="22"/>
          <w:szCs w:val="22"/>
          <w:shd w:val="clear" w:color="auto" w:fill="FFFFFF"/>
        </w:rPr>
        <w:t xml:space="preserve"> The spatial pattern of demand in the early market for electric vehicles: Evidence from the United Kingdom. </w:t>
      </w:r>
      <w:r w:rsidRPr="00DC049E">
        <w:rPr>
          <w:rFonts w:cs="Arial"/>
          <w:i/>
          <w:iCs/>
          <w:sz w:val="22"/>
          <w:szCs w:val="22"/>
          <w:shd w:val="clear" w:color="auto" w:fill="FFFFFF"/>
        </w:rPr>
        <w:t>Journal of Transport Geography</w:t>
      </w:r>
      <w:r w:rsidRPr="00DC049E">
        <w:rPr>
          <w:rFonts w:cs="Arial"/>
          <w:sz w:val="22"/>
          <w:szCs w:val="22"/>
          <w:shd w:val="clear" w:color="auto" w:fill="FFFFFF"/>
        </w:rPr>
        <w:t>, </w:t>
      </w:r>
      <w:r w:rsidRPr="00DC049E">
        <w:rPr>
          <w:rFonts w:cs="Arial"/>
          <w:i/>
          <w:iCs/>
          <w:sz w:val="22"/>
          <w:szCs w:val="22"/>
          <w:shd w:val="clear" w:color="auto" w:fill="FFFFFF"/>
        </w:rPr>
        <w:t>72</w:t>
      </w:r>
      <w:r w:rsidRPr="00DC049E">
        <w:rPr>
          <w:rFonts w:cs="Arial"/>
          <w:sz w:val="22"/>
          <w:szCs w:val="22"/>
          <w:shd w:val="clear" w:color="auto" w:fill="FFFFFF"/>
        </w:rPr>
        <w:t>, pp.119-130.</w:t>
      </w:r>
      <w:r w:rsidR="00B63C65" w:rsidRPr="00DC049E">
        <w:rPr>
          <w:rFonts w:cs="Arial"/>
          <w:sz w:val="22"/>
          <w:szCs w:val="22"/>
          <w:shd w:val="clear" w:color="auto" w:fill="FFFFFF"/>
        </w:rPr>
        <w:t xml:space="preserve"> </w:t>
      </w:r>
      <w:hyperlink r:id="rId20" w:history="1">
        <w:r w:rsidR="00B63C65" w:rsidRPr="00DC049E">
          <w:rPr>
            <w:rStyle w:val="Hyperlink"/>
            <w:rFonts w:cs="Arial"/>
            <w:sz w:val="22"/>
            <w:szCs w:val="22"/>
          </w:rPr>
          <w:t>https://doi.org/10.1016/j.jtrangeo.2018.08.010</w:t>
        </w:r>
      </w:hyperlink>
      <w:r w:rsidR="00B63C65" w:rsidRPr="00DC049E">
        <w:rPr>
          <w:rFonts w:cs="Arial"/>
          <w:sz w:val="22"/>
          <w:szCs w:val="22"/>
        </w:rPr>
        <w:t xml:space="preserve"> </w:t>
      </w:r>
    </w:p>
    <w:p w14:paraId="0ADA4F30" w14:textId="77777777" w:rsidR="0011636B" w:rsidRPr="00DC049E" w:rsidRDefault="0011636B" w:rsidP="00EB60C7">
      <w:pPr>
        <w:spacing w:line="360" w:lineRule="auto"/>
        <w:rPr>
          <w:rFonts w:cs="Arial"/>
          <w:sz w:val="22"/>
          <w:szCs w:val="22"/>
        </w:rPr>
      </w:pPr>
      <w:r w:rsidRPr="00DC049E">
        <w:rPr>
          <w:rFonts w:cs="Arial"/>
          <w:sz w:val="22"/>
          <w:szCs w:val="22"/>
        </w:rPr>
        <w:t xml:space="preserve">Nissan (2025) </w:t>
      </w:r>
      <w:r w:rsidRPr="00DC049E">
        <w:rPr>
          <w:rFonts w:cs="Arial"/>
          <w:i/>
          <w:iCs/>
          <w:sz w:val="22"/>
          <w:szCs w:val="22"/>
        </w:rPr>
        <w:t>EV36Zero:the future of Nissan</w:t>
      </w:r>
      <w:r w:rsidRPr="00DC049E">
        <w:rPr>
          <w:rFonts w:cs="Arial"/>
          <w:sz w:val="22"/>
          <w:szCs w:val="22"/>
        </w:rPr>
        <w:t xml:space="preserve"> [Online] Available at: </w:t>
      </w:r>
      <w:hyperlink r:id="rId21" w:history="1">
        <w:r w:rsidRPr="00DC049E">
          <w:rPr>
            <w:rStyle w:val="Hyperlink"/>
            <w:rFonts w:cs="Arial"/>
            <w:sz w:val="22"/>
            <w:szCs w:val="22"/>
          </w:rPr>
          <w:t>https://careersatnissan.co.uk/life-at-nissan/manufacturing-hub/ev36zero-the-future-of-nissan/</w:t>
        </w:r>
      </w:hyperlink>
      <w:r w:rsidRPr="00DC049E">
        <w:rPr>
          <w:rFonts w:cs="Arial"/>
          <w:sz w:val="22"/>
          <w:szCs w:val="22"/>
        </w:rPr>
        <w:t xml:space="preserve">  Accessed: 11 November 2025</w:t>
      </w:r>
    </w:p>
    <w:p w14:paraId="741C961D" w14:textId="77777777" w:rsidR="0011636B" w:rsidRPr="00DC049E" w:rsidRDefault="0011636B" w:rsidP="00EB60C7">
      <w:pPr>
        <w:spacing w:line="360" w:lineRule="auto"/>
        <w:rPr>
          <w:rFonts w:cs="Arial"/>
          <w:sz w:val="22"/>
          <w:szCs w:val="22"/>
        </w:rPr>
      </w:pPr>
      <w:r w:rsidRPr="00DC049E">
        <w:rPr>
          <w:rFonts w:cs="Arial"/>
          <w:sz w:val="22"/>
          <w:szCs w:val="22"/>
        </w:rPr>
        <w:t xml:space="preserve">Reuters (2023) Ford UK says any delay on government petrol car ban risks EV transition [Online] Available at: </w:t>
      </w:r>
      <w:hyperlink r:id="rId22" w:history="1">
        <w:r w:rsidRPr="00DC049E">
          <w:rPr>
            <w:rStyle w:val="Hyperlink"/>
            <w:rFonts w:cs="Arial"/>
            <w:sz w:val="22"/>
            <w:szCs w:val="22"/>
          </w:rPr>
          <w:t>https://www.reuters.com/business/autos-transportation/ford-uk-slams-potential-relaxation-plans-ban-new-petrol-diesel-car-sales-by-2030-2023-09-20/</w:t>
        </w:r>
      </w:hyperlink>
      <w:r w:rsidRPr="00DC049E">
        <w:rPr>
          <w:rFonts w:cs="Arial"/>
          <w:sz w:val="22"/>
          <w:szCs w:val="22"/>
        </w:rPr>
        <w:t xml:space="preserve">   Accessed: 11 November 2025 </w:t>
      </w:r>
    </w:p>
    <w:p w14:paraId="07B7C0CA" w14:textId="77777777" w:rsidR="0011636B" w:rsidRPr="00DC049E" w:rsidRDefault="0011636B" w:rsidP="00EB60C7">
      <w:pPr>
        <w:spacing w:line="360" w:lineRule="auto"/>
        <w:rPr>
          <w:rFonts w:cs="Arial"/>
          <w:sz w:val="22"/>
          <w:szCs w:val="22"/>
        </w:rPr>
      </w:pPr>
      <w:r w:rsidRPr="00DC049E">
        <w:rPr>
          <w:rFonts w:cs="Arial"/>
          <w:sz w:val="22"/>
          <w:szCs w:val="22"/>
        </w:rPr>
        <w:t xml:space="preserve">RRG Group (2025) </w:t>
      </w:r>
      <w:r w:rsidRPr="00DC049E">
        <w:rPr>
          <w:rStyle w:val="Emphasis"/>
          <w:rFonts w:cs="Arial"/>
          <w:sz w:val="22"/>
          <w:szCs w:val="22"/>
        </w:rPr>
        <w:t>MG drives ahead in 2025</w:t>
      </w:r>
      <w:r w:rsidRPr="00DC049E">
        <w:rPr>
          <w:rFonts w:cs="Arial"/>
          <w:sz w:val="22"/>
          <w:szCs w:val="22"/>
        </w:rPr>
        <w:t xml:space="preserve"> [Online] Available at: </w:t>
      </w:r>
      <w:hyperlink r:id="rId23" w:history="1">
        <w:r w:rsidRPr="00DC049E">
          <w:rPr>
            <w:rStyle w:val="Hyperlink"/>
            <w:rFonts w:cs="Arial"/>
            <w:sz w:val="22"/>
            <w:szCs w:val="22"/>
          </w:rPr>
          <w:t>https://www.rrg-group.com/mg/news/mg-drives-ahead-in-2025</w:t>
        </w:r>
      </w:hyperlink>
      <w:r w:rsidRPr="00DC049E">
        <w:rPr>
          <w:rFonts w:cs="Arial"/>
          <w:sz w:val="22"/>
          <w:szCs w:val="22"/>
        </w:rPr>
        <w:t xml:space="preserve"> Accessed: 11 November 2025</w:t>
      </w:r>
    </w:p>
    <w:p w14:paraId="2F6BA860" w14:textId="77777777" w:rsidR="0011636B" w:rsidRPr="00DC049E" w:rsidRDefault="0011636B" w:rsidP="00EB60C7">
      <w:pPr>
        <w:spacing w:line="360" w:lineRule="auto"/>
        <w:rPr>
          <w:rFonts w:cs="Arial"/>
          <w:sz w:val="22"/>
          <w:szCs w:val="22"/>
        </w:rPr>
      </w:pPr>
      <w:proofErr w:type="spellStart"/>
      <w:r w:rsidRPr="00DC049E">
        <w:rPr>
          <w:rFonts w:cs="Arial"/>
          <w:sz w:val="22"/>
          <w:szCs w:val="22"/>
        </w:rPr>
        <w:t>Statista</w:t>
      </w:r>
      <w:proofErr w:type="spellEnd"/>
      <w:r w:rsidRPr="00DC049E">
        <w:rPr>
          <w:rFonts w:cs="Arial"/>
          <w:sz w:val="22"/>
          <w:szCs w:val="22"/>
        </w:rPr>
        <w:t xml:space="preserve"> (2025a) </w:t>
      </w:r>
      <w:r w:rsidRPr="00DC049E">
        <w:rPr>
          <w:rFonts w:cs="Arial"/>
          <w:i/>
          <w:iCs/>
          <w:sz w:val="22"/>
          <w:szCs w:val="22"/>
        </w:rPr>
        <w:t>Plug-in electric vehicle fleet in the United Kingdom between 2010 and 2023</w:t>
      </w:r>
      <w:r w:rsidRPr="00DC049E">
        <w:rPr>
          <w:rFonts w:cs="Arial"/>
          <w:sz w:val="22"/>
          <w:szCs w:val="22"/>
        </w:rPr>
        <w:t xml:space="preserve"> [Online] Available at: </w:t>
      </w:r>
      <w:hyperlink r:id="rId24" w:history="1">
        <w:r w:rsidRPr="00DC049E">
          <w:rPr>
            <w:rStyle w:val="Hyperlink"/>
            <w:rFonts w:cs="Arial"/>
            <w:sz w:val="22"/>
            <w:szCs w:val="22"/>
          </w:rPr>
          <w:t>https://www.statista.com/statistics/1410223/uk-electric-vehicle-car-parc/</w:t>
        </w:r>
      </w:hyperlink>
      <w:r w:rsidRPr="00DC049E">
        <w:rPr>
          <w:rFonts w:cs="Arial"/>
          <w:sz w:val="22"/>
          <w:szCs w:val="22"/>
        </w:rPr>
        <w:t xml:space="preserve"> Accessed: 11 November 2025</w:t>
      </w:r>
    </w:p>
    <w:p w14:paraId="50273E0B" w14:textId="77777777" w:rsidR="0011636B" w:rsidRPr="00DC049E" w:rsidRDefault="0011636B" w:rsidP="00EB60C7">
      <w:pPr>
        <w:spacing w:line="360" w:lineRule="auto"/>
        <w:rPr>
          <w:rFonts w:cs="Arial"/>
          <w:sz w:val="22"/>
          <w:szCs w:val="22"/>
        </w:rPr>
      </w:pPr>
      <w:proofErr w:type="spellStart"/>
      <w:r w:rsidRPr="00DC049E">
        <w:rPr>
          <w:rFonts w:cs="Arial"/>
          <w:sz w:val="22"/>
          <w:szCs w:val="22"/>
          <w:shd w:val="clear" w:color="auto" w:fill="FFFFFF"/>
        </w:rPr>
        <w:t>Suntsova</w:t>
      </w:r>
      <w:proofErr w:type="spellEnd"/>
      <w:r w:rsidRPr="00DC049E">
        <w:rPr>
          <w:rFonts w:cs="Arial"/>
          <w:sz w:val="22"/>
          <w:szCs w:val="22"/>
          <w:shd w:val="clear" w:color="auto" w:fill="FFFFFF"/>
        </w:rPr>
        <w:t>, O.</w:t>
      </w:r>
      <w:r w:rsidR="00B63C65" w:rsidRPr="00DC049E">
        <w:rPr>
          <w:rFonts w:cs="Arial"/>
          <w:sz w:val="22"/>
          <w:szCs w:val="22"/>
          <w:shd w:val="clear" w:color="auto" w:fill="FFFFFF"/>
        </w:rPr>
        <w:t xml:space="preserve"> (</w:t>
      </w:r>
      <w:r w:rsidRPr="00DC049E">
        <w:rPr>
          <w:rFonts w:cs="Arial"/>
          <w:sz w:val="22"/>
          <w:szCs w:val="22"/>
          <w:shd w:val="clear" w:color="auto" w:fill="FFFFFF"/>
        </w:rPr>
        <w:t>2024</w:t>
      </w:r>
      <w:r w:rsidR="00B63C65" w:rsidRPr="00DC049E">
        <w:rPr>
          <w:rFonts w:cs="Arial"/>
          <w:sz w:val="22"/>
          <w:szCs w:val="22"/>
          <w:shd w:val="clear" w:color="auto" w:fill="FFFFFF"/>
        </w:rPr>
        <w:t xml:space="preserve">) </w:t>
      </w:r>
      <w:r w:rsidRPr="00DC049E">
        <w:rPr>
          <w:rFonts w:cs="Arial"/>
          <w:sz w:val="22"/>
          <w:szCs w:val="22"/>
          <w:shd w:val="clear" w:color="auto" w:fill="FFFFFF"/>
        </w:rPr>
        <w:t>THE IMPACT OF “FIRST-MOVER ADVANTAGE” ON GLOBAL MARKET STRUCTURE AND DYNAMICS. </w:t>
      </w:r>
      <w:r w:rsidRPr="00DC049E">
        <w:rPr>
          <w:rFonts w:cs="Arial"/>
          <w:i/>
          <w:iCs/>
          <w:sz w:val="22"/>
          <w:szCs w:val="22"/>
          <w:shd w:val="clear" w:color="auto" w:fill="FFFFFF"/>
        </w:rPr>
        <w:t>Available at SSRN 5125609</w:t>
      </w:r>
      <w:r w:rsidRPr="00DC049E">
        <w:rPr>
          <w:rFonts w:cs="Arial"/>
          <w:sz w:val="22"/>
          <w:szCs w:val="22"/>
          <w:shd w:val="clear" w:color="auto" w:fill="FFFFFF"/>
        </w:rPr>
        <w:t>.</w:t>
      </w:r>
      <w:r w:rsidRPr="00DC049E">
        <w:rPr>
          <w:rFonts w:cs="Arial"/>
          <w:sz w:val="22"/>
          <w:szCs w:val="22"/>
        </w:rPr>
        <w:t xml:space="preserve"> </w:t>
      </w:r>
    </w:p>
    <w:p w14:paraId="0C841DAA" w14:textId="77777777" w:rsidR="0011636B" w:rsidRPr="00DC049E" w:rsidRDefault="0011636B" w:rsidP="00EB60C7">
      <w:pPr>
        <w:spacing w:line="360" w:lineRule="auto"/>
        <w:rPr>
          <w:rFonts w:cs="Arial"/>
          <w:sz w:val="22"/>
          <w:szCs w:val="22"/>
        </w:rPr>
      </w:pPr>
      <w:r w:rsidRPr="00DC049E">
        <w:rPr>
          <w:rFonts w:cs="Arial"/>
          <w:sz w:val="22"/>
          <w:szCs w:val="22"/>
        </w:rPr>
        <w:t xml:space="preserve">TESMAG (2025) </w:t>
      </w:r>
      <w:r w:rsidRPr="00DC049E">
        <w:rPr>
          <w:rFonts w:cs="Arial"/>
          <w:i/>
          <w:iCs/>
          <w:sz w:val="22"/>
          <w:szCs w:val="22"/>
        </w:rPr>
        <w:t>Tesla Expands Supercharger Network and Third-Party Access Across Europe in 2025</w:t>
      </w:r>
      <w:r w:rsidRPr="00DC049E">
        <w:rPr>
          <w:rFonts w:cs="Arial"/>
          <w:sz w:val="22"/>
          <w:szCs w:val="22"/>
        </w:rPr>
        <w:t xml:space="preserve"> [Online] Available at: </w:t>
      </w:r>
      <w:hyperlink r:id="rId25" w:history="1">
        <w:r w:rsidRPr="00DC049E">
          <w:rPr>
            <w:rStyle w:val="Hyperlink"/>
            <w:rFonts w:cs="Arial"/>
            <w:sz w:val="22"/>
            <w:szCs w:val="22"/>
          </w:rPr>
          <w:t>https://www.teslaacessories.com/blogs/news/tesla-expands-supercharger-network-and-third-party-access-across-europe-in-2025</w:t>
        </w:r>
      </w:hyperlink>
      <w:r w:rsidRPr="00DC049E">
        <w:rPr>
          <w:rFonts w:cs="Arial"/>
          <w:sz w:val="22"/>
          <w:szCs w:val="22"/>
        </w:rPr>
        <w:t xml:space="preserve">  Accessed: 11 November 2025</w:t>
      </w:r>
    </w:p>
    <w:p w14:paraId="4372CB4A" w14:textId="77777777" w:rsidR="0011636B" w:rsidRPr="00DC049E" w:rsidRDefault="0011636B" w:rsidP="00EB60C7">
      <w:pPr>
        <w:spacing w:line="360" w:lineRule="auto"/>
        <w:rPr>
          <w:rFonts w:cs="Arial"/>
          <w:sz w:val="22"/>
          <w:szCs w:val="22"/>
        </w:rPr>
      </w:pPr>
      <w:r w:rsidRPr="00DC049E">
        <w:rPr>
          <w:rFonts w:cs="Arial"/>
          <w:sz w:val="22"/>
          <w:szCs w:val="22"/>
        </w:rPr>
        <w:t xml:space="preserve">Tesla (2025) </w:t>
      </w:r>
      <w:r w:rsidRPr="00DC049E">
        <w:rPr>
          <w:rFonts w:cs="Arial"/>
          <w:i/>
          <w:iCs/>
          <w:sz w:val="22"/>
          <w:szCs w:val="22"/>
        </w:rPr>
        <w:t>Earth Day 2025: We’re Committed to Building a Sustainable Future</w:t>
      </w:r>
      <w:r w:rsidRPr="00DC049E">
        <w:rPr>
          <w:rFonts w:cs="Arial"/>
          <w:sz w:val="22"/>
          <w:szCs w:val="22"/>
        </w:rPr>
        <w:t xml:space="preserve"> [Online] Available at: </w:t>
      </w:r>
      <w:hyperlink r:id="rId26" w:history="1">
        <w:r w:rsidRPr="00DC049E">
          <w:rPr>
            <w:rStyle w:val="Hyperlink"/>
            <w:rFonts w:cs="Arial"/>
            <w:sz w:val="22"/>
            <w:szCs w:val="22"/>
          </w:rPr>
          <w:t>https://www.tesla.com/learn/earth-day-2025-were-committed-building-sustainable-future</w:t>
        </w:r>
      </w:hyperlink>
      <w:r w:rsidRPr="00DC049E">
        <w:rPr>
          <w:rFonts w:cs="Arial"/>
          <w:sz w:val="22"/>
          <w:szCs w:val="22"/>
        </w:rPr>
        <w:t xml:space="preserve">  Accessed: 11 November 2025</w:t>
      </w:r>
    </w:p>
    <w:p w14:paraId="25EDA921" w14:textId="77777777" w:rsidR="0011636B" w:rsidRPr="00DC049E" w:rsidRDefault="0011636B" w:rsidP="00EB60C7">
      <w:pPr>
        <w:spacing w:line="360" w:lineRule="auto"/>
        <w:rPr>
          <w:rFonts w:cs="Arial"/>
          <w:sz w:val="22"/>
          <w:szCs w:val="22"/>
        </w:rPr>
      </w:pPr>
      <w:r w:rsidRPr="00DC049E">
        <w:rPr>
          <w:rFonts w:cs="Arial"/>
          <w:sz w:val="22"/>
          <w:szCs w:val="22"/>
        </w:rPr>
        <w:t xml:space="preserve">The Financial Express (2023) </w:t>
      </w:r>
      <w:r w:rsidRPr="00DC049E">
        <w:rPr>
          <w:rFonts w:cs="Arial"/>
          <w:i/>
          <w:iCs/>
          <w:sz w:val="22"/>
          <w:szCs w:val="22"/>
        </w:rPr>
        <w:t>Jaguar Land Rover to invest 15 billion pounds for EV product offensive</w:t>
      </w:r>
      <w:r w:rsidRPr="00DC049E">
        <w:rPr>
          <w:rFonts w:cs="Arial"/>
          <w:sz w:val="22"/>
          <w:szCs w:val="22"/>
        </w:rPr>
        <w:t xml:space="preserve"> [Online] Available at: </w:t>
      </w:r>
      <w:hyperlink r:id="rId27" w:history="1">
        <w:r w:rsidRPr="00DC049E">
          <w:rPr>
            <w:rStyle w:val="Hyperlink"/>
            <w:rFonts w:cs="Arial"/>
            <w:sz w:val="22"/>
            <w:szCs w:val="22"/>
          </w:rPr>
          <w:t>https://www.financialexpress.com/business/express-mobility-jaguar-land-rover-to-invest-15-billion-pounds-for-ev-product-offensive-3054466/</w:t>
        </w:r>
      </w:hyperlink>
      <w:r w:rsidRPr="00DC049E">
        <w:rPr>
          <w:rFonts w:cs="Arial"/>
          <w:sz w:val="22"/>
          <w:szCs w:val="22"/>
        </w:rPr>
        <w:t xml:space="preserve">  Accessed: 11 November 2025 </w:t>
      </w:r>
    </w:p>
    <w:p w14:paraId="297E2943" w14:textId="77777777" w:rsidR="0011636B" w:rsidRPr="00DC049E" w:rsidRDefault="0011636B" w:rsidP="00EB60C7">
      <w:pPr>
        <w:spacing w:line="360" w:lineRule="auto"/>
        <w:rPr>
          <w:rFonts w:cs="Arial"/>
          <w:sz w:val="22"/>
          <w:szCs w:val="22"/>
        </w:rPr>
      </w:pPr>
      <w:r w:rsidRPr="00DC049E">
        <w:rPr>
          <w:rFonts w:cs="Arial"/>
          <w:sz w:val="22"/>
          <w:szCs w:val="22"/>
        </w:rPr>
        <w:t xml:space="preserve">Toyota (2023) </w:t>
      </w:r>
      <w:r w:rsidRPr="00DC049E">
        <w:rPr>
          <w:rFonts w:cs="Arial"/>
          <w:i/>
          <w:iCs/>
          <w:sz w:val="22"/>
          <w:szCs w:val="22"/>
        </w:rPr>
        <w:t>Toyota launches ‘Electrified Diversified’ Beyond Zero campaign</w:t>
      </w:r>
      <w:r w:rsidRPr="00DC049E">
        <w:rPr>
          <w:rFonts w:cs="Arial"/>
          <w:sz w:val="22"/>
          <w:szCs w:val="22"/>
        </w:rPr>
        <w:t xml:space="preserve"> [Online] Available at: </w:t>
      </w:r>
      <w:hyperlink r:id="rId28" w:history="1">
        <w:r w:rsidRPr="00DC049E">
          <w:rPr>
            <w:rStyle w:val="Hyperlink"/>
            <w:rFonts w:cs="Arial"/>
            <w:sz w:val="22"/>
            <w:szCs w:val="22"/>
          </w:rPr>
          <w:t>https://pressroom.toyota.com/toyota-launches-electrified-diversified-beyond-zero-campaign/</w:t>
        </w:r>
      </w:hyperlink>
      <w:r w:rsidRPr="00DC049E">
        <w:rPr>
          <w:rFonts w:cs="Arial"/>
          <w:sz w:val="22"/>
          <w:szCs w:val="22"/>
        </w:rPr>
        <w:t xml:space="preserve">  Accessed: 11 November 2025</w:t>
      </w:r>
    </w:p>
    <w:p w14:paraId="6801B3BF" w14:textId="77777777" w:rsidR="0011636B" w:rsidRPr="00DC049E" w:rsidRDefault="0011636B" w:rsidP="00EB60C7">
      <w:pPr>
        <w:spacing w:line="360" w:lineRule="auto"/>
        <w:rPr>
          <w:rFonts w:cs="Arial"/>
          <w:sz w:val="22"/>
          <w:szCs w:val="22"/>
        </w:rPr>
      </w:pPr>
      <w:r w:rsidRPr="00DC049E">
        <w:rPr>
          <w:rFonts w:cs="Arial"/>
          <w:sz w:val="22"/>
          <w:szCs w:val="22"/>
        </w:rPr>
        <w:t xml:space="preserve">Volkswagen Newsroom (2021) </w:t>
      </w:r>
      <w:r w:rsidRPr="00DC049E">
        <w:rPr>
          <w:rFonts w:cs="Arial"/>
          <w:i/>
          <w:iCs/>
          <w:sz w:val="22"/>
          <w:szCs w:val="22"/>
        </w:rPr>
        <w:t>Way to Zero: Volkswagen presents roadmap for climate-neutral mobility</w:t>
      </w:r>
      <w:r w:rsidRPr="00DC049E">
        <w:rPr>
          <w:rFonts w:cs="Arial"/>
          <w:sz w:val="22"/>
          <w:szCs w:val="22"/>
        </w:rPr>
        <w:t xml:space="preserve"> [Online] Available at: </w:t>
      </w:r>
      <w:hyperlink r:id="rId29" w:history="1">
        <w:r w:rsidRPr="00DC049E">
          <w:rPr>
            <w:rStyle w:val="Hyperlink"/>
            <w:rFonts w:cs="Arial"/>
            <w:sz w:val="22"/>
            <w:szCs w:val="22"/>
          </w:rPr>
          <w:t>https://www.volkswagen-newsroom.com/en/press-releases/way-to-zero-volkswagen-presents-roadmap-for-climate-neutral-mobility-7081</w:t>
        </w:r>
      </w:hyperlink>
      <w:r w:rsidRPr="00DC049E">
        <w:rPr>
          <w:rFonts w:cs="Arial"/>
          <w:sz w:val="22"/>
          <w:szCs w:val="22"/>
        </w:rPr>
        <w:t xml:space="preserve"> Accessed: 11 November 2025</w:t>
      </w:r>
    </w:p>
    <w:p w14:paraId="2459A05F" w14:textId="77777777" w:rsidR="0011636B" w:rsidRPr="00DC049E" w:rsidRDefault="0011636B" w:rsidP="00EB60C7">
      <w:pPr>
        <w:spacing w:line="360" w:lineRule="auto"/>
        <w:rPr>
          <w:rFonts w:cs="Arial"/>
          <w:sz w:val="22"/>
          <w:szCs w:val="22"/>
        </w:rPr>
      </w:pPr>
      <w:r w:rsidRPr="00DC049E">
        <w:rPr>
          <w:rFonts w:cs="Arial"/>
          <w:sz w:val="22"/>
          <w:szCs w:val="22"/>
        </w:rPr>
        <w:t xml:space="preserve">Volkswagen (2020) </w:t>
      </w:r>
      <w:r w:rsidRPr="00DC049E">
        <w:rPr>
          <w:rFonts w:cs="Arial"/>
          <w:i/>
          <w:iCs/>
          <w:sz w:val="22"/>
          <w:szCs w:val="22"/>
        </w:rPr>
        <w:t>Volkswagen commissions green battery logistics system for ID.301 and ID.402</w:t>
      </w:r>
      <w:r w:rsidRPr="00DC049E">
        <w:rPr>
          <w:rFonts w:cs="Arial"/>
          <w:sz w:val="22"/>
          <w:szCs w:val="22"/>
        </w:rPr>
        <w:t xml:space="preserve"> [Online] Available at: </w:t>
      </w:r>
      <w:hyperlink r:id="rId30" w:history="1">
        <w:r w:rsidRPr="00DC049E">
          <w:rPr>
            <w:rStyle w:val="Hyperlink"/>
            <w:rFonts w:cs="Arial"/>
            <w:sz w:val="22"/>
            <w:szCs w:val="22"/>
          </w:rPr>
          <w:t>https://www.volkswagen-group.com/en/press-releases/volkswagen-commissions-green-battery-logistics-system-for-id3-and-id4-16727</w:t>
        </w:r>
      </w:hyperlink>
      <w:r w:rsidRPr="00DC049E">
        <w:rPr>
          <w:rFonts w:cs="Arial"/>
          <w:sz w:val="22"/>
          <w:szCs w:val="22"/>
        </w:rPr>
        <w:t xml:space="preserve"> Accessed: 11 November 2025 </w:t>
      </w:r>
    </w:p>
    <w:p w14:paraId="1D6A2B44" w14:textId="77777777" w:rsidR="0011636B" w:rsidRPr="00DC049E" w:rsidRDefault="0011636B" w:rsidP="00EB60C7">
      <w:pPr>
        <w:spacing w:line="360" w:lineRule="auto"/>
        <w:rPr>
          <w:rFonts w:cs="Arial"/>
          <w:sz w:val="22"/>
          <w:szCs w:val="22"/>
        </w:rPr>
      </w:pPr>
      <w:r w:rsidRPr="00DC049E">
        <w:rPr>
          <w:rFonts w:cs="Arial"/>
          <w:sz w:val="22"/>
          <w:szCs w:val="22"/>
          <w:shd w:val="clear" w:color="auto" w:fill="FFFFFF"/>
        </w:rPr>
        <w:t xml:space="preserve">Whitfield, L. and </w:t>
      </w:r>
      <w:proofErr w:type="spellStart"/>
      <w:r w:rsidRPr="00DC049E">
        <w:rPr>
          <w:rFonts w:cs="Arial"/>
          <w:sz w:val="22"/>
          <w:szCs w:val="22"/>
          <w:shd w:val="clear" w:color="auto" w:fill="FFFFFF"/>
        </w:rPr>
        <w:t>Wuttke</w:t>
      </w:r>
      <w:proofErr w:type="spellEnd"/>
      <w:r w:rsidRPr="00DC049E">
        <w:rPr>
          <w:rFonts w:cs="Arial"/>
          <w:sz w:val="22"/>
          <w:szCs w:val="22"/>
          <w:shd w:val="clear" w:color="auto" w:fill="FFFFFF"/>
        </w:rPr>
        <w:t>, T.</w:t>
      </w:r>
      <w:r w:rsidR="00B63C65" w:rsidRPr="00DC049E">
        <w:rPr>
          <w:rFonts w:cs="Arial"/>
          <w:sz w:val="22"/>
          <w:szCs w:val="22"/>
          <w:shd w:val="clear" w:color="auto" w:fill="FFFFFF"/>
        </w:rPr>
        <w:t xml:space="preserve"> (</w:t>
      </w:r>
      <w:r w:rsidRPr="00DC049E">
        <w:rPr>
          <w:rFonts w:cs="Arial"/>
          <w:sz w:val="22"/>
          <w:szCs w:val="22"/>
          <w:shd w:val="clear" w:color="auto" w:fill="FFFFFF"/>
        </w:rPr>
        <w:t>2024</w:t>
      </w:r>
      <w:r w:rsidR="00B63C65" w:rsidRPr="00DC049E">
        <w:rPr>
          <w:rFonts w:cs="Arial"/>
          <w:sz w:val="22"/>
          <w:szCs w:val="22"/>
          <w:shd w:val="clear" w:color="auto" w:fill="FFFFFF"/>
        </w:rPr>
        <w:t>)</w:t>
      </w:r>
      <w:r w:rsidRPr="00DC049E">
        <w:rPr>
          <w:rFonts w:cs="Arial"/>
          <w:sz w:val="22"/>
          <w:szCs w:val="22"/>
          <w:shd w:val="clear" w:color="auto" w:fill="FFFFFF"/>
        </w:rPr>
        <w:t xml:space="preserve"> Incumbent Advantage, Barriers to Entry, and Latecomer Catch-up in the Global Automotive Industry.</w:t>
      </w:r>
      <w:r w:rsidRPr="00DC049E">
        <w:rPr>
          <w:rFonts w:cs="Arial"/>
          <w:sz w:val="22"/>
          <w:szCs w:val="22"/>
        </w:rPr>
        <w:t xml:space="preserve"> CBDS Working Paper 2024/3. Copenhagen Business School</w:t>
      </w:r>
    </w:p>
    <w:p w14:paraId="0D0A7F83" w14:textId="77777777" w:rsidR="00B63C65" w:rsidRPr="00DC049E" w:rsidRDefault="00B63C65" w:rsidP="00DC049E">
      <w:pPr>
        <w:rPr>
          <w:rFonts w:eastAsiaTheme="majorEastAsia" w:cstheme="majorBidi"/>
          <w:color w:val="2F5496" w:themeColor="accent1" w:themeShade="BF"/>
          <w:sz w:val="32"/>
          <w:szCs w:val="40"/>
        </w:rPr>
      </w:pPr>
      <w:r w:rsidRPr="00DC049E">
        <w:br w:type="page"/>
      </w:r>
    </w:p>
    <w:p w14:paraId="66CA73B8" w14:textId="77777777" w:rsidR="0011636B" w:rsidRDefault="0011636B" w:rsidP="0011636B">
      <w:pPr>
        <w:pStyle w:val="Heading1"/>
      </w:pPr>
      <w:bookmarkStart w:id="12" w:name="_Toc214354975"/>
      <w:r>
        <w:t>Appendices</w:t>
      </w:r>
      <w:bookmarkEnd w:id="12"/>
    </w:p>
    <w:p w14:paraId="7FC63D58" w14:textId="77777777" w:rsidR="0011636B" w:rsidRPr="00EB60C7" w:rsidRDefault="0011636B" w:rsidP="00DC049E">
      <w:pPr>
        <w:spacing w:line="360" w:lineRule="auto"/>
        <w:rPr>
          <w:rFonts w:cs="Arial"/>
          <w:b/>
          <w:bCs/>
          <w:sz w:val="22"/>
          <w:szCs w:val="22"/>
        </w:rPr>
      </w:pPr>
      <w:r w:rsidRPr="00EB60C7">
        <w:rPr>
          <w:rFonts w:cs="Arial"/>
          <w:b/>
          <w:bCs/>
          <w:sz w:val="22"/>
          <w:szCs w:val="22"/>
        </w:rPr>
        <w:t>Appendix A: Elements of  Macro Environment Source: Kotler and Keller, 2021</w:t>
      </w:r>
    </w:p>
    <w:p w14:paraId="732C618F" w14:textId="77777777" w:rsidR="0011636B" w:rsidRPr="00DC049E" w:rsidRDefault="0011636B" w:rsidP="00DC049E">
      <w:pPr>
        <w:keepNext/>
        <w:spacing w:line="360" w:lineRule="auto"/>
        <w:jc w:val="center"/>
        <w:rPr>
          <w:rFonts w:cs="Arial"/>
          <w:sz w:val="22"/>
          <w:szCs w:val="22"/>
        </w:rPr>
      </w:pPr>
      <w:r w:rsidRPr="00DC049E">
        <w:rPr>
          <w:rFonts w:cs="Arial"/>
          <w:sz w:val="22"/>
          <w:szCs w:val="22"/>
        </w:rPr>
        <w:fldChar w:fldCharType="begin"/>
      </w:r>
      <w:r w:rsidRPr="00DC049E">
        <w:rPr>
          <w:rFonts w:cs="Arial"/>
          <w:sz w:val="22"/>
          <w:szCs w:val="22"/>
        </w:rPr>
        <w:instrText xml:space="preserve"> INCLUDEPICTURE "https://th.bing.com/th/id/R.dfc478d956b2af54fd28b6e359f1c36e?rik=ErZFmxjG0PnXXg&amp;pid=ImgRaw&amp;r=0" \* MERGEFORMATINET </w:instrText>
      </w:r>
      <w:r w:rsidRPr="00DC049E">
        <w:rPr>
          <w:rFonts w:cs="Arial"/>
          <w:sz w:val="22"/>
          <w:szCs w:val="22"/>
        </w:rPr>
        <w:fldChar w:fldCharType="separate"/>
      </w:r>
      <w:r w:rsidRPr="00DC049E">
        <w:rPr>
          <w:rFonts w:cs="Arial"/>
          <w:noProof/>
          <w:sz w:val="22"/>
          <w:szCs w:val="22"/>
        </w:rPr>
        <w:drawing>
          <wp:inline distT="0" distB="0" distL="0" distR="0" wp14:anchorId="57D518A0" wp14:editId="251E9422">
            <wp:extent cx="5544981" cy="3920067"/>
            <wp:effectExtent l="0" t="0" r="5080" b="4445"/>
            <wp:docPr id="2101856540" name="Picture 2" descr="The Macro Environment - India Diction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Macro Environment - India Dictionary"/>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54316" cy="3926666"/>
                    </a:xfrm>
                    <a:prstGeom prst="rect">
                      <a:avLst/>
                    </a:prstGeom>
                    <a:noFill/>
                    <a:ln>
                      <a:noFill/>
                    </a:ln>
                  </pic:spPr>
                </pic:pic>
              </a:graphicData>
            </a:graphic>
          </wp:inline>
        </w:drawing>
      </w:r>
      <w:r w:rsidRPr="00DC049E">
        <w:rPr>
          <w:rFonts w:cs="Arial"/>
          <w:sz w:val="22"/>
          <w:szCs w:val="22"/>
        </w:rPr>
        <w:fldChar w:fldCharType="end"/>
      </w:r>
    </w:p>
    <w:p w14:paraId="08A7B040" w14:textId="77777777" w:rsidR="0011636B" w:rsidRPr="00EB60C7" w:rsidRDefault="0011636B" w:rsidP="00DC049E">
      <w:pPr>
        <w:spacing w:line="360" w:lineRule="auto"/>
        <w:rPr>
          <w:rFonts w:cs="Arial"/>
          <w:b/>
          <w:bCs/>
          <w:sz w:val="22"/>
          <w:szCs w:val="22"/>
        </w:rPr>
      </w:pPr>
      <w:r w:rsidRPr="00EB60C7">
        <w:rPr>
          <w:rFonts w:cs="Arial"/>
          <w:b/>
          <w:bCs/>
          <w:sz w:val="22"/>
          <w:szCs w:val="22"/>
        </w:rPr>
        <w:t>Appendix B: Elements of PESTLE  Source: Jones, 2022</w:t>
      </w:r>
    </w:p>
    <w:p w14:paraId="2421401F" w14:textId="77777777" w:rsidR="0011636B" w:rsidRPr="00DC049E" w:rsidRDefault="0011636B" w:rsidP="00DC049E">
      <w:pPr>
        <w:keepNext/>
        <w:spacing w:line="360" w:lineRule="auto"/>
        <w:jc w:val="center"/>
        <w:rPr>
          <w:rFonts w:cs="Arial"/>
          <w:sz w:val="22"/>
          <w:szCs w:val="22"/>
        </w:rPr>
      </w:pPr>
      <w:r w:rsidRPr="00DC049E">
        <w:rPr>
          <w:rFonts w:cs="Arial"/>
          <w:sz w:val="22"/>
          <w:szCs w:val="22"/>
        </w:rPr>
        <w:fldChar w:fldCharType="begin"/>
      </w:r>
      <w:r w:rsidRPr="00DC049E">
        <w:rPr>
          <w:rFonts w:cs="Arial"/>
          <w:sz w:val="22"/>
          <w:szCs w:val="22"/>
        </w:rPr>
        <w:instrText xml:space="preserve"> INCLUDEPICTURE "https://localiq.co.uk/wp-content/uploads/2022/04/PESTLE-analysis-scaled.jpg" \* MERGEFORMATINET </w:instrText>
      </w:r>
      <w:r w:rsidRPr="00DC049E">
        <w:rPr>
          <w:rFonts w:cs="Arial"/>
          <w:sz w:val="22"/>
          <w:szCs w:val="22"/>
        </w:rPr>
        <w:fldChar w:fldCharType="separate"/>
      </w:r>
      <w:r w:rsidRPr="00DC049E">
        <w:rPr>
          <w:rFonts w:cs="Arial"/>
          <w:noProof/>
          <w:sz w:val="22"/>
          <w:szCs w:val="22"/>
        </w:rPr>
        <w:drawing>
          <wp:inline distT="0" distB="0" distL="0" distR="0" wp14:anchorId="2125A64F" wp14:editId="3C69E2E4">
            <wp:extent cx="5136985" cy="3632200"/>
            <wp:effectExtent l="0" t="0" r="0" b="0"/>
            <wp:docPr id="75582801" name="Picture 3" descr="A guide to SWOT and PESTLE analysis (with FRE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guide to SWOT and PESTLE analysis (with FREE Templat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197370" cy="3674896"/>
                    </a:xfrm>
                    <a:prstGeom prst="rect">
                      <a:avLst/>
                    </a:prstGeom>
                    <a:noFill/>
                    <a:ln>
                      <a:noFill/>
                    </a:ln>
                  </pic:spPr>
                </pic:pic>
              </a:graphicData>
            </a:graphic>
          </wp:inline>
        </w:drawing>
      </w:r>
      <w:r w:rsidRPr="00DC049E">
        <w:rPr>
          <w:rFonts w:cs="Arial"/>
          <w:sz w:val="22"/>
          <w:szCs w:val="22"/>
        </w:rPr>
        <w:fldChar w:fldCharType="end"/>
      </w:r>
    </w:p>
    <w:p w14:paraId="2AA5B9EF" w14:textId="77777777" w:rsidR="0011636B" w:rsidRPr="00EB60C7" w:rsidRDefault="0011636B" w:rsidP="00DC049E">
      <w:pPr>
        <w:spacing w:line="360" w:lineRule="auto"/>
        <w:rPr>
          <w:rFonts w:cs="Arial"/>
          <w:b/>
          <w:bCs/>
          <w:sz w:val="22"/>
          <w:szCs w:val="22"/>
        </w:rPr>
      </w:pPr>
      <w:r w:rsidRPr="00EB60C7">
        <w:rPr>
          <w:rFonts w:cs="Arial"/>
          <w:b/>
          <w:bCs/>
          <w:sz w:val="22"/>
          <w:szCs w:val="22"/>
        </w:rPr>
        <w:t>Appendix C: Elements of SWOT Source: Jones, 2022</w:t>
      </w:r>
    </w:p>
    <w:p w14:paraId="32DAC30B" w14:textId="77777777" w:rsidR="0011636B" w:rsidRPr="00DC049E" w:rsidRDefault="0011636B" w:rsidP="00DC049E">
      <w:pPr>
        <w:keepNext/>
        <w:spacing w:line="360" w:lineRule="auto"/>
        <w:jc w:val="center"/>
        <w:rPr>
          <w:rFonts w:cs="Arial"/>
          <w:sz w:val="22"/>
          <w:szCs w:val="22"/>
        </w:rPr>
      </w:pPr>
      <w:r w:rsidRPr="00DC049E">
        <w:rPr>
          <w:rFonts w:cs="Arial"/>
          <w:sz w:val="22"/>
          <w:szCs w:val="22"/>
        </w:rPr>
        <w:fldChar w:fldCharType="begin"/>
      </w:r>
      <w:r w:rsidRPr="00DC049E">
        <w:rPr>
          <w:rFonts w:cs="Arial"/>
          <w:sz w:val="22"/>
          <w:szCs w:val="22"/>
        </w:rPr>
        <w:instrText xml:space="preserve"> INCLUDEPICTURE "https://localiq.co.uk/wp-content/uploads/2022/04/SWOT-questions1-scaled.jpg" \* MERGEFORMATINET </w:instrText>
      </w:r>
      <w:r w:rsidRPr="00DC049E">
        <w:rPr>
          <w:rFonts w:cs="Arial"/>
          <w:sz w:val="22"/>
          <w:szCs w:val="22"/>
        </w:rPr>
        <w:fldChar w:fldCharType="separate"/>
      </w:r>
      <w:r w:rsidRPr="00DC049E">
        <w:rPr>
          <w:rFonts w:cs="Arial"/>
          <w:noProof/>
          <w:sz w:val="22"/>
          <w:szCs w:val="22"/>
        </w:rPr>
        <w:drawing>
          <wp:inline distT="0" distB="0" distL="0" distR="0" wp14:anchorId="45321587" wp14:editId="2D70A792">
            <wp:extent cx="4933420" cy="3488267"/>
            <wp:effectExtent l="0" t="0" r="0" b="4445"/>
            <wp:docPr id="248323674" name="Picture 4" descr="What Is Swot Analysis For Interview - Design Tal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Swot Analysis For Interview - Design Talk"/>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989193" cy="3527702"/>
                    </a:xfrm>
                    <a:prstGeom prst="rect">
                      <a:avLst/>
                    </a:prstGeom>
                    <a:noFill/>
                    <a:ln>
                      <a:noFill/>
                    </a:ln>
                  </pic:spPr>
                </pic:pic>
              </a:graphicData>
            </a:graphic>
          </wp:inline>
        </w:drawing>
      </w:r>
      <w:r w:rsidRPr="00DC049E">
        <w:rPr>
          <w:rFonts w:cs="Arial"/>
          <w:sz w:val="22"/>
          <w:szCs w:val="22"/>
        </w:rPr>
        <w:fldChar w:fldCharType="end"/>
      </w:r>
    </w:p>
    <w:p w14:paraId="0D793FD6" w14:textId="77777777" w:rsidR="0011636B" w:rsidRPr="00EB60C7" w:rsidRDefault="0011636B" w:rsidP="00DC049E">
      <w:pPr>
        <w:spacing w:line="360" w:lineRule="auto"/>
        <w:rPr>
          <w:rFonts w:cs="Arial"/>
          <w:b/>
          <w:bCs/>
          <w:sz w:val="22"/>
          <w:szCs w:val="22"/>
        </w:rPr>
      </w:pPr>
      <w:r w:rsidRPr="00EB60C7">
        <w:rPr>
          <w:rFonts w:cs="Arial"/>
          <w:b/>
          <w:bCs/>
          <w:sz w:val="22"/>
          <w:szCs w:val="22"/>
        </w:rPr>
        <w:t xml:space="preserve">Appendix D: </w:t>
      </w:r>
      <w:proofErr w:type="spellStart"/>
      <w:r w:rsidRPr="00EB60C7">
        <w:rPr>
          <w:rFonts w:cs="Arial"/>
          <w:b/>
          <w:bCs/>
          <w:sz w:val="22"/>
          <w:szCs w:val="22"/>
        </w:rPr>
        <w:t>Ansoff's</w:t>
      </w:r>
      <w:proofErr w:type="spellEnd"/>
      <w:r w:rsidRPr="00EB60C7">
        <w:rPr>
          <w:rFonts w:cs="Arial"/>
          <w:b/>
          <w:bCs/>
          <w:sz w:val="22"/>
          <w:szCs w:val="22"/>
        </w:rPr>
        <w:t xml:space="preserve"> Growth Matrix Source: Corporate Finance Institute, 2025</w:t>
      </w:r>
    </w:p>
    <w:p w14:paraId="7F92A91D" w14:textId="77777777" w:rsidR="0011636B" w:rsidRPr="00DC049E" w:rsidRDefault="0011636B" w:rsidP="00EB60C7">
      <w:pPr>
        <w:spacing w:line="360" w:lineRule="auto"/>
        <w:jc w:val="center"/>
        <w:rPr>
          <w:rFonts w:cs="Arial"/>
          <w:sz w:val="22"/>
          <w:szCs w:val="22"/>
        </w:rPr>
      </w:pPr>
      <w:r w:rsidRPr="00DC049E">
        <w:rPr>
          <w:rFonts w:cs="Arial"/>
          <w:sz w:val="22"/>
          <w:szCs w:val="22"/>
        </w:rPr>
        <w:fldChar w:fldCharType="begin"/>
      </w:r>
      <w:r w:rsidRPr="00DC049E">
        <w:rPr>
          <w:rFonts w:cs="Arial"/>
          <w:sz w:val="22"/>
          <w:szCs w:val="22"/>
        </w:rPr>
        <w:instrText xml:space="preserve"> INCLUDEPICTURE "https://cdn.corporatefinanceinstitute.com/assets/ansoff-matrix-1.png" \* MERGEFORMATINET </w:instrText>
      </w:r>
      <w:r w:rsidRPr="00DC049E">
        <w:rPr>
          <w:rFonts w:cs="Arial"/>
          <w:sz w:val="22"/>
          <w:szCs w:val="22"/>
        </w:rPr>
        <w:fldChar w:fldCharType="separate"/>
      </w:r>
      <w:r w:rsidRPr="00DC049E">
        <w:rPr>
          <w:rFonts w:cs="Arial"/>
          <w:noProof/>
          <w:sz w:val="22"/>
          <w:szCs w:val="22"/>
        </w:rPr>
        <w:drawing>
          <wp:inline distT="0" distB="0" distL="0" distR="0" wp14:anchorId="55D96979" wp14:editId="10B03435">
            <wp:extent cx="5731510" cy="3322955"/>
            <wp:effectExtent l="0" t="0" r="0" b="4445"/>
            <wp:docPr id="952439247" name="Picture 1" descr="Ansoff Matrix - Overview, Strategies and Practical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 Overview, Strategies and Practical Examples"/>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322955"/>
                    </a:xfrm>
                    <a:prstGeom prst="rect">
                      <a:avLst/>
                    </a:prstGeom>
                    <a:noFill/>
                    <a:ln>
                      <a:noFill/>
                    </a:ln>
                  </pic:spPr>
                </pic:pic>
              </a:graphicData>
            </a:graphic>
          </wp:inline>
        </w:drawing>
      </w:r>
      <w:r w:rsidRPr="00DC049E">
        <w:rPr>
          <w:rFonts w:cs="Arial"/>
          <w:sz w:val="22"/>
          <w:szCs w:val="22"/>
        </w:rPr>
        <w:fldChar w:fldCharType="end"/>
      </w:r>
    </w:p>
    <w:p w14:paraId="5537C6DE" w14:textId="77777777" w:rsidR="00F679E2" w:rsidRPr="00DC049E" w:rsidRDefault="00F679E2" w:rsidP="00DC049E">
      <w:pPr>
        <w:spacing w:line="360" w:lineRule="auto"/>
        <w:rPr>
          <w:rFonts w:cs="Arial"/>
          <w:sz w:val="22"/>
          <w:szCs w:val="22"/>
        </w:rPr>
      </w:pPr>
    </w:p>
    <w:sectPr w:rsidR="00F679E2" w:rsidRPr="00DC049E">
      <w:footerReference w:type="even"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EE0E54" w14:textId="77777777" w:rsidR="00F53A96" w:rsidRDefault="00F53A96" w:rsidP="00EB60C7">
      <w:r>
        <w:separator/>
      </w:r>
    </w:p>
  </w:endnote>
  <w:endnote w:type="continuationSeparator" w:id="0">
    <w:p w14:paraId="78561344" w14:textId="77777777" w:rsidR="00F53A96" w:rsidRDefault="00F53A96" w:rsidP="00EB60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Helvetica">
    <w:panose1 w:val="020B0504020202020204"/>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29628959"/>
      <w:docPartObj>
        <w:docPartGallery w:val="Page Numbers (Bottom of Page)"/>
        <w:docPartUnique/>
      </w:docPartObj>
    </w:sdtPr>
    <w:sdtEndPr>
      <w:rPr>
        <w:rStyle w:val="PageNumber"/>
      </w:rPr>
    </w:sdtEndPr>
    <w:sdtContent>
      <w:p w14:paraId="691D5450" w14:textId="77777777" w:rsidR="00EB60C7" w:rsidRDefault="00EB60C7" w:rsidP="004762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38767A" w14:textId="77777777" w:rsidR="00EB60C7" w:rsidRDefault="00EB60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95762582"/>
      <w:docPartObj>
        <w:docPartGallery w:val="Page Numbers (Bottom of Page)"/>
        <w:docPartUnique/>
      </w:docPartObj>
    </w:sdtPr>
    <w:sdtEndPr>
      <w:rPr>
        <w:rStyle w:val="PageNumber"/>
      </w:rPr>
    </w:sdtEndPr>
    <w:sdtContent>
      <w:p w14:paraId="04C1AF03" w14:textId="77777777" w:rsidR="00EB60C7" w:rsidRDefault="00EB60C7" w:rsidP="004762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63C4BC" w14:textId="77777777" w:rsidR="00EB60C7" w:rsidRDefault="00EB60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0A3259" w14:textId="77777777" w:rsidR="00F53A96" w:rsidRDefault="00F53A96" w:rsidP="00EB60C7">
      <w:r>
        <w:separator/>
      </w:r>
    </w:p>
  </w:footnote>
  <w:footnote w:type="continuationSeparator" w:id="0">
    <w:p w14:paraId="2C2B92EC" w14:textId="77777777" w:rsidR="00F53A96" w:rsidRDefault="00F53A96" w:rsidP="00EB60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B49F9"/>
    <w:multiLevelType w:val="hybridMultilevel"/>
    <w:tmpl w:val="3BD23C94"/>
    <w:lvl w:ilvl="0" w:tplc="43A0C060">
      <w:start w:val="1"/>
      <w:numFmt w:val="bullet"/>
      <w:lvlText w:val="•"/>
      <w:lvlJc w:val="left"/>
      <w:pPr>
        <w:tabs>
          <w:tab w:val="num" w:pos="360"/>
        </w:tabs>
        <w:ind w:left="360" w:hanging="360"/>
      </w:pPr>
      <w:rPr>
        <w:rFonts w:ascii="Arial" w:hAnsi="Arial" w:hint="default"/>
      </w:rPr>
    </w:lvl>
    <w:lvl w:ilvl="1" w:tplc="D852720C" w:tentative="1">
      <w:start w:val="1"/>
      <w:numFmt w:val="bullet"/>
      <w:lvlText w:val="•"/>
      <w:lvlJc w:val="left"/>
      <w:pPr>
        <w:tabs>
          <w:tab w:val="num" w:pos="1080"/>
        </w:tabs>
        <w:ind w:left="1080" w:hanging="360"/>
      </w:pPr>
      <w:rPr>
        <w:rFonts w:ascii="Arial" w:hAnsi="Arial" w:hint="default"/>
      </w:rPr>
    </w:lvl>
    <w:lvl w:ilvl="2" w:tplc="CD98C434" w:tentative="1">
      <w:start w:val="1"/>
      <w:numFmt w:val="bullet"/>
      <w:lvlText w:val="•"/>
      <w:lvlJc w:val="left"/>
      <w:pPr>
        <w:tabs>
          <w:tab w:val="num" w:pos="1800"/>
        </w:tabs>
        <w:ind w:left="1800" w:hanging="360"/>
      </w:pPr>
      <w:rPr>
        <w:rFonts w:ascii="Arial" w:hAnsi="Arial" w:hint="default"/>
      </w:rPr>
    </w:lvl>
    <w:lvl w:ilvl="3" w:tplc="9990C176" w:tentative="1">
      <w:start w:val="1"/>
      <w:numFmt w:val="bullet"/>
      <w:lvlText w:val="•"/>
      <w:lvlJc w:val="left"/>
      <w:pPr>
        <w:tabs>
          <w:tab w:val="num" w:pos="2520"/>
        </w:tabs>
        <w:ind w:left="2520" w:hanging="360"/>
      </w:pPr>
      <w:rPr>
        <w:rFonts w:ascii="Arial" w:hAnsi="Arial" w:hint="default"/>
      </w:rPr>
    </w:lvl>
    <w:lvl w:ilvl="4" w:tplc="5BB0C9BA" w:tentative="1">
      <w:start w:val="1"/>
      <w:numFmt w:val="bullet"/>
      <w:lvlText w:val="•"/>
      <w:lvlJc w:val="left"/>
      <w:pPr>
        <w:tabs>
          <w:tab w:val="num" w:pos="3240"/>
        </w:tabs>
        <w:ind w:left="3240" w:hanging="360"/>
      </w:pPr>
      <w:rPr>
        <w:rFonts w:ascii="Arial" w:hAnsi="Arial" w:hint="default"/>
      </w:rPr>
    </w:lvl>
    <w:lvl w:ilvl="5" w:tplc="9DA433EC" w:tentative="1">
      <w:start w:val="1"/>
      <w:numFmt w:val="bullet"/>
      <w:lvlText w:val="•"/>
      <w:lvlJc w:val="left"/>
      <w:pPr>
        <w:tabs>
          <w:tab w:val="num" w:pos="3960"/>
        </w:tabs>
        <w:ind w:left="3960" w:hanging="360"/>
      </w:pPr>
      <w:rPr>
        <w:rFonts w:ascii="Arial" w:hAnsi="Arial" w:hint="default"/>
      </w:rPr>
    </w:lvl>
    <w:lvl w:ilvl="6" w:tplc="5B428EB6" w:tentative="1">
      <w:start w:val="1"/>
      <w:numFmt w:val="bullet"/>
      <w:lvlText w:val="•"/>
      <w:lvlJc w:val="left"/>
      <w:pPr>
        <w:tabs>
          <w:tab w:val="num" w:pos="4680"/>
        </w:tabs>
        <w:ind w:left="4680" w:hanging="360"/>
      </w:pPr>
      <w:rPr>
        <w:rFonts w:ascii="Arial" w:hAnsi="Arial" w:hint="default"/>
      </w:rPr>
    </w:lvl>
    <w:lvl w:ilvl="7" w:tplc="86C23B18" w:tentative="1">
      <w:start w:val="1"/>
      <w:numFmt w:val="bullet"/>
      <w:lvlText w:val="•"/>
      <w:lvlJc w:val="left"/>
      <w:pPr>
        <w:tabs>
          <w:tab w:val="num" w:pos="5400"/>
        </w:tabs>
        <w:ind w:left="5400" w:hanging="360"/>
      </w:pPr>
      <w:rPr>
        <w:rFonts w:ascii="Arial" w:hAnsi="Arial" w:hint="default"/>
      </w:rPr>
    </w:lvl>
    <w:lvl w:ilvl="8" w:tplc="82D0F83E" w:tentative="1">
      <w:start w:val="1"/>
      <w:numFmt w:val="bullet"/>
      <w:lvlText w:val="•"/>
      <w:lvlJc w:val="left"/>
      <w:pPr>
        <w:tabs>
          <w:tab w:val="num" w:pos="6120"/>
        </w:tabs>
        <w:ind w:left="6120" w:hanging="360"/>
      </w:pPr>
      <w:rPr>
        <w:rFonts w:ascii="Arial" w:hAnsi="Arial" w:hint="default"/>
      </w:rPr>
    </w:lvl>
  </w:abstractNum>
  <w:abstractNum w:abstractNumId="1" w15:restartNumberingAfterBreak="0">
    <w:nsid w:val="057B705F"/>
    <w:multiLevelType w:val="hybridMultilevel"/>
    <w:tmpl w:val="8500E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097E17"/>
    <w:multiLevelType w:val="hybridMultilevel"/>
    <w:tmpl w:val="14FC7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2017943">
    <w:abstractNumId w:val="0"/>
  </w:num>
  <w:num w:numId="2" w16cid:durableId="402609625">
    <w:abstractNumId w:val="2"/>
  </w:num>
  <w:num w:numId="3" w16cid:durableId="3434397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C7B"/>
    <w:rsid w:val="000200BE"/>
    <w:rsid w:val="00037B4F"/>
    <w:rsid w:val="00043CB4"/>
    <w:rsid w:val="00060B12"/>
    <w:rsid w:val="00084C0E"/>
    <w:rsid w:val="00087C7B"/>
    <w:rsid w:val="000E7BA7"/>
    <w:rsid w:val="000F0004"/>
    <w:rsid w:val="00100C7E"/>
    <w:rsid w:val="00111895"/>
    <w:rsid w:val="0011636B"/>
    <w:rsid w:val="00124C0C"/>
    <w:rsid w:val="00127C86"/>
    <w:rsid w:val="001645FC"/>
    <w:rsid w:val="001A6DCC"/>
    <w:rsid w:val="001B02AF"/>
    <w:rsid w:val="001C17E3"/>
    <w:rsid w:val="001D189B"/>
    <w:rsid w:val="001D4792"/>
    <w:rsid w:val="00206BE3"/>
    <w:rsid w:val="002557ED"/>
    <w:rsid w:val="00287AFE"/>
    <w:rsid w:val="003153F0"/>
    <w:rsid w:val="003665CA"/>
    <w:rsid w:val="0037030E"/>
    <w:rsid w:val="0037675D"/>
    <w:rsid w:val="003A5F0B"/>
    <w:rsid w:val="003B58C3"/>
    <w:rsid w:val="003C3CDD"/>
    <w:rsid w:val="003C67B0"/>
    <w:rsid w:val="00454BE3"/>
    <w:rsid w:val="00454D77"/>
    <w:rsid w:val="00483269"/>
    <w:rsid w:val="004B13FA"/>
    <w:rsid w:val="00544463"/>
    <w:rsid w:val="005546AC"/>
    <w:rsid w:val="00576762"/>
    <w:rsid w:val="00637A1C"/>
    <w:rsid w:val="00643B94"/>
    <w:rsid w:val="006B4D76"/>
    <w:rsid w:val="006D128A"/>
    <w:rsid w:val="006E6A8C"/>
    <w:rsid w:val="0070315C"/>
    <w:rsid w:val="007A1B91"/>
    <w:rsid w:val="007A1FDE"/>
    <w:rsid w:val="007A34E0"/>
    <w:rsid w:val="007C62AF"/>
    <w:rsid w:val="007E13EA"/>
    <w:rsid w:val="007F7D51"/>
    <w:rsid w:val="008207E1"/>
    <w:rsid w:val="008E52A2"/>
    <w:rsid w:val="008F3F19"/>
    <w:rsid w:val="00943882"/>
    <w:rsid w:val="00991C65"/>
    <w:rsid w:val="00AA67CB"/>
    <w:rsid w:val="00B02B21"/>
    <w:rsid w:val="00B03853"/>
    <w:rsid w:val="00B63C65"/>
    <w:rsid w:val="00B7672B"/>
    <w:rsid w:val="00B856ED"/>
    <w:rsid w:val="00B9339C"/>
    <w:rsid w:val="00BA2B69"/>
    <w:rsid w:val="00BC0AF9"/>
    <w:rsid w:val="00BD1779"/>
    <w:rsid w:val="00BE450B"/>
    <w:rsid w:val="00C44D02"/>
    <w:rsid w:val="00C51758"/>
    <w:rsid w:val="00CC256A"/>
    <w:rsid w:val="00CF1E52"/>
    <w:rsid w:val="00D23D64"/>
    <w:rsid w:val="00D52AF2"/>
    <w:rsid w:val="00DC049E"/>
    <w:rsid w:val="00DE717A"/>
    <w:rsid w:val="00DF58D4"/>
    <w:rsid w:val="00E12259"/>
    <w:rsid w:val="00E254B2"/>
    <w:rsid w:val="00E26173"/>
    <w:rsid w:val="00EA37DA"/>
    <w:rsid w:val="00EA49A6"/>
    <w:rsid w:val="00EA5D45"/>
    <w:rsid w:val="00EB60C7"/>
    <w:rsid w:val="00ED142F"/>
    <w:rsid w:val="00ED6B36"/>
    <w:rsid w:val="00EE27CA"/>
    <w:rsid w:val="00F1303B"/>
    <w:rsid w:val="00F53A96"/>
    <w:rsid w:val="00F6300E"/>
    <w:rsid w:val="00F679E2"/>
    <w:rsid w:val="00F91682"/>
    <w:rsid w:val="00FC3EA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8F08E"/>
  <w15:chartTrackingRefBased/>
  <w15:docId w15:val="{CA31DA70-0224-4748-AB89-46F09E727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6DCC"/>
    <w:pPr>
      <w:spacing w:before="240" w:after="240"/>
      <w:jc w:val="both"/>
    </w:pPr>
    <w:rPr>
      <w:rFonts w:ascii="Arial" w:hAnsi="Arial" w:cs="Vrinda"/>
    </w:rPr>
  </w:style>
  <w:style w:type="paragraph" w:styleId="Heading1">
    <w:name w:val="heading 1"/>
    <w:basedOn w:val="Normal"/>
    <w:next w:val="Normal"/>
    <w:link w:val="Heading1Char"/>
    <w:uiPriority w:val="9"/>
    <w:qFormat/>
    <w:rsid w:val="008207E1"/>
    <w:pPr>
      <w:keepNext/>
      <w:keepLines/>
      <w:spacing w:line="360" w:lineRule="auto"/>
      <w:outlineLvl w:val="0"/>
    </w:pPr>
    <w:rPr>
      <w:rFonts w:eastAsiaTheme="majorEastAsia"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70315C"/>
    <w:pPr>
      <w:keepNext/>
      <w:keepLines/>
      <w:spacing w:before="40" w:line="360" w:lineRule="auto"/>
      <w:outlineLvl w:val="1"/>
    </w:pPr>
    <w:rPr>
      <w:rFonts w:eastAsiaTheme="majorEastAsia" w:cstheme="majorBidi"/>
      <w:color w:val="2F5496" w:themeColor="accent1" w:themeShade="BF"/>
      <w:sz w:val="26"/>
      <w:szCs w:val="33"/>
    </w:rPr>
  </w:style>
  <w:style w:type="paragraph" w:styleId="Heading3">
    <w:name w:val="heading 3"/>
    <w:basedOn w:val="Normal"/>
    <w:next w:val="Normal"/>
    <w:link w:val="Heading3Char"/>
    <w:uiPriority w:val="9"/>
    <w:unhideWhenUsed/>
    <w:qFormat/>
    <w:rsid w:val="00483269"/>
    <w:pPr>
      <w:keepNext/>
      <w:keepLines/>
      <w:spacing w:before="40" w:line="360" w:lineRule="auto"/>
      <w:outlineLvl w:val="2"/>
    </w:pPr>
    <w:rPr>
      <w:rFonts w:eastAsiaTheme="majorEastAsia"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087C7B"/>
    <w:rPr>
      <w:rFonts w:ascii="Helvetica" w:eastAsia="Times New Roman" w:hAnsi="Helvetica" w:cs="Times New Roman"/>
      <w:color w:val="000000"/>
      <w:kern w:val="0"/>
      <w:sz w:val="17"/>
      <w:szCs w:val="17"/>
      <w:lang w:eastAsia="en-GB"/>
      <w14:ligatures w14:val="none"/>
    </w:rPr>
  </w:style>
  <w:style w:type="paragraph" w:styleId="ListParagraph">
    <w:name w:val="List Paragraph"/>
    <w:basedOn w:val="Normal"/>
    <w:uiPriority w:val="34"/>
    <w:qFormat/>
    <w:rsid w:val="00087C7B"/>
    <w:pPr>
      <w:ind w:left="720"/>
      <w:contextualSpacing/>
    </w:pPr>
  </w:style>
  <w:style w:type="character" w:customStyle="1" w:styleId="Heading1Char">
    <w:name w:val="Heading 1 Char"/>
    <w:basedOn w:val="DefaultParagraphFont"/>
    <w:link w:val="Heading1"/>
    <w:uiPriority w:val="9"/>
    <w:rsid w:val="008207E1"/>
    <w:rPr>
      <w:rFonts w:ascii="Arial" w:eastAsiaTheme="majorEastAsia" w:hAnsi="Arial" w:cstheme="majorBidi"/>
      <w:color w:val="2F5496" w:themeColor="accent1" w:themeShade="BF"/>
      <w:sz w:val="32"/>
      <w:szCs w:val="40"/>
    </w:rPr>
  </w:style>
  <w:style w:type="character" w:customStyle="1" w:styleId="Heading2Char">
    <w:name w:val="Heading 2 Char"/>
    <w:basedOn w:val="DefaultParagraphFont"/>
    <w:link w:val="Heading2"/>
    <w:uiPriority w:val="9"/>
    <w:rsid w:val="0070315C"/>
    <w:rPr>
      <w:rFonts w:ascii="Arial" w:eastAsiaTheme="majorEastAsia" w:hAnsi="Arial" w:cstheme="majorBidi"/>
      <w:color w:val="2F5496" w:themeColor="accent1" w:themeShade="BF"/>
      <w:sz w:val="26"/>
      <w:szCs w:val="33"/>
    </w:rPr>
  </w:style>
  <w:style w:type="character" w:styleId="Strong">
    <w:name w:val="Strong"/>
    <w:basedOn w:val="DefaultParagraphFont"/>
    <w:uiPriority w:val="22"/>
    <w:qFormat/>
    <w:rsid w:val="0070315C"/>
    <w:rPr>
      <w:b/>
      <w:bCs/>
    </w:rPr>
  </w:style>
  <w:style w:type="paragraph" w:styleId="Caption">
    <w:name w:val="caption"/>
    <w:basedOn w:val="Normal"/>
    <w:next w:val="Normal"/>
    <w:uiPriority w:val="35"/>
    <w:unhideWhenUsed/>
    <w:qFormat/>
    <w:rsid w:val="00B9339C"/>
    <w:pPr>
      <w:spacing w:after="200"/>
    </w:pPr>
    <w:rPr>
      <w:i/>
      <w:iCs/>
      <w:color w:val="44546A" w:themeColor="text2"/>
      <w:sz w:val="18"/>
      <w:szCs w:val="22"/>
    </w:rPr>
  </w:style>
  <w:style w:type="character" w:styleId="Emphasis">
    <w:name w:val="Emphasis"/>
    <w:basedOn w:val="DefaultParagraphFont"/>
    <w:uiPriority w:val="20"/>
    <w:qFormat/>
    <w:rsid w:val="003665CA"/>
    <w:rPr>
      <w:i/>
      <w:iCs/>
    </w:rPr>
  </w:style>
  <w:style w:type="character" w:styleId="Hyperlink">
    <w:name w:val="Hyperlink"/>
    <w:basedOn w:val="DefaultParagraphFont"/>
    <w:uiPriority w:val="99"/>
    <w:unhideWhenUsed/>
    <w:rsid w:val="003665CA"/>
    <w:rPr>
      <w:color w:val="0563C1" w:themeColor="hyperlink"/>
      <w:u w:val="single"/>
    </w:rPr>
  </w:style>
  <w:style w:type="paragraph" w:styleId="NormalWeb">
    <w:name w:val="Normal (Web)"/>
    <w:basedOn w:val="Normal"/>
    <w:uiPriority w:val="99"/>
    <w:unhideWhenUsed/>
    <w:rsid w:val="003665CA"/>
    <w:pPr>
      <w:spacing w:before="100" w:beforeAutospacing="1" w:after="100" w:afterAutospacing="1"/>
    </w:pPr>
    <w:rPr>
      <w:rFonts w:ascii="Times New Roman" w:eastAsia="Times New Roman" w:hAnsi="Times New Roman" w:cs="Times New Roman"/>
      <w:kern w:val="0"/>
      <w:szCs w:val="24"/>
      <w:lang w:eastAsia="en-GB"/>
      <w14:ligatures w14:val="none"/>
    </w:rPr>
  </w:style>
  <w:style w:type="character" w:styleId="FollowedHyperlink">
    <w:name w:val="FollowedHyperlink"/>
    <w:basedOn w:val="DefaultParagraphFont"/>
    <w:uiPriority w:val="99"/>
    <w:semiHidden/>
    <w:unhideWhenUsed/>
    <w:rsid w:val="003665CA"/>
    <w:rPr>
      <w:color w:val="954F72" w:themeColor="followedHyperlink"/>
      <w:u w:val="single"/>
    </w:rPr>
  </w:style>
  <w:style w:type="table" w:styleId="TableGrid">
    <w:name w:val="Table Grid"/>
    <w:basedOn w:val="TableNormal"/>
    <w:uiPriority w:val="39"/>
    <w:rsid w:val="00F916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83269"/>
    <w:rPr>
      <w:rFonts w:ascii="Arial" w:eastAsiaTheme="majorEastAsia" w:hAnsi="Arial" w:cstheme="majorBidi"/>
      <w:color w:val="1F3763" w:themeColor="accent1" w:themeShade="7F"/>
    </w:rPr>
  </w:style>
  <w:style w:type="character" w:styleId="UnresolvedMention">
    <w:name w:val="Unresolved Mention"/>
    <w:basedOn w:val="DefaultParagraphFont"/>
    <w:uiPriority w:val="99"/>
    <w:semiHidden/>
    <w:unhideWhenUsed/>
    <w:rsid w:val="00B63C65"/>
    <w:rPr>
      <w:color w:val="605E5C"/>
      <w:shd w:val="clear" w:color="auto" w:fill="E1DFDD"/>
    </w:rPr>
  </w:style>
  <w:style w:type="paragraph" w:styleId="TOCHeading">
    <w:name w:val="TOC Heading"/>
    <w:basedOn w:val="Heading1"/>
    <w:next w:val="Normal"/>
    <w:uiPriority w:val="39"/>
    <w:unhideWhenUsed/>
    <w:qFormat/>
    <w:rsid w:val="00DC049E"/>
    <w:pPr>
      <w:spacing w:before="480" w:line="276" w:lineRule="auto"/>
      <w:jc w:val="left"/>
      <w:outlineLvl w:val="9"/>
    </w:pPr>
    <w:rPr>
      <w:rFonts w:asciiTheme="majorHAnsi" w:hAnsiTheme="majorHAnsi"/>
      <w:b/>
      <w:bCs/>
      <w:kern w:val="0"/>
      <w:sz w:val="28"/>
      <w:szCs w:val="28"/>
      <w:lang w:val="en-US" w:bidi="ar-SA"/>
      <w14:ligatures w14:val="none"/>
    </w:rPr>
  </w:style>
  <w:style w:type="paragraph" w:styleId="TOC1">
    <w:name w:val="toc 1"/>
    <w:basedOn w:val="Normal"/>
    <w:next w:val="Normal"/>
    <w:autoRedefine/>
    <w:uiPriority w:val="39"/>
    <w:unhideWhenUsed/>
    <w:rsid w:val="00DC049E"/>
    <w:pPr>
      <w:spacing w:before="120"/>
    </w:pPr>
    <w:rPr>
      <w:b/>
      <w:bCs/>
      <w:i/>
      <w:iCs/>
      <w:szCs w:val="24"/>
    </w:rPr>
  </w:style>
  <w:style w:type="paragraph" w:styleId="TOC2">
    <w:name w:val="toc 2"/>
    <w:basedOn w:val="Normal"/>
    <w:next w:val="Normal"/>
    <w:autoRedefine/>
    <w:uiPriority w:val="39"/>
    <w:unhideWhenUsed/>
    <w:rsid w:val="00DC049E"/>
    <w:pPr>
      <w:spacing w:before="120"/>
      <w:ind w:left="240"/>
    </w:pPr>
    <w:rPr>
      <w:b/>
      <w:bCs/>
      <w:sz w:val="22"/>
      <w:szCs w:val="22"/>
    </w:rPr>
  </w:style>
  <w:style w:type="paragraph" w:styleId="TOC3">
    <w:name w:val="toc 3"/>
    <w:basedOn w:val="Normal"/>
    <w:next w:val="Normal"/>
    <w:autoRedefine/>
    <w:uiPriority w:val="39"/>
    <w:unhideWhenUsed/>
    <w:rsid w:val="00DC049E"/>
    <w:pPr>
      <w:ind w:left="480"/>
    </w:pPr>
    <w:rPr>
      <w:sz w:val="20"/>
      <w:szCs w:val="20"/>
    </w:rPr>
  </w:style>
  <w:style w:type="paragraph" w:styleId="TOC4">
    <w:name w:val="toc 4"/>
    <w:basedOn w:val="Normal"/>
    <w:next w:val="Normal"/>
    <w:autoRedefine/>
    <w:uiPriority w:val="39"/>
    <w:semiHidden/>
    <w:unhideWhenUsed/>
    <w:rsid w:val="00DC049E"/>
    <w:pPr>
      <w:ind w:left="720"/>
    </w:pPr>
    <w:rPr>
      <w:sz w:val="20"/>
      <w:szCs w:val="20"/>
    </w:rPr>
  </w:style>
  <w:style w:type="paragraph" w:styleId="TOC5">
    <w:name w:val="toc 5"/>
    <w:basedOn w:val="Normal"/>
    <w:next w:val="Normal"/>
    <w:autoRedefine/>
    <w:uiPriority w:val="39"/>
    <w:semiHidden/>
    <w:unhideWhenUsed/>
    <w:rsid w:val="00DC049E"/>
    <w:pPr>
      <w:ind w:left="960"/>
    </w:pPr>
    <w:rPr>
      <w:sz w:val="20"/>
      <w:szCs w:val="20"/>
    </w:rPr>
  </w:style>
  <w:style w:type="paragraph" w:styleId="TOC6">
    <w:name w:val="toc 6"/>
    <w:basedOn w:val="Normal"/>
    <w:next w:val="Normal"/>
    <w:autoRedefine/>
    <w:uiPriority w:val="39"/>
    <w:semiHidden/>
    <w:unhideWhenUsed/>
    <w:rsid w:val="00DC049E"/>
    <w:pPr>
      <w:ind w:left="1200"/>
    </w:pPr>
    <w:rPr>
      <w:sz w:val="20"/>
      <w:szCs w:val="20"/>
    </w:rPr>
  </w:style>
  <w:style w:type="paragraph" w:styleId="TOC7">
    <w:name w:val="toc 7"/>
    <w:basedOn w:val="Normal"/>
    <w:next w:val="Normal"/>
    <w:autoRedefine/>
    <w:uiPriority w:val="39"/>
    <w:semiHidden/>
    <w:unhideWhenUsed/>
    <w:rsid w:val="00DC049E"/>
    <w:pPr>
      <w:ind w:left="1440"/>
    </w:pPr>
    <w:rPr>
      <w:sz w:val="20"/>
      <w:szCs w:val="20"/>
    </w:rPr>
  </w:style>
  <w:style w:type="paragraph" w:styleId="TOC8">
    <w:name w:val="toc 8"/>
    <w:basedOn w:val="Normal"/>
    <w:next w:val="Normal"/>
    <w:autoRedefine/>
    <w:uiPriority w:val="39"/>
    <w:semiHidden/>
    <w:unhideWhenUsed/>
    <w:rsid w:val="00DC049E"/>
    <w:pPr>
      <w:ind w:left="1680"/>
    </w:pPr>
    <w:rPr>
      <w:sz w:val="20"/>
      <w:szCs w:val="20"/>
    </w:rPr>
  </w:style>
  <w:style w:type="paragraph" w:styleId="TOC9">
    <w:name w:val="toc 9"/>
    <w:basedOn w:val="Normal"/>
    <w:next w:val="Normal"/>
    <w:autoRedefine/>
    <w:uiPriority w:val="39"/>
    <w:semiHidden/>
    <w:unhideWhenUsed/>
    <w:rsid w:val="00DC049E"/>
    <w:pPr>
      <w:ind w:left="1920"/>
    </w:pPr>
    <w:rPr>
      <w:sz w:val="20"/>
      <w:szCs w:val="20"/>
    </w:rPr>
  </w:style>
  <w:style w:type="paragraph" w:styleId="Footer">
    <w:name w:val="footer"/>
    <w:basedOn w:val="Normal"/>
    <w:link w:val="FooterChar"/>
    <w:uiPriority w:val="99"/>
    <w:unhideWhenUsed/>
    <w:rsid w:val="00EB60C7"/>
    <w:pPr>
      <w:tabs>
        <w:tab w:val="center" w:pos="4513"/>
        <w:tab w:val="right" w:pos="9026"/>
      </w:tabs>
    </w:pPr>
  </w:style>
  <w:style w:type="character" w:customStyle="1" w:styleId="FooterChar">
    <w:name w:val="Footer Char"/>
    <w:basedOn w:val="DefaultParagraphFont"/>
    <w:link w:val="Footer"/>
    <w:uiPriority w:val="99"/>
    <w:rsid w:val="00EB60C7"/>
    <w:rPr>
      <w:rFonts w:cs="Vrinda"/>
    </w:rPr>
  </w:style>
  <w:style w:type="character" w:styleId="PageNumber">
    <w:name w:val="page number"/>
    <w:basedOn w:val="DefaultParagraphFont"/>
    <w:uiPriority w:val="99"/>
    <w:semiHidden/>
    <w:unhideWhenUsed/>
    <w:rsid w:val="00EB60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83154">
      <w:bodyDiv w:val="1"/>
      <w:marLeft w:val="0"/>
      <w:marRight w:val="0"/>
      <w:marTop w:val="0"/>
      <w:marBottom w:val="0"/>
      <w:divBdr>
        <w:top w:val="none" w:sz="0" w:space="0" w:color="auto"/>
        <w:left w:val="none" w:sz="0" w:space="0" w:color="auto"/>
        <w:bottom w:val="none" w:sz="0" w:space="0" w:color="auto"/>
        <w:right w:val="none" w:sz="0" w:space="0" w:color="auto"/>
      </w:divBdr>
      <w:divsChild>
        <w:div w:id="2118518063">
          <w:marLeft w:val="547"/>
          <w:marRight w:val="0"/>
          <w:marTop w:val="96"/>
          <w:marBottom w:val="0"/>
          <w:divBdr>
            <w:top w:val="none" w:sz="0" w:space="0" w:color="auto"/>
            <w:left w:val="none" w:sz="0" w:space="0" w:color="auto"/>
            <w:bottom w:val="none" w:sz="0" w:space="0" w:color="auto"/>
            <w:right w:val="none" w:sz="0" w:space="0" w:color="auto"/>
          </w:divBdr>
        </w:div>
        <w:div w:id="250551823">
          <w:marLeft w:val="547"/>
          <w:marRight w:val="0"/>
          <w:marTop w:val="96"/>
          <w:marBottom w:val="0"/>
          <w:divBdr>
            <w:top w:val="none" w:sz="0" w:space="0" w:color="auto"/>
            <w:left w:val="none" w:sz="0" w:space="0" w:color="auto"/>
            <w:bottom w:val="none" w:sz="0" w:space="0" w:color="auto"/>
            <w:right w:val="none" w:sz="0" w:space="0" w:color="auto"/>
          </w:divBdr>
        </w:div>
        <w:div w:id="4481924">
          <w:marLeft w:val="547"/>
          <w:marRight w:val="0"/>
          <w:marTop w:val="96"/>
          <w:marBottom w:val="0"/>
          <w:divBdr>
            <w:top w:val="none" w:sz="0" w:space="0" w:color="auto"/>
            <w:left w:val="none" w:sz="0" w:space="0" w:color="auto"/>
            <w:bottom w:val="none" w:sz="0" w:space="0" w:color="auto"/>
            <w:right w:val="none" w:sz="0" w:space="0" w:color="auto"/>
          </w:divBdr>
        </w:div>
        <w:div w:id="950747626">
          <w:marLeft w:val="547"/>
          <w:marRight w:val="0"/>
          <w:marTop w:val="96"/>
          <w:marBottom w:val="0"/>
          <w:divBdr>
            <w:top w:val="none" w:sz="0" w:space="0" w:color="auto"/>
            <w:left w:val="none" w:sz="0" w:space="0" w:color="auto"/>
            <w:bottom w:val="none" w:sz="0" w:space="0" w:color="auto"/>
            <w:right w:val="none" w:sz="0" w:space="0" w:color="auto"/>
          </w:divBdr>
        </w:div>
        <w:div w:id="965965552">
          <w:marLeft w:val="547"/>
          <w:marRight w:val="0"/>
          <w:marTop w:val="96"/>
          <w:marBottom w:val="0"/>
          <w:divBdr>
            <w:top w:val="none" w:sz="0" w:space="0" w:color="auto"/>
            <w:left w:val="none" w:sz="0" w:space="0" w:color="auto"/>
            <w:bottom w:val="none" w:sz="0" w:space="0" w:color="auto"/>
            <w:right w:val="none" w:sz="0" w:space="0" w:color="auto"/>
          </w:divBdr>
        </w:div>
      </w:divsChild>
    </w:div>
    <w:div w:id="548029172">
      <w:bodyDiv w:val="1"/>
      <w:marLeft w:val="0"/>
      <w:marRight w:val="0"/>
      <w:marTop w:val="0"/>
      <w:marBottom w:val="0"/>
      <w:divBdr>
        <w:top w:val="none" w:sz="0" w:space="0" w:color="auto"/>
        <w:left w:val="none" w:sz="0" w:space="0" w:color="auto"/>
        <w:bottom w:val="none" w:sz="0" w:space="0" w:color="auto"/>
        <w:right w:val="none" w:sz="0" w:space="0" w:color="auto"/>
      </w:divBdr>
    </w:div>
    <w:div w:id="784033955">
      <w:bodyDiv w:val="1"/>
      <w:marLeft w:val="0"/>
      <w:marRight w:val="0"/>
      <w:marTop w:val="0"/>
      <w:marBottom w:val="0"/>
      <w:divBdr>
        <w:top w:val="none" w:sz="0" w:space="0" w:color="auto"/>
        <w:left w:val="none" w:sz="0" w:space="0" w:color="auto"/>
        <w:bottom w:val="none" w:sz="0" w:space="0" w:color="auto"/>
        <w:right w:val="none" w:sz="0" w:space="0" w:color="auto"/>
      </w:divBdr>
    </w:div>
    <w:div w:id="1004405372">
      <w:bodyDiv w:val="1"/>
      <w:marLeft w:val="0"/>
      <w:marRight w:val="0"/>
      <w:marTop w:val="0"/>
      <w:marBottom w:val="0"/>
      <w:divBdr>
        <w:top w:val="none" w:sz="0" w:space="0" w:color="auto"/>
        <w:left w:val="none" w:sz="0" w:space="0" w:color="auto"/>
        <w:bottom w:val="none" w:sz="0" w:space="0" w:color="auto"/>
        <w:right w:val="none" w:sz="0" w:space="0" w:color="auto"/>
      </w:divBdr>
    </w:div>
    <w:div w:id="1008751883">
      <w:bodyDiv w:val="1"/>
      <w:marLeft w:val="0"/>
      <w:marRight w:val="0"/>
      <w:marTop w:val="0"/>
      <w:marBottom w:val="0"/>
      <w:divBdr>
        <w:top w:val="none" w:sz="0" w:space="0" w:color="auto"/>
        <w:left w:val="none" w:sz="0" w:space="0" w:color="auto"/>
        <w:bottom w:val="none" w:sz="0" w:space="0" w:color="auto"/>
        <w:right w:val="none" w:sz="0" w:space="0" w:color="auto"/>
      </w:divBdr>
    </w:div>
    <w:div w:id="1668508924">
      <w:bodyDiv w:val="1"/>
      <w:marLeft w:val="0"/>
      <w:marRight w:val="0"/>
      <w:marTop w:val="0"/>
      <w:marBottom w:val="0"/>
      <w:divBdr>
        <w:top w:val="none" w:sz="0" w:space="0" w:color="auto"/>
        <w:left w:val="none" w:sz="0" w:space="0" w:color="auto"/>
        <w:bottom w:val="none" w:sz="0" w:space="0" w:color="auto"/>
        <w:right w:val="none" w:sz="0" w:space="0" w:color="auto"/>
      </w:divBdr>
    </w:div>
    <w:div w:id="1984574892">
      <w:bodyDiv w:val="1"/>
      <w:marLeft w:val="0"/>
      <w:marRight w:val="0"/>
      <w:marTop w:val="0"/>
      <w:marBottom w:val="0"/>
      <w:divBdr>
        <w:top w:val="none" w:sz="0" w:space="0" w:color="auto"/>
        <w:left w:val="none" w:sz="0" w:space="0" w:color="auto"/>
        <w:bottom w:val="none" w:sz="0" w:space="0" w:color="auto"/>
        <w:right w:val="none" w:sz="0" w:space="0" w:color="auto"/>
      </w:divBdr>
    </w:div>
    <w:div w:id="2014649062">
      <w:bodyDiv w:val="1"/>
      <w:marLeft w:val="0"/>
      <w:marRight w:val="0"/>
      <w:marTop w:val="0"/>
      <w:marBottom w:val="0"/>
      <w:divBdr>
        <w:top w:val="none" w:sz="0" w:space="0" w:color="auto"/>
        <w:left w:val="none" w:sz="0" w:space="0" w:color="auto"/>
        <w:bottom w:val="none" w:sz="0" w:space="0" w:color="auto"/>
        <w:right w:val="none" w:sz="0" w:space="0" w:color="auto"/>
      </w:divBdr>
    </w:div>
    <w:div w:id="2088064551">
      <w:bodyDiv w:val="1"/>
      <w:marLeft w:val="0"/>
      <w:marRight w:val="0"/>
      <w:marTop w:val="0"/>
      <w:marBottom w:val="0"/>
      <w:divBdr>
        <w:top w:val="none" w:sz="0" w:space="0" w:color="auto"/>
        <w:left w:val="none" w:sz="0" w:space="0" w:color="auto"/>
        <w:bottom w:val="none" w:sz="0" w:space="0" w:color="auto"/>
        <w:right w:val="none" w:sz="0" w:space="0" w:color="auto"/>
      </w:divBdr>
    </w:div>
    <w:div w:id="2107848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ft.com/content/a6c12222-559e-4152-b404-a663c5392471" TargetMode="External" /><Relationship Id="rId18" Type="http://schemas.openxmlformats.org/officeDocument/2006/relationships/hyperlink" Target="https://www.hyundai.com/uk/en/models/ioniq5.html" TargetMode="External" /><Relationship Id="rId26" Type="http://schemas.openxmlformats.org/officeDocument/2006/relationships/hyperlink" Target="https://www.tesla.com/learn/earth-day-2025-were-committed-building-sustainable-future" TargetMode="External" /><Relationship Id="rId3" Type="http://schemas.openxmlformats.org/officeDocument/2006/relationships/styles" Target="styles.xml" /><Relationship Id="rId21" Type="http://schemas.openxmlformats.org/officeDocument/2006/relationships/hyperlink" Target="https://careersatnissan.co.uk/life-at-nissan/manufacturing-hub/ev36zero-the-future-of-nissan/" TargetMode="External" /><Relationship Id="rId34" Type="http://schemas.openxmlformats.org/officeDocument/2006/relationships/image" Target="media/image5.png" /><Relationship Id="rId7" Type="http://schemas.openxmlformats.org/officeDocument/2006/relationships/endnotes" Target="endnotes.xml" /><Relationship Id="rId12" Type="http://schemas.openxmlformats.org/officeDocument/2006/relationships/hyperlink" Target="https://corporatefinanceinstitute.com/resources/management/ansoff-matrix/" TargetMode="External" /><Relationship Id="rId17" Type="http://schemas.openxmlformats.org/officeDocument/2006/relationships/hyperlink" Target="https://www.gov.uk/government/statistics/electric-vehicle-public-charging-infrastructure-statistics-january-2025/electric-vehicle-public-charging-infrastructure-statistics-january-2025" TargetMode="External" /><Relationship Id="rId25" Type="http://schemas.openxmlformats.org/officeDocument/2006/relationships/hyperlink" Target="https://www.teslaacessories.com/blogs/news/tesla-expands-supercharger-network-and-third-party-access-across-europe-in-2025" TargetMode="External" /><Relationship Id="rId33" Type="http://schemas.openxmlformats.org/officeDocument/2006/relationships/image" Target="media/image4.jpeg" /><Relationship Id="rId38"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gov.uk/guidance/electric-vehicle-chargepoint-grants" TargetMode="External" /><Relationship Id="rId20" Type="http://schemas.openxmlformats.org/officeDocument/2006/relationships/hyperlink" Target="https://doi.org/10.1016/j.jtrangeo.2018.08.010" TargetMode="External" /><Relationship Id="rId29" Type="http://schemas.openxmlformats.org/officeDocument/2006/relationships/hyperlink" Target="https://www.volkswagen-newsroom.com/en/press-releases/way-to-zero-volkswagen-presents-roadmap-for-climate-neutral-mobility-7081"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4018/978-1-7998-2559-3.ch016" TargetMode="External" /><Relationship Id="rId24" Type="http://schemas.openxmlformats.org/officeDocument/2006/relationships/hyperlink" Target="https://www.statista.com/statistics/1410223/uk-electric-vehicle-car-parc/" TargetMode="External" /><Relationship Id="rId32" Type="http://schemas.openxmlformats.org/officeDocument/2006/relationships/image" Target="media/image3.jpeg" /><Relationship Id="rId37"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gov.uk/government/news/government-sets-out-path-to-zero-emission-vehicles-by-2035" TargetMode="External" /><Relationship Id="rId23" Type="http://schemas.openxmlformats.org/officeDocument/2006/relationships/hyperlink" Target="https://www.rrg-group.com/mg/news/mg-drives-ahead-in-2025" TargetMode="External" /><Relationship Id="rId28" Type="http://schemas.openxmlformats.org/officeDocument/2006/relationships/hyperlink" Target="https://pressroom.toyota.com/toyota-launches-electrified-diversified-beyond-zero-campaign/" TargetMode="External" /><Relationship Id="rId36" Type="http://schemas.openxmlformats.org/officeDocument/2006/relationships/footer" Target="footer2.xml" /><Relationship Id="rId10" Type="http://schemas.openxmlformats.org/officeDocument/2006/relationships/hyperlink" Target="https://bydauto.com.bd/byd-BladeBattery" TargetMode="External" /><Relationship Id="rId19" Type="http://schemas.openxmlformats.org/officeDocument/2006/relationships/hyperlink" Target="https://localiq.co.uk/blog/a-complete-guide-to-using-swot-pestle-for-marketing" TargetMode="External" /><Relationship Id="rId31"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hyperlink" Target="https://bydukmedia.com/en/news-articles/byd-uk-sells-more-cars-in-q1-2025-than-whole-of-2024.html" TargetMode="External" /><Relationship Id="rId14" Type="http://schemas.openxmlformats.org/officeDocument/2006/relationships/hyperlink" Target="https://media.ford.com/content/fordmedia/feu/en/news/2024/05/21/all-new--all-electric-e-transit-custom-van-ready-to-electrify-sm.html" TargetMode="External" /><Relationship Id="rId22" Type="http://schemas.openxmlformats.org/officeDocument/2006/relationships/hyperlink" Target="https://www.reuters.com/business/autos-transportation/ford-uk-slams-potential-relaxation-plans-ban-new-petrol-diesel-car-sales-by-2030-2023-09-20/" TargetMode="External" /><Relationship Id="rId27" Type="http://schemas.openxmlformats.org/officeDocument/2006/relationships/hyperlink" Target="https://www.financialexpress.com/business/express-mobility-jaguar-land-rover-to-invest-15-billion-pounds-for-ev-product-offensive-3054466/" TargetMode="External" /><Relationship Id="rId30" Type="http://schemas.openxmlformats.org/officeDocument/2006/relationships/hyperlink" Target="https://www.volkswagen-group.com/en/press-releases/volkswagen-commissions-green-battery-logistics-system-for-id3-and-id4-16727" TargetMode="External" /><Relationship Id="rId35"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653405-0DAB-664B-B912-861C4991031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4308</Words>
  <Characters>24562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dc:creator>
  <cp:keywords/>
  <dc:description/>
  <cp:lastModifiedBy>Md Habibur Rahman</cp:lastModifiedBy>
  <cp:revision>3</cp:revision>
  <dcterms:created xsi:type="dcterms:W3CDTF">2025-11-18T12:49:00Z</dcterms:created>
  <dcterms:modified xsi:type="dcterms:W3CDTF">2025-11-18T15:51:00Z</dcterms:modified>
</cp:coreProperties>
</file>