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7704A2" w14:textId="77777777" w:rsidR="00B904A6" w:rsidRPr="00B904A6" w:rsidRDefault="00B904A6" w:rsidP="00B904A6">
      <w:pPr>
        <w:spacing w:after="0" w:line="240" w:lineRule="auto"/>
        <w:rPr>
          <w:rFonts w:ascii="Calibri" w:hAnsi="Calibri" w:cs="Calibri"/>
          <w:sz w:val="22"/>
          <w:szCs w:val="22"/>
        </w:rPr>
      </w:pPr>
    </w:p>
    <w:p w14:paraId="29635E4A" w14:textId="77777777" w:rsidR="00B904A6" w:rsidRPr="00B904A6" w:rsidRDefault="00B904A6" w:rsidP="00B904A6">
      <w:pPr>
        <w:spacing w:after="0" w:line="240" w:lineRule="auto"/>
        <w:rPr>
          <w:rFonts w:ascii="Calibri" w:hAnsi="Calibri" w:cs="Calibri"/>
          <w:b/>
          <w:bCs/>
          <w:sz w:val="22"/>
          <w:szCs w:val="22"/>
        </w:rPr>
      </w:pPr>
      <w:r w:rsidRPr="00B904A6">
        <w:rPr>
          <w:rFonts w:ascii="Calibri" w:hAnsi="Calibri" w:cs="Calibri"/>
          <w:b/>
          <w:bCs/>
          <w:sz w:val="22"/>
          <w:szCs w:val="22"/>
        </w:rPr>
        <w:t xml:space="preserve">Quality in qualitative research </w:t>
      </w:r>
    </w:p>
    <w:p w14:paraId="797BDBB3" w14:textId="77777777" w:rsidR="00B904A6" w:rsidRDefault="00B904A6" w:rsidP="00B904A6">
      <w:pPr>
        <w:spacing w:after="0" w:line="240" w:lineRule="auto"/>
        <w:rPr>
          <w:rFonts w:ascii="Calibri" w:hAnsi="Calibri" w:cs="Calibri"/>
          <w:sz w:val="22"/>
          <w:szCs w:val="22"/>
        </w:rPr>
      </w:pPr>
    </w:p>
    <w:p w14:paraId="0A5BD712" w14:textId="77777777" w:rsidR="00B7520B" w:rsidRPr="00B7520B" w:rsidRDefault="00B7520B" w:rsidP="00B7520B">
      <w:pPr>
        <w:spacing w:after="0" w:line="240" w:lineRule="auto"/>
        <w:rPr>
          <w:rFonts w:ascii="Calibri" w:hAnsi="Calibri" w:cs="Calibri"/>
          <w:b/>
          <w:bCs/>
          <w:sz w:val="22"/>
          <w:szCs w:val="22"/>
        </w:rPr>
      </w:pPr>
      <w:r w:rsidRPr="00B7520B">
        <w:rPr>
          <w:rFonts w:ascii="Calibri" w:hAnsi="Calibri" w:cs="Calibri"/>
          <w:b/>
          <w:bCs/>
          <w:sz w:val="22"/>
          <w:szCs w:val="22"/>
        </w:rPr>
        <w:t>Drost, E. A. (2011). Validity and reliability in social science research. Education Research and Perspectives, 38(1), 105-123.</w:t>
      </w:r>
    </w:p>
    <w:p w14:paraId="5E4D03CE" w14:textId="77777777" w:rsidR="00B7520B" w:rsidRPr="00B904A6" w:rsidRDefault="00B7520B" w:rsidP="00B7520B">
      <w:pPr>
        <w:spacing w:after="0" w:line="240" w:lineRule="auto"/>
        <w:rPr>
          <w:rFonts w:ascii="Calibri" w:hAnsi="Calibri" w:cs="Calibri"/>
          <w:sz w:val="22"/>
          <w:szCs w:val="22"/>
        </w:rPr>
      </w:pPr>
    </w:p>
    <w:p w14:paraId="13E70631" w14:textId="35461B51" w:rsidR="00B904A6" w:rsidRPr="00B904A6" w:rsidRDefault="00B904A6" w:rsidP="00B904A6">
      <w:pPr>
        <w:spacing w:after="0" w:line="240" w:lineRule="auto"/>
        <w:rPr>
          <w:rFonts w:ascii="Calibri" w:hAnsi="Calibri" w:cs="Calibri"/>
          <w:sz w:val="22"/>
          <w:szCs w:val="22"/>
        </w:rPr>
      </w:pPr>
      <w:r w:rsidRPr="00B904A6">
        <w:rPr>
          <w:rFonts w:ascii="Calibri" w:hAnsi="Calibri" w:cs="Calibri"/>
          <w:sz w:val="22"/>
          <w:szCs w:val="22"/>
        </w:rPr>
        <w:t xml:space="preserve">This article explains the concepts of reliability and validity in social science research. Reliability refers to the consistency and repeatability of findings, while validity is concerned with the accuracy and truthfulness of findings. Various techniques for assessing reliability and validity are discussed. For </w:t>
      </w:r>
      <w:r w:rsidRPr="00B904A6">
        <w:rPr>
          <w:rFonts w:ascii="Calibri" w:hAnsi="Calibri" w:cs="Calibri"/>
          <w:sz w:val="22"/>
          <w:szCs w:val="22"/>
        </w:rPr>
        <w:t>Doctoral</w:t>
      </w:r>
      <w:r w:rsidRPr="00B904A6">
        <w:rPr>
          <w:rFonts w:ascii="Calibri" w:hAnsi="Calibri" w:cs="Calibri"/>
          <w:sz w:val="22"/>
          <w:szCs w:val="22"/>
        </w:rPr>
        <w:t xml:space="preserve"> researchers using semi-structured interviews, this article provides guidance on establishing the reliability of their interview process (e.g. using multiple interviewers) and the validity of their findings (e.g. triangulating interview data with other sources). Researchers should aim for a high level of reliability and validity.</w:t>
      </w:r>
    </w:p>
    <w:p w14:paraId="20E54B7C" w14:textId="77777777" w:rsidR="00B904A6" w:rsidRPr="00B904A6" w:rsidRDefault="00B904A6" w:rsidP="00B904A6">
      <w:pPr>
        <w:spacing w:after="0" w:line="240" w:lineRule="auto"/>
        <w:rPr>
          <w:rFonts w:ascii="Calibri" w:hAnsi="Calibri" w:cs="Calibri"/>
          <w:sz w:val="22"/>
          <w:szCs w:val="22"/>
        </w:rPr>
      </w:pPr>
    </w:p>
    <w:p w14:paraId="07FB1B46" w14:textId="77777777" w:rsidR="00B7520B" w:rsidRPr="00B7520B" w:rsidRDefault="00B7520B" w:rsidP="00B7520B">
      <w:pPr>
        <w:spacing w:after="0" w:line="240" w:lineRule="auto"/>
        <w:rPr>
          <w:rFonts w:ascii="Calibri" w:hAnsi="Calibri" w:cs="Calibri"/>
          <w:b/>
          <w:bCs/>
          <w:sz w:val="22"/>
          <w:szCs w:val="22"/>
        </w:rPr>
      </w:pPr>
      <w:proofErr w:type="spellStart"/>
      <w:r w:rsidRPr="00B7520B">
        <w:rPr>
          <w:rFonts w:ascii="Calibri" w:hAnsi="Calibri" w:cs="Calibri"/>
          <w:b/>
          <w:bCs/>
          <w:sz w:val="22"/>
          <w:szCs w:val="22"/>
        </w:rPr>
        <w:t>Golafshani</w:t>
      </w:r>
      <w:proofErr w:type="spellEnd"/>
      <w:r w:rsidRPr="00B7520B">
        <w:rPr>
          <w:rFonts w:ascii="Calibri" w:hAnsi="Calibri" w:cs="Calibri"/>
          <w:b/>
          <w:bCs/>
          <w:sz w:val="22"/>
          <w:szCs w:val="22"/>
        </w:rPr>
        <w:t>, N. (2003). Understanding reliability and validity in qualitative research. The Qualitative Report, 8(4), 597-606.</w:t>
      </w:r>
    </w:p>
    <w:p w14:paraId="5A610098" w14:textId="77777777" w:rsidR="00B904A6" w:rsidRPr="00B904A6" w:rsidRDefault="00B904A6" w:rsidP="00B904A6">
      <w:pPr>
        <w:spacing w:after="0" w:line="240" w:lineRule="auto"/>
        <w:rPr>
          <w:rFonts w:ascii="Calibri" w:hAnsi="Calibri" w:cs="Calibri"/>
          <w:sz w:val="22"/>
          <w:szCs w:val="22"/>
        </w:rPr>
      </w:pPr>
    </w:p>
    <w:p w14:paraId="30E7740D" w14:textId="6077439F" w:rsidR="00B904A6" w:rsidRPr="00B904A6" w:rsidRDefault="00B904A6" w:rsidP="00B904A6">
      <w:pPr>
        <w:spacing w:after="0" w:line="240" w:lineRule="auto"/>
        <w:rPr>
          <w:rFonts w:ascii="Calibri" w:hAnsi="Calibri" w:cs="Calibri"/>
          <w:sz w:val="22"/>
          <w:szCs w:val="22"/>
        </w:rPr>
      </w:pPr>
      <w:r w:rsidRPr="00B904A6">
        <w:rPr>
          <w:rFonts w:ascii="Calibri" w:hAnsi="Calibri" w:cs="Calibri"/>
          <w:sz w:val="22"/>
          <w:szCs w:val="22"/>
        </w:rPr>
        <w:t xml:space="preserve">This article redefines reliability and validity for qualitative research. Reliability is viewed in terms of dependability and consistency. Validity is seen as credibility, transferability and trustworthiness. Triangulation is highlighted as a way to test validity and reliability in qualitative studies. </w:t>
      </w:r>
      <w:r w:rsidRPr="00B904A6">
        <w:rPr>
          <w:rFonts w:ascii="Calibri" w:hAnsi="Calibri" w:cs="Calibri"/>
          <w:sz w:val="22"/>
          <w:szCs w:val="22"/>
        </w:rPr>
        <w:t>Doctoral</w:t>
      </w:r>
      <w:r w:rsidRPr="00B904A6">
        <w:rPr>
          <w:rFonts w:ascii="Calibri" w:hAnsi="Calibri" w:cs="Calibri"/>
          <w:sz w:val="22"/>
          <w:szCs w:val="22"/>
        </w:rPr>
        <w:t xml:space="preserve"> researchers using semi-structured interviews can apply these qualitative conceptualisations of reliability (e.g. having a consistent interview approach) and validity (e.g. establishing the credibility of interviewees). Triangulation, such as comparing interview findings to other data sources, can help maximise validity and reliability.</w:t>
      </w:r>
    </w:p>
    <w:p w14:paraId="3A5BF343" w14:textId="77777777" w:rsidR="00B904A6" w:rsidRPr="00B904A6" w:rsidRDefault="00B904A6" w:rsidP="00B904A6">
      <w:pPr>
        <w:spacing w:after="0" w:line="240" w:lineRule="auto"/>
        <w:rPr>
          <w:rFonts w:ascii="Calibri" w:hAnsi="Calibri" w:cs="Calibri"/>
          <w:sz w:val="22"/>
          <w:szCs w:val="22"/>
        </w:rPr>
      </w:pPr>
    </w:p>
    <w:p w14:paraId="59E1BE5D" w14:textId="77777777" w:rsidR="0004735C" w:rsidRPr="0004735C" w:rsidRDefault="0004735C" w:rsidP="0004735C">
      <w:pPr>
        <w:spacing w:after="0" w:line="240" w:lineRule="auto"/>
        <w:rPr>
          <w:rFonts w:ascii="Calibri" w:hAnsi="Calibri" w:cs="Calibri"/>
          <w:b/>
          <w:bCs/>
          <w:sz w:val="22"/>
          <w:szCs w:val="22"/>
        </w:rPr>
      </w:pPr>
      <w:proofErr w:type="spellStart"/>
      <w:r w:rsidRPr="0004735C">
        <w:rPr>
          <w:rFonts w:ascii="Calibri" w:hAnsi="Calibri" w:cs="Calibri"/>
          <w:b/>
          <w:bCs/>
          <w:sz w:val="22"/>
          <w:szCs w:val="22"/>
        </w:rPr>
        <w:t>Bapir</w:t>
      </w:r>
      <w:proofErr w:type="spellEnd"/>
      <w:r w:rsidRPr="0004735C">
        <w:rPr>
          <w:rFonts w:ascii="Calibri" w:hAnsi="Calibri" w:cs="Calibri"/>
          <w:b/>
          <w:bCs/>
          <w:sz w:val="22"/>
          <w:szCs w:val="22"/>
        </w:rPr>
        <w:t>, M. A. (2012). Is it possible for qualitative research to be properly valid and reliable? University of Warwick. https://www.academia.edu/997438/Validity_and_Reliability_in_Qualitative_Research</w:t>
      </w:r>
    </w:p>
    <w:p w14:paraId="4A25232A" w14:textId="77777777" w:rsidR="00F550BD" w:rsidRDefault="00F550BD" w:rsidP="00B904A6">
      <w:pPr>
        <w:spacing w:after="0" w:line="240" w:lineRule="auto"/>
        <w:rPr>
          <w:rFonts w:ascii="Calibri" w:hAnsi="Calibri" w:cs="Calibri"/>
          <w:sz w:val="22"/>
          <w:szCs w:val="22"/>
        </w:rPr>
      </w:pPr>
    </w:p>
    <w:p w14:paraId="55F5A200" w14:textId="7F3FB58F" w:rsidR="00B904A6" w:rsidRPr="00B904A6" w:rsidRDefault="00B904A6" w:rsidP="00B904A6">
      <w:pPr>
        <w:spacing w:after="0" w:line="240" w:lineRule="auto"/>
        <w:rPr>
          <w:rFonts w:ascii="Calibri" w:hAnsi="Calibri" w:cs="Calibri"/>
          <w:sz w:val="22"/>
          <w:szCs w:val="22"/>
        </w:rPr>
      </w:pPr>
      <w:r w:rsidRPr="00B904A6">
        <w:rPr>
          <w:rFonts w:ascii="Calibri" w:hAnsi="Calibri" w:cs="Calibri"/>
          <w:sz w:val="22"/>
          <w:szCs w:val="22"/>
        </w:rPr>
        <w:t xml:space="preserve">This article argues that qualitative research can be properly valid and reliable by redefining these concepts for the qualitative paradigm. Validity in qualitative research means accurately representing the phenomena being studied. Reliability is about the consistency and dependability of the research process. Key ways to establish validity and reliability include using appropriate methods, documenting procedures, and being transparent. </w:t>
      </w:r>
      <w:r w:rsidRPr="00B904A6">
        <w:rPr>
          <w:rFonts w:ascii="Calibri" w:hAnsi="Calibri" w:cs="Calibri"/>
          <w:sz w:val="22"/>
          <w:szCs w:val="22"/>
        </w:rPr>
        <w:t>Doctoral</w:t>
      </w:r>
      <w:r w:rsidRPr="00B904A6">
        <w:rPr>
          <w:rFonts w:ascii="Calibri" w:hAnsi="Calibri" w:cs="Calibri"/>
          <w:sz w:val="22"/>
          <w:szCs w:val="22"/>
        </w:rPr>
        <w:t xml:space="preserve"> researchers using semi-structured interviews should select this method carefully, record their procedures systematically, and be open about their process to maximise validity and reliability.</w:t>
      </w:r>
    </w:p>
    <w:p w14:paraId="4B54B5C9" w14:textId="77777777" w:rsidR="00B904A6" w:rsidRPr="00B904A6" w:rsidRDefault="00B904A6" w:rsidP="00B904A6">
      <w:pPr>
        <w:spacing w:after="0" w:line="240" w:lineRule="auto"/>
        <w:rPr>
          <w:rFonts w:ascii="Calibri" w:hAnsi="Calibri" w:cs="Calibri"/>
          <w:sz w:val="22"/>
          <w:szCs w:val="22"/>
        </w:rPr>
      </w:pPr>
    </w:p>
    <w:p w14:paraId="0BCECD6B" w14:textId="1DC56139" w:rsidR="00B904A6" w:rsidRPr="00F550BD" w:rsidRDefault="00F550BD" w:rsidP="00F550BD">
      <w:pPr>
        <w:spacing w:after="0" w:line="240" w:lineRule="auto"/>
        <w:rPr>
          <w:rFonts w:ascii="Calibri" w:hAnsi="Calibri" w:cs="Calibri"/>
          <w:b/>
          <w:bCs/>
          <w:sz w:val="22"/>
          <w:szCs w:val="22"/>
        </w:rPr>
      </w:pPr>
      <w:r w:rsidRPr="00F550BD">
        <w:rPr>
          <w:rFonts w:ascii="Calibri" w:hAnsi="Calibri" w:cs="Calibri"/>
          <w:b/>
          <w:bCs/>
          <w:sz w:val="22"/>
          <w:szCs w:val="22"/>
        </w:rPr>
        <w:t>Miyazaki, A. D., &amp; Taylor, K. A. (2008). Researcher interaction biases and business ethics research: Respondent reactions to researcher characteristics. Journal of Business Ethics, 81(4), 779-795.</w:t>
      </w:r>
    </w:p>
    <w:p w14:paraId="36F72F29" w14:textId="77777777" w:rsidR="00B904A6" w:rsidRPr="00B904A6" w:rsidRDefault="00B904A6" w:rsidP="00B904A6">
      <w:pPr>
        <w:spacing w:after="0" w:line="240" w:lineRule="auto"/>
        <w:rPr>
          <w:rFonts w:ascii="Calibri" w:hAnsi="Calibri" w:cs="Calibri"/>
          <w:sz w:val="22"/>
          <w:szCs w:val="22"/>
        </w:rPr>
      </w:pPr>
    </w:p>
    <w:p w14:paraId="17AB3CD8" w14:textId="7371BAE6" w:rsidR="00B904A6" w:rsidRPr="00B904A6" w:rsidRDefault="00B904A6" w:rsidP="00B904A6">
      <w:pPr>
        <w:spacing w:after="0" w:line="240" w:lineRule="auto"/>
        <w:rPr>
          <w:rFonts w:ascii="Calibri" w:hAnsi="Calibri" w:cs="Calibri"/>
          <w:sz w:val="22"/>
          <w:szCs w:val="22"/>
        </w:rPr>
      </w:pPr>
      <w:r w:rsidRPr="00B904A6">
        <w:rPr>
          <w:rFonts w:ascii="Calibri" w:hAnsi="Calibri" w:cs="Calibri"/>
          <w:sz w:val="22"/>
          <w:szCs w:val="22"/>
        </w:rPr>
        <w:t xml:space="preserve">This article discusses various researcher interaction biases that can affect study results, such as psychological, physical and background characteristics of the researcher. An empirical study demonstrates how researcher ethnicity can significantly influence findings. The article provides suggestions for minimising interaction bias, such as using multiple interviewers with diverse characteristics. </w:t>
      </w:r>
      <w:r w:rsidRPr="00B904A6">
        <w:rPr>
          <w:rFonts w:ascii="Calibri" w:hAnsi="Calibri" w:cs="Calibri"/>
          <w:sz w:val="22"/>
          <w:szCs w:val="22"/>
        </w:rPr>
        <w:t>Doctoral</w:t>
      </w:r>
      <w:r w:rsidRPr="00B904A6">
        <w:rPr>
          <w:rFonts w:ascii="Calibri" w:hAnsi="Calibri" w:cs="Calibri"/>
          <w:sz w:val="22"/>
          <w:szCs w:val="22"/>
        </w:rPr>
        <w:t xml:space="preserve"> researchers conducting semi-structured interviews should be aware of how their own characteristics may bias interviewee responses. They should try to minimise these biases through careful interviewer selection and training.</w:t>
      </w:r>
    </w:p>
    <w:p w14:paraId="1F49DC13" w14:textId="77777777" w:rsidR="00B904A6" w:rsidRPr="00B904A6" w:rsidRDefault="00B904A6" w:rsidP="00B904A6">
      <w:pPr>
        <w:spacing w:after="0" w:line="240" w:lineRule="auto"/>
        <w:rPr>
          <w:rFonts w:ascii="Calibri" w:hAnsi="Calibri" w:cs="Calibri"/>
          <w:sz w:val="22"/>
          <w:szCs w:val="22"/>
        </w:rPr>
      </w:pPr>
    </w:p>
    <w:p w14:paraId="6F8C81D1" w14:textId="77777777" w:rsidR="00164F45" w:rsidRDefault="00B904A6" w:rsidP="00B904A6">
      <w:pPr>
        <w:spacing w:after="0" w:line="240" w:lineRule="auto"/>
        <w:rPr>
          <w:rFonts w:ascii="Calibri" w:hAnsi="Calibri" w:cs="Calibri"/>
          <w:sz w:val="22"/>
          <w:szCs w:val="22"/>
        </w:rPr>
      </w:pPr>
      <w:r w:rsidRPr="00B904A6">
        <w:rPr>
          <w:rFonts w:ascii="Calibri" w:hAnsi="Calibri" w:cs="Calibri"/>
          <w:sz w:val="22"/>
          <w:szCs w:val="22"/>
        </w:rPr>
        <w:t xml:space="preserve">In summary, establishing reliability and validity is critical but requires some </w:t>
      </w:r>
      <w:proofErr w:type="spellStart"/>
      <w:r w:rsidRPr="00B904A6">
        <w:rPr>
          <w:rFonts w:ascii="Calibri" w:hAnsi="Calibri" w:cs="Calibri"/>
          <w:sz w:val="22"/>
          <w:szCs w:val="22"/>
        </w:rPr>
        <w:t>reconceptualisation</w:t>
      </w:r>
      <w:proofErr w:type="spellEnd"/>
      <w:r w:rsidRPr="00B904A6">
        <w:rPr>
          <w:rFonts w:ascii="Calibri" w:hAnsi="Calibri" w:cs="Calibri"/>
          <w:sz w:val="22"/>
          <w:szCs w:val="22"/>
        </w:rPr>
        <w:t xml:space="preserve"> for qualitative research and semi-structured interviews. Key strategies include having a systematic, well-documented process, using appropriate methods, and being transparent. Researcher self-awareness </w:t>
      </w:r>
      <w:r w:rsidRPr="00B904A6">
        <w:rPr>
          <w:rFonts w:ascii="Calibri" w:hAnsi="Calibri" w:cs="Calibri"/>
          <w:sz w:val="22"/>
          <w:szCs w:val="22"/>
        </w:rPr>
        <w:lastRenderedPageBreak/>
        <w:t>and using multiple diverse interviewers can help mitigate interaction biases. Triangulation is also valuable for demonstrating validity and reliability.</w:t>
      </w:r>
    </w:p>
    <w:p w14:paraId="50905A3B" w14:textId="77777777" w:rsidR="00A46B88" w:rsidRDefault="00A46B88" w:rsidP="00B904A6">
      <w:pPr>
        <w:spacing w:after="0" w:line="240" w:lineRule="auto"/>
        <w:rPr>
          <w:rFonts w:ascii="Calibri" w:hAnsi="Calibri" w:cs="Calibri"/>
          <w:sz w:val="22"/>
          <w:szCs w:val="22"/>
        </w:rPr>
      </w:pPr>
    </w:p>
    <w:p w14:paraId="3532E247" w14:textId="307AAE29" w:rsidR="00A46B88" w:rsidRDefault="00A46B88" w:rsidP="00A46B88">
      <w:pPr>
        <w:spacing w:after="0" w:line="240" w:lineRule="auto"/>
        <w:rPr>
          <w:rFonts w:ascii="Calibri" w:hAnsi="Calibri" w:cs="Calibri"/>
          <w:b/>
          <w:bCs/>
          <w:sz w:val="22"/>
          <w:szCs w:val="22"/>
        </w:rPr>
      </w:pPr>
      <w:r w:rsidRPr="00A46B88">
        <w:rPr>
          <w:rFonts w:ascii="Calibri" w:hAnsi="Calibri" w:cs="Calibri"/>
          <w:b/>
          <w:bCs/>
          <w:sz w:val="22"/>
          <w:szCs w:val="22"/>
        </w:rPr>
        <w:t>Patton, M. Q. (1999). Enhancing the quality and credibility of qualitative analysis. Health Services Research, 34(5 Pt 2), 1189-1208.</w:t>
      </w:r>
    </w:p>
    <w:p w14:paraId="3563FACD" w14:textId="77777777" w:rsidR="00A46B88" w:rsidRPr="00A46B88" w:rsidRDefault="00A46B88" w:rsidP="00A46B88">
      <w:pPr>
        <w:spacing w:after="0" w:line="240" w:lineRule="auto"/>
        <w:rPr>
          <w:rFonts w:ascii="Calibri" w:hAnsi="Calibri" w:cs="Calibri"/>
          <w:b/>
          <w:bCs/>
          <w:sz w:val="22"/>
          <w:szCs w:val="22"/>
        </w:rPr>
      </w:pPr>
    </w:p>
    <w:p w14:paraId="7C1F9C93" w14:textId="77777777" w:rsidR="00A46B88" w:rsidRPr="00A46B88" w:rsidRDefault="00A46B88" w:rsidP="00A46B88">
      <w:pPr>
        <w:spacing w:after="0" w:line="240" w:lineRule="auto"/>
        <w:rPr>
          <w:rFonts w:ascii="Calibri" w:hAnsi="Calibri" w:cs="Calibri"/>
          <w:sz w:val="22"/>
          <w:szCs w:val="22"/>
        </w:rPr>
      </w:pPr>
      <w:r w:rsidRPr="00A46B88">
        <w:rPr>
          <w:rFonts w:ascii="Calibri" w:hAnsi="Calibri" w:cs="Calibri"/>
          <w:sz w:val="22"/>
          <w:szCs w:val="22"/>
        </w:rPr>
        <w:t>1. Rigorous techniques and methods for gathering and analysing qualitative data are essential, including triangulation.</w:t>
      </w:r>
    </w:p>
    <w:p w14:paraId="63C6AAFC" w14:textId="77777777" w:rsidR="00A46B88" w:rsidRPr="00A46B88" w:rsidRDefault="00A46B88" w:rsidP="00A46B88">
      <w:pPr>
        <w:spacing w:after="0" w:line="240" w:lineRule="auto"/>
        <w:rPr>
          <w:rFonts w:ascii="Calibri" w:hAnsi="Calibri" w:cs="Calibri"/>
          <w:sz w:val="22"/>
          <w:szCs w:val="22"/>
        </w:rPr>
      </w:pPr>
      <w:r w:rsidRPr="00A46B88">
        <w:rPr>
          <w:rFonts w:ascii="Calibri" w:hAnsi="Calibri" w:cs="Calibri"/>
          <w:sz w:val="22"/>
          <w:szCs w:val="22"/>
        </w:rPr>
        <w:t xml:space="preserve">2. The credibility, competence and perceived trustworthiness of the researcher is crucial. Researchers should report their experience, training, perspective and personal connections. </w:t>
      </w:r>
    </w:p>
    <w:p w14:paraId="579A81DA" w14:textId="77777777" w:rsidR="00A46B88" w:rsidRPr="00A46B88" w:rsidRDefault="00A46B88" w:rsidP="00A46B88">
      <w:pPr>
        <w:spacing w:after="0" w:line="240" w:lineRule="auto"/>
        <w:rPr>
          <w:rFonts w:ascii="Calibri" w:hAnsi="Calibri" w:cs="Calibri"/>
          <w:sz w:val="22"/>
          <w:szCs w:val="22"/>
        </w:rPr>
      </w:pPr>
      <w:r w:rsidRPr="00A46B88">
        <w:rPr>
          <w:rFonts w:ascii="Calibri" w:hAnsi="Calibri" w:cs="Calibri"/>
          <w:sz w:val="22"/>
          <w:szCs w:val="22"/>
        </w:rPr>
        <w:t>3. Philosophical beliefs and paradigmatic preferences influence how qualitative research is judged. Researchers must understand and communicate the strengths of qualitative approaches.</w:t>
      </w:r>
    </w:p>
    <w:p w14:paraId="5D746F25" w14:textId="77777777" w:rsidR="00A46B88" w:rsidRPr="00A46B88" w:rsidRDefault="00A46B88" w:rsidP="00A46B88">
      <w:pPr>
        <w:spacing w:after="0" w:line="240" w:lineRule="auto"/>
        <w:rPr>
          <w:rFonts w:ascii="Calibri" w:hAnsi="Calibri" w:cs="Calibri"/>
          <w:sz w:val="22"/>
          <w:szCs w:val="22"/>
        </w:rPr>
      </w:pPr>
    </w:p>
    <w:p w14:paraId="27294205" w14:textId="56D8CE4F" w:rsidR="00A46B88" w:rsidRPr="00B904A6" w:rsidRDefault="00A46B88" w:rsidP="00A46B88">
      <w:pPr>
        <w:spacing w:after="0" w:line="240" w:lineRule="auto"/>
        <w:rPr>
          <w:rFonts w:ascii="Calibri" w:hAnsi="Calibri" w:cs="Calibri"/>
          <w:sz w:val="22"/>
          <w:szCs w:val="22"/>
        </w:rPr>
      </w:pPr>
      <w:r w:rsidRPr="00A46B88">
        <w:rPr>
          <w:rFonts w:ascii="Calibri" w:hAnsi="Calibri" w:cs="Calibri"/>
          <w:sz w:val="22"/>
          <w:szCs w:val="22"/>
        </w:rPr>
        <w:t>Patton emphasises the researcher's central role as the instrument in qualitative studies. He advises carefully considering researcher effects, using multiple methods, analysts and theories to overcome scepticism, and returning to the data repeatedly during analysis. The article guides researchers in establishing the reliability and validity of semi-structured interview studies.</w:t>
      </w:r>
    </w:p>
    <w:p w14:paraId="7C5D229D" w14:textId="77777777" w:rsidR="00B904A6" w:rsidRPr="00B904A6" w:rsidRDefault="00B904A6" w:rsidP="00B904A6">
      <w:pPr>
        <w:spacing w:after="0" w:line="240" w:lineRule="auto"/>
        <w:rPr>
          <w:rFonts w:ascii="Calibri" w:hAnsi="Calibri" w:cs="Calibri"/>
          <w:sz w:val="22"/>
          <w:szCs w:val="22"/>
        </w:rPr>
      </w:pPr>
    </w:p>
    <w:p w14:paraId="1DD41F5B" w14:textId="4C295E41" w:rsidR="00B904A6" w:rsidRPr="00B904A6" w:rsidRDefault="00B904A6" w:rsidP="00B904A6">
      <w:pPr>
        <w:spacing w:after="0" w:line="240" w:lineRule="auto"/>
        <w:rPr>
          <w:rFonts w:ascii="Calibri" w:hAnsi="Calibri" w:cs="Calibri"/>
          <w:b/>
          <w:bCs/>
          <w:sz w:val="22"/>
          <w:szCs w:val="22"/>
        </w:rPr>
      </w:pPr>
      <w:r w:rsidRPr="00B904A6">
        <w:rPr>
          <w:rFonts w:ascii="Calibri" w:hAnsi="Calibri" w:cs="Calibri"/>
          <w:b/>
          <w:bCs/>
          <w:sz w:val="22"/>
          <w:szCs w:val="22"/>
        </w:rPr>
        <w:t>Verbatim quotes Caroline likes:</w:t>
      </w:r>
    </w:p>
    <w:p w14:paraId="6DC3AD8A" w14:textId="77777777" w:rsidR="00B904A6" w:rsidRPr="00B904A6" w:rsidRDefault="00B904A6" w:rsidP="00B904A6">
      <w:pPr>
        <w:spacing w:after="0" w:line="240" w:lineRule="auto"/>
        <w:rPr>
          <w:rFonts w:ascii="Calibri" w:hAnsi="Calibri" w:cs="Calibri"/>
          <w:sz w:val="22"/>
          <w:szCs w:val="22"/>
        </w:rPr>
      </w:pPr>
    </w:p>
    <w:p w14:paraId="11AC6B35" w14:textId="77777777" w:rsidR="00B7520B" w:rsidRPr="00B7520B" w:rsidRDefault="00B7520B" w:rsidP="00B7520B">
      <w:pPr>
        <w:spacing w:after="0" w:line="240" w:lineRule="auto"/>
        <w:rPr>
          <w:rFonts w:ascii="Calibri" w:hAnsi="Calibri" w:cs="Calibri"/>
          <w:b/>
          <w:bCs/>
          <w:sz w:val="22"/>
          <w:szCs w:val="22"/>
        </w:rPr>
      </w:pPr>
      <w:r w:rsidRPr="00B7520B">
        <w:rPr>
          <w:rFonts w:ascii="Calibri" w:hAnsi="Calibri" w:cs="Calibri"/>
          <w:b/>
          <w:bCs/>
          <w:sz w:val="22"/>
          <w:szCs w:val="22"/>
        </w:rPr>
        <w:t>Drost, E. A. (2011). Validity and reliability in social science research. Education Research and Perspectives, 38(1), 105-123.</w:t>
      </w:r>
    </w:p>
    <w:p w14:paraId="0FC277EA" w14:textId="77777777" w:rsidR="00B7520B" w:rsidRDefault="00B7520B" w:rsidP="00B904A6">
      <w:pPr>
        <w:spacing w:after="0" w:line="240" w:lineRule="auto"/>
        <w:rPr>
          <w:rFonts w:ascii="Calibri" w:hAnsi="Calibri" w:cs="Calibri"/>
          <w:sz w:val="22"/>
          <w:szCs w:val="22"/>
        </w:rPr>
      </w:pPr>
    </w:p>
    <w:p w14:paraId="2A69AF53" w14:textId="202D9539" w:rsidR="00B904A6" w:rsidRPr="00B904A6" w:rsidRDefault="00B904A6" w:rsidP="00B904A6">
      <w:pPr>
        <w:spacing w:after="0" w:line="240" w:lineRule="auto"/>
        <w:rPr>
          <w:rFonts w:ascii="Calibri" w:hAnsi="Calibri" w:cs="Calibri"/>
          <w:sz w:val="22"/>
          <w:szCs w:val="22"/>
        </w:rPr>
      </w:pPr>
      <w:r w:rsidRPr="00B904A6">
        <w:rPr>
          <w:rFonts w:ascii="Calibri" w:hAnsi="Calibri" w:cs="Calibri"/>
          <w:sz w:val="22"/>
          <w:szCs w:val="22"/>
        </w:rPr>
        <w:t xml:space="preserve">1. </w:t>
      </w:r>
      <w:r>
        <w:rPr>
          <w:rFonts w:ascii="Calibri" w:hAnsi="Calibri" w:cs="Calibri"/>
          <w:sz w:val="22"/>
          <w:szCs w:val="22"/>
        </w:rPr>
        <w:t>‘</w:t>
      </w:r>
      <w:r w:rsidRPr="00B904A6">
        <w:rPr>
          <w:rFonts w:ascii="Calibri" w:hAnsi="Calibri" w:cs="Calibri"/>
          <w:sz w:val="22"/>
          <w:szCs w:val="22"/>
        </w:rPr>
        <w:t>An important part of social science research is the quantification of human behaviour — that is, using measurement instruments to observe human behaviour.</w:t>
      </w:r>
      <w:r>
        <w:rPr>
          <w:rFonts w:ascii="Calibri" w:hAnsi="Calibri" w:cs="Calibri"/>
          <w:sz w:val="22"/>
          <w:szCs w:val="22"/>
        </w:rPr>
        <w:t>’</w:t>
      </w:r>
    </w:p>
    <w:p w14:paraId="3377C949" w14:textId="61BE0B44" w:rsidR="00B904A6" w:rsidRPr="00B904A6" w:rsidRDefault="00B904A6" w:rsidP="00B904A6">
      <w:pPr>
        <w:spacing w:after="0" w:line="240" w:lineRule="auto"/>
        <w:rPr>
          <w:rFonts w:ascii="Calibri" w:hAnsi="Calibri" w:cs="Calibri"/>
          <w:sz w:val="22"/>
          <w:szCs w:val="22"/>
        </w:rPr>
      </w:pPr>
      <w:r w:rsidRPr="00B904A6">
        <w:rPr>
          <w:rFonts w:ascii="Calibri" w:hAnsi="Calibri" w:cs="Calibri"/>
          <w:sz w:val="22"/>
          <w:szCs w:val="22"/>
        </w:rPr>
        <w:t xml:space="preserve">2. </w:t>
      </w:r>
      <w:r>
        <w:rPr>
          <w:rFonts w:ascii="Calibri" w:hAnsi="Calibri" w:cs="Calibri"/>
          <w:sz w:val="22"/>
          <w:szCs w:val="22"/>
        </w:rPr>
        <w:t>‘</w:t>
      </w:r>
      <w:r w:rsidRPr="00B904A6">
        <w:rPr>
          <w:rFonts w:ascii="Calibri" w:hAnsi="Calibri" w:cs="Calibri"/>
          <w:sz w:val="22"/>
          <w:szCs w:val="22"/>
        </w:rPr>
        <w:t>Reliability is consistency of measurement, or stability of measurement over a variety of conditions in which basically the same results should be obtained.</w:t>
      </w:r>
      <w:r>
        <w:rPr>
          <w:rFonts w:ascii="Calibri" w:hAnsi="Calibri" w:cs="Calibri"/>
          <w:sz w:val="22"/>
          <w:szCs w:val="22"/>
        </w:rPr>
        <w:t>’</w:t>
      </w:r>
      <w:r w:rsidRPr="00B904A6">
        <w:rPr>
          <w:rFonts w:ascii="Calibri" w:hAnsi="Calibri" w:cs="Calibri"/>
          <w:sz w:val="22"/>
          <w:szCs w:val="22"/>
        </w:rPr>
        <w:t xml:space="preserve">  </w:t>
      </w:r>
    </w:p>
    <w:p w14:paraId="1571CFF6" w14:textId="735585D7" w:rsidR="00B904A6" w:rsidRPr="00B904A6" w:rsidRDefault="00B904A6" w:rsidP="00B904A6">
      <w:pPr>
        <w:spacing w:after="0" w:line="240" w:lineRule="auto"/>
        <w:rPr>
          <w:rFonts w:ascii="Calibri" w:hAnsi="Calibri" w:cs="Calibri"/>
          <w:sz w:val="22"/>
          <w:szCs w:val="22"/>
        </w:rPr>
      </w:pPr>
      <w:r w:rsidRPr="00B904A6">
        <w:rPr>
          <w:rFonts w:ascii="Calibri" w:hAnsi="Calibri" w:cs="Calibri"/>
          <w:sz w:val="22"/>
          <w:szCs w:val="22"/>
        </w:rPr>
        <w:t xml:space="preserve">3. </w:t>
      </w:r>
      <w:r>
        <w:rPr>
          <w:rFonts w:ascii="Calibri" w:hAnsi="Calibri" w:cs="Calibri"/>
          <w:sz w:val="22"/>
          <w:szCs w:val="22"/>
        </w:rPr>
        <w:t>‘</w:t>
      </w:r>
      <w:r w:rsidRPr="00B904A6">
        <w:rPr>
          <w:rFonts w:ascii="Calibri" w:hAnsi="Calibri" w:cs="Calibri"/>
          <w:sz w:val="22"/>
          <w:szCs w:val="22"/>
        </w:rPr>
        <w:t>Validity is concerned with the meaningfulness of research components.</w:t>
      </w:r>
      <w:r>
        <w:rPr>
          <w:rFonts w:ascii="Calibri" w:hAnsi="Calibri" w:cs="Calibri"/>
          <w:sz w:val="22"/>
          <w:szCs w:val="22"/>
        </w:rPr>
        <w:t>’</w:t>
      </w:r>
    </w:p>
    <w:p w14:paraId="4A43CD0F" w14:textId="23E0809B" w:rsidR="00B904A6" w:rsidRPr="00B904A6" w:rsidRDefault="00B904A6" w:rsidP="00B904A6">
      <w:pPr>
        <w:spacing w:after="0" w:line="240" w:lineRule="auto"/>
        <w:rPr>
          <w:rFonts w:ascii="Calibri" w:hAnsi="Calibri" w:cs="Calibri"/>
          <w:sz w:val="22"/>
          <w:szCs w:val="22"/>
        </w:rPr>
      </w:pPr>
      <w:r w:rsidRPr="00B904A6">
        <w:rPr>
          <w:rFonts w:ascii="Calibri" w:hAnsi="Calibri" w:cs="Calibri"/>
          <w:sz w:val="22"/>
          <w:szCs w:val="22"/>
        </w:rPr>
        <w:t xml:space="preserve">4. </w:t>
      </w:r>
      <w:r>
        <w:rPr>
          <w:rFonts w:ascii="Calibri" w:hAnsi="Calibri" w:cs="Calibri"/>
          <w:sz w:val="22"/>
          <w:szCs w:val="22"/>
        </w:rPr>
        <w:t>‘</w:t>
      </w:r>
      <w:r w:rsidRPr="00B904A6">
        <w:rPr>
          <w:rFonts w:ascii="Calibri" w:hAnsi="Calibri" w:cs="Calibri"/>
          <w:sz w:val="22"/>
          <w:szCs w:val="22"/>
        </w:rPr>
        <w:t>It is possible to have a very reliable measure that is not valid.</w:t>
      </w:r>
      <w:r>
        <w:rPr>
          <w:rFonts w:ascii="Calibri" w:hAnsi="Calibri" w:cs="Calibri"/>
          <w:sz w:val="22"/>
          <w:szCs w:val="22"/>
        </w:rPr>
        <w:t>’</w:t>
      </w:r>
      <w:r w:rsidRPr="00B904A6">
        <w:rPr>
          <w:rFonts w:ascii="Calibri" w:hAnsi="Calibri" w:cs="Calibri"/>
          <w:sz w:val="22"/>
          <w:szCs w:val="22"/>
        </w:rPr>
        <w:t xml:space="preserve"> </w:t>
      </w:r>
    </w:p>
    <w:p w14:paraId="261E973C" w14:textId="2DD72A85" w:rsidR="00B904A6" w:rsidRPr="00B904A6" w:rsidRDefault="00B904A6" w:rsidP="00B904A6">
      <w:pPr>
        <w:spacing w:after="0" w:line="240" w:lineRule="auto"/>
        <w:rPr>
          <w:rFonts w:ascii="Calibri" w:hAnsi="Calibri" w:cs="Calibri"/>
          <w:sz w:val="22"/>
          <w:szCs w:val="22"/>
        </w:rPr>
      </w:pPr>
      <w:r w:rsidRPr="00B904A6">
        <w:rPr>
          <w:rFonts w:ascii="Calibri" w:hAnsi="Calibri" w:cs="Calibri"/>
          <w:sz w:val="22"/>
          <w:szCs w:val="22"/>
        </w:rPr>
        <w:t xml:space="preserve">5. </w:t>
      </w:r>
      <w:r>
        <w:rPr>
          <w:rFonts w:ascii="Calibri" w:hAnsi="Calibri" w:cs="Calibri"/>
          <w:sz w:val="22"/>
          <w:szCs w:val="22"/>
        </w:rPr>
        <w:t>‘</w:t>
      </w:r>
      <w:r w:rsidRPr="00B904A6">
        <w:rPr>
          <w:rFonts w:ascii="Calibri" w:hAnsi="Calibri" w:cs="Calibri"/>
          <w:sz w:val="22"/>
          <w:szCs w:val="22"/>
        </w:rPr>
        <w:t>A satisfactory level of reliability depends on how a measure is being used.</w:t>
      </w:r>
      <w:r>
        <w:rPr>
          <w:rFonts w:ascii="Calibri" w:hAnsi="Calibri" w:cs="Calibri"/>
          <w:sz w:val="22"/>
          <w:szCs w:val="22"/>
        </w:rPr>
        <w:t>’</w:t>
      </w:r>
    </w:p>
    <w:p w14:paraId="7E9CAA04" w14:textId="77777777" w:rsidR="00B904A6" w:rsidRPr="00B904A6" w:rsidRDefault="00B904A6" w:rsidP="00B904A6">
      <w:pPr>
        <w:spacing w:after="0" w:line="240" w:lineRule="auto"/>
        <w:rPr>
          <w:rFonts w:ascii="Calibri" w:hAnsi="Calibri" w:cs="Calibri"/>
          <w:sz w:val="22"/>
          <w:szCs w:val="22"/>
        </w:rPr>
      </w:pPr>
    </w:p>
    <w:p w14:paraId="64458E49" w14:textId="77777777" w:rsidR="00B7520B" w:rsidRPr="00B7520B" w:rsidRDefault="00B7520B" w:rsidP="00B7520B">
      <w:pPr>
        <w:spacing w:after="0" w:line="240" w:lineRule="auto"/>
        <w:rPr>
          <w:rFonts w:ascii="Calibri" w:hAnsi="Calibri" w:cs="Calibri"/>
          <w:b/>
          <w:bCs/>
          <w:sz w:val="22"/>
          <w:szCs w:val="22"/>
        </w:rPr>
      </w:pPr>
      <w:proofErr w:type="spellStart"/>
      <w:r w:rsidRPr="00B7520B">
        <w:rPr>
          <w:rFonts w:ascii="Calibri" w:hAnsi="Calibri" w:cs="Calibri"/>
          <w:b/>
          <w:bCs/>
          <w:sz w:val="22"/>
          <w:szCs w:val="22"/>
        </w:rPr>
        <w:t>Golafshani</w:t>
      </w:r>
      <w:proofErr w:type="spellEnd"/>
      <w:r w:rsidRPr="00B7520B">
        <w:rPr>
          <w:rFonts w:ascii="Calibri" w:hAnsi="Calibri" w:cs="Calibri"/>
          <w:b/>
          <w:bCs/>
          <w:sz w:val="22"/>
          <w:szCs w:val="22"/>
        </w:rPr>
        <w:t>, N. (2003). Understanding reliability and validity in qualitative research. The Qualitative Report, 8(4), 597-606.</w:t>
      </w:r>
    </w:p>
    <w:p w14:paraId="7BDFC528" w14:textId="77777777" w:rsidR="00B7520B" w:rsidRDefault="00B7520B" w:rsidP="00B904A6">
      <w:pPr>
        <w:spacing w:after="0" w:line="240" w:lineRule="auto"/>
        <w:rPr>
          <w:rFonts w:ascii="Calibri" w:hAnsi="Calibri" w:cs="Calibri"/>
          <w:sz w:val="22"/>
          <w:szCs w:val="22"/>
        </w:rPr>
      </w:pPr>
    </w:p>
    <w:p w14:paraId="5BBA9480" w14:textId="02330F54" w:rsidR="00B904A6" w:rsidRPr="00B904A6" w:rsidRDefault="00B904A6" w:rsidP="00B904A6">
      <w:pPr>
        <w:spacing w:after="0" w:line="240" w:lineRule="auto"/>
        <w:rPr>
          <w:rFonts w:ascii="Calibri" w:hAnsi="Calibri" w:cs="Calibri"/>
          <w:sz w:val="22"/>
          <w:szCs w:val="22"/>
        </w:rPr>
      </w:pPr>
      <w:r w:rsidRPr="00B904A6">
        <w:rPr>
          <w:rFonts w:ascii="Calibri" w:hAnsi="Calibri" w:cs="Calibri"/>
          <w:sz w:val="22"/>
          <w:szCs w:val="22"/>
        </w:rPr>
        <w:t xml:space="preserve">1. </w:t>
      </w:r>
      <w:r>
        <w:rPr>
          <w:rFonts w:ascii="Calibri" w:hAnsi="Calibri" w:cs="Calibri"/>
          <w:sz w:val="22"/>
          <w:szCs w:val="22"/>
        </w:rPr>
        <w:t>‘</w:t>
      </w:r>
      <w:r w:rsidRPr="00B904A6">
        <w:rPr>
          <w:rFonts w:ascii="Calibri" w:hAnsi="Calibri" w:cs="Calibri"/>
          <w:sz w:val="22"/>
          <w:szCs w:val="22"/>
        </w:rPr>
        <w:t>The use of reliability and validity are common in quantitative research and now it is reconsidered in the qualitative research paradigm.</w:t>
      </w:r>
      <w:r>
        <w:rPr>
          <w:rFonts w:ascii="Calibri" w:hAnsi="Calibri" w:cs="Calibri"/>
          <w:sz w:val="22"/>
          <w:szCs w:val="22"/>
        </w:rPr>
        <w:t>’</w:t>
      </w:r>
    </w:p>
    <w:p w14:paraId="1FDFE957" w14:textId="3F5395BD" w:rsidR="00B904A6" w:rsidRPr="00B904A6" w:rsidRDefault="00B904A6" w:rsidP="00B904A6">
      <w:pPr>
        <w:spacing w:after="0" w:line="240" w:lineRule="auto"/>
        <w:rPr>
          <w:rFonts w:ascii="Calibri" w:hAnsi="Calibri" w:cs="Calibri"/>
          <w:sz w:val="22"/>
          <w:szCs w:val="22"/>
        </w:rPr>
      </w:pPr>
      <w:r w:rsidRPr="00B904A6">
        <w:rPr>
          <w:rFonts w:ascii="Calibri" w:hAnsi="Calibri" w:cs="Calibri"/>
          <w:sz w:val="22"/>
          <w:szCs w:val="22"/>
        </w:rPr>
        <w:t xml:space="preserve">2. </w:t>
      </w:r>
      <w:r>
        <w:rPr>
          <w:rFonts w:ascii="Calibri" w:hAnsi="Calibri" w:cs="Calibri"/>
          <w:sz w:val="22"/>
          <w:szCs w:val="22"/>
        </w:rPr>
        <w:t>‘</w:t>
      </w:r>
      <w:r w:rsidRPr="00B904A6">
        <w:rPr>
          <w:rFonts w:ascii="Calibri" w:hAnsi="Calibri" w:cs="Calibri"/>
          <w:sz w:val="22"/>
          <w:szCs w:val="22"/>
        </w:rPr>
        <w:t>Since reliability and validity are rooted in positivist perspective then they should be redefined for their use in a naturalistic approach.</w:t>
      </w:r>
      <w:r>
        <w:rPr>
          <w:rFonts w:ascii="Calibri" w:hAnsi="Calibri" w:cs="Calibri"/>
          <w:sz w:val="22"/>
          <w:szCs w:val="22"/>
        </w:rPr>
        <w:t>’</w:t>
      </w:r>
    </w:p>
    <w:p w14:paraId="6C07653A" w14:textId="513710F6" w:rsidR="00B904A6" w:rsidRPr="00B904A6" w:rsidRDefault="00B904A6" w:rsidP="00B904A6">
      <w:pPr>
        <w:spacing w:after="0" w:line="240" w:lineRule="auto"/>
        <w:rPr>
          <w:rFonts w:ascii="Calibri" w:hAnsi="Calibri" w:cs="Calibri"/>
          <w:sz w:val="22"/>
          <w:szCs w:val="22"/>
        </w:rPr>
      </w:pPr>
      <w:r w:rsidRPr="00B904A6">
        <w:rPr>
          <w:rFonts w:ascii="Calibri" w:hAnsi="Calibri" w:cs="Calibri"/>
          <w:sz w:val="22"/>
          <w:szCs w:val="22"/>
        </w:rPr>
        <w:t xml:space="preserve">3. </w:t>
      </w:r>
      <w:r>
        <w:rPr>
          <w:rFonts w:ascii="Calibri" w:hAnsi="Calibri" w:cs="Calibri"/>
          <w:sz w:val="22"/>
          <w:szCs w:val="22"/>
        </w:rPr>
        <w:t>‘</w:t>
      </w:r>
      <w:r w:rsidRPr="00B904A6">
        <w:rPr>
          <w:rFonts w:ascii="Calibri" w:hAnsi="Calibri" w:cs="Calibri"/>
          <w:sz w:val="22"/>
          <w:szCs w:val="22"/>
        </w:rPr>
        <w:t>In qualitative paradigms the terms Credibility, Neutrality or Confirmability, Consistency or Dependability and Applicability or Transferability are to be the essential criteria for quality.</w:t>
      </w:r>
      <w:r>
        <w:rPr>
          <w:rFonts w:ascii="Calibri" w:hAnsi="Calibri" w:cs="Calibri"/>
          <w:sz w:val="22"/>
          <w:szCs w:val="22"/>
        </w:rPr>
        <w:t>’</w:t>
      </w:r>
    </w:p>
    <w:p w14:paraId="72C34BDE" w14:textId="0FAC52D6" w:rsidR="00B904A6" w:rsidRPr="00B904A6" w:rsidRDefault="00B904A6" w:rsidP="00B904A6">
      <w:pPr>
        <w:spacing w:after="0" w:line="240" w:lineRule="auto"/>
        <w:rPr>
          <w:rFonts w:ascii="Calibri" w:hAnsi="Calibri" w:cs="Calibri"/>
          <w:sz w:val="22"/>
          <w:szCs w:val="22"/>
        </w:rPr>
      </w:pPr>
      <w:r w:rsidRPr="00B904A6">
        <w:rPr>
          <w:rFonts w:ascii="Calibri" w:hAnsi="Calibri" w:cs="Calibri"/>
          <w:sz w:val="22"/>
          <w:szCs w:val="22"/>
        </w:rPr>
        <w:t xml:space="preserve">4. </w:t>
      </w:r>
      <w:r>
        <w:rPr>
          <w:rFonts w:ascii="Calibri" w:hAnsi="Calibri" w:cs="Calibri"/>
          <w:sz w:val="22"/>
          <w:szCs w:val="22"/>
        </w:rPr>
        <w:t>‘</w:t>
      </w:r>
      <w:r w:rsidRPr="00B904A6">
        <w:rPr>
          <w:rFonts w:ascii="Calibri" w:hAnsi="Calibri" w:cs="Calibri"/>
          <w:sz w:val="22"/>
          <w:szCs w:val="22"/>
        </w:rPr>
        <w:t xml:space="preserve">To widen the spectrum of conceptualization of reliability and revealing the congruence of reliability and validity in qualitative research, Lincoln and Guba states that: </w:t>
      </w:r>
      <w:r>
        <w:rPr>
          <w:rFonts w:ascii="Calibri" w:hAnsi="Calibri" w:cs="Calibri"/>
          <w:sz w:val="22"/>
          <w:szCs w:val="22"/>
        </w:rPr>
        <w:t>‘</w:t>
      </w:r>
      <w:r w:rsidRPr="00B904A6">
        <w:rPr>
          <w:rFonts w:ascii="Calibri" w:hAnsi="Calibri" w:cs="Calibri"/>
          <w:sz w:val="22"/>
          <w:szCs w:val="22"/>
        </w:rPr>
        <w:t>Since there can be no validity without reliability, a demonstration of the former [validity] is sufficient to establish the latter [reliability;]</w:t>
      </w:r>
      <w:r>
        <w:rPr>
          <w:rFonts w:ascii="Calibri" w:hAnsi="Calibri" w:cs="Calibri"/>
          <w:sz w:val="22"/>
          <w:szCs w:val="22"/>
        </w:rPr>
        <w:t>’</w:t>
      </w:r>
      <w:r w:rsidRPr="00B904A6">
        <w:rPr>
          <w:rFonts w:ascii="Calibri" w:hAnsi="Calibri" w:cs="Calibri"/>
          <w:sz w:val="22"/>
          <w:szCs w:val="22"/>
        </w:rPr>
        <w:t>.</w:t>
      </w:r>
      <w:r>
        <w:rPr>
          <w:rFonts w:ascii="Calibri" w:hAnsi="Calibri" w:cs="Calibri"/>
          <w:sz w:val="22"/>
          <w:szCs w:val="22"/>
        </w:rPr>
        <w:t>’</w:t>
      </w:r>
      <w:r w:rsidRPr="00B904A6">
        <w:rPr>
          <w:rFonts w:ascii="Calibri" w:hAnsi="Calibri" w:cs="Calibri"/>
          <w:sz w:val="22"/>
          <w:szCs w:val="22"/>
        </w:rPr>
        <w:t xml:space="preserve"> </w:t>
      </w:r>
    </w:p>
    <w:p w14:paraId="49426FC5" w14:textId="0F3EF931" w:rsidR="00B904A6" w:rsidRPr="00B904A6" w:rsidRDefault="00B904A6" w:rsidP="00B904A6">
      <w:pPr>
        <w:spacing w:after="0" w:line="240" w:lineRule="auto"/>
        <w:rPr>
          <w:rFonts w:ascii="Calibri" w:hAnsi="Calibri" w:cs="Calibri"/>
          <w:sz w:val="22"/>
          <w:szCs w:val="22"/>
        </w:rPr>
      </w:pPr>
      <w:r w:rsidRPr="00B904A6">
        <w:rPr>
          <w:rFonts w:ascii="Calibri" w:hAnsi="Calibri" w:cs="Calibri"/>
          <w:sz w:val="22"/>
          <w:szCs w:val="22"/>
        </w:rPr>
        <w:t xml:space="preserve">5. </w:t>
      </w:r>
      <w:r>
        <w:rPr>
          <w:rFonts w:ascii="Calibri" w:hAnsi="Calibri" w:cs="Calibri"/>
          <w:sz w:val="22"/>
          <w:szCs w:val="22"/>
        </w:rPr>
        <w:t>‘</w:t>
      </w:r>
      <w:r w:rsidRPr="00B904A6">
        <w:rPr>
          <w:rFonts w:ascii="Calibri" w:hAnsi="Calibri" w:cs="Calibri"/>
          <w:sz w:val="22"/>
          <w:szCs w:val="22"/>
        </w:rPr>
        <w:t>Triangulation strengthens a study by combining methods. This can mean using several kinds of methods or data, including using both quantitative and qualitative approaches.</w:t>
      </w:r>
      <w:r>
        <w:rPr>
          <w:rFonts w:ascii="Calibri" w:hAnsi="Calibri" w:cs="Calibri"/>
          <w:sz w:val="22"/>
          <w:szCs w:val="22"/>
        </w:rPr>
        <w:t>’</w:t>
      </w:r>
    </w:p>
    <w:p w14:paraId="14C6B69B" w14:textId="77777777" w:rsidR="00B904A6" w:rsidRPr="00B904A6" w:rsidRDefault="00B904A6" w:rsidP="00B904A6">
      <w:pPr>
        <w:spacing w:after="0" w:line="240" w:lineRule="auto"/>
        <w:rPr>
          <w:rFonts w:ascii="Calibri" w:hAnsi="Calibri" w:cs="Calibri"/>
          <w:sz w:val="22"/>
          <w:szCs w:val="22"/>
        </w:rPr>
      </w:pPr>
    </w:p>
    <w:p w14:paraId="7C3CCBD1" w14:textId="77777777" w:rsidR="0004735C" w:rsidRPr="0004735C" w:rsidRDefault="0004735C" w:rsidP="0004735C">
      <w:pPr>
        <w:spacing w:after="0" w:line="240" w:lineRule="auto"/>
        <w:rPr>
          <w:rFonts w:ascii="Calibri" w:hAnsi="Calibri" w:cs="Calibri"/>
          <w:b/>
          <w:bCs/>
          <w:sz w:val="22"/>
          <w:szCs w:val="22"/>
        </w:rPr>
      </w:pPr>
      <w:proofErr w:type="spellStart"/>
      <w:r w:rsidRPr="0004735C">
        <w:rPr>
          <w:rFonts w:ascii="Calibri" w:hAnsi="Calibri" w:cs="Calibri"/>
          <w:b/>
          <w:bCs/>
          <w:sz w:val="22"/>
          <w:szCs w:val="22"/>
        </w:rPr>
        <w:t>Bapir</w:t>
      </w:r>
      <w:proofErr w:type="spellEnd"/>
      <w:r w:rsidRPr="0004735C">
        <w:rPr>
          <w:rFonts w:ascii="Calibri" w:hAnsi="Calibri" w:cs="Calibri"/>
          <w:b/>
          <w:bCs/>
          <w:sz w:val="22"/>
          <w:szCs w:val="22"/>
        </w:rPr>
        <w:t>, M. A. (2012). Is it possible for qualitative research to be properly valid and reliable? University of Warwick. https://www.academia.edu/997438/Validity_and_Reliability_in_Qualitative_Research</w:t>
      </w:r>
    </w:p>
    <w:p w14:paraId="4E00E5E1" w14:textId="77777777" w:rsidR="0004735C" w:rsidRDefault="0004735C" w:rsidP="00B904A6">
      <w:pPr>
        <w:spacing w:after="0" w:line="240" w:lineRule="auto"/>
        <w:rPr>
          <w:rFonts w:ascii="Calibri" w:hAnsi="Calibri" w:cs="Calibri"/>
          <w:sz w:val="22"/>
          <w:szCs w:val="22"/>
        </w:rPr>
      </w:pPr>
    </w:p>
    <w:p w14:paraId="1A8C9269" w14:textId="6EF527B3" w:rsidR="00B904A6" w:rsidRPr="00B904A6" w:rsidRDefault="00B904A6" w:rsidP="00B904A6">
      <w:pPr>
        <w:spacing w:after="0" w:line="240" w:lineRule="auto"/>
        <w:rPr>
          <w:rFonts w:ascii="Calibri" w:hAnsi="Calibri" w:cs="Calibri"/>
          <w:sz w:val="22"/>
          <w:szCs w:val="22"/>
        </w:rPr>
      </w:pPr>
      <w:r w:rsidRPr="00B904A6">
        <w:rPr>
          <w:rFonts w:ascii="Calibri" w:hAnsi="Calibri" w:cs="Calibri"/>
          <w:sz w:val="22"/>
          <w:szCs w:val="22"/>
        </w:rPr>
        <w:lastRenderedPageBreak/>
        <w:t xml:space="preserve">1. </w:t>
      </w:r>
      <w:r>
        <w:rPr>
          <w:rFonts w:ascii="Calibri" w:hAnsi="Calibri" w:cs="Calibri"/>
          <w:sz w:val="22"/>
          <w:szCs w:val="22"/>
        </w:rPr>
        <w:t>‘</w:t>
      </w:r>
      <w:r w:rsidRPr="00B904A6">
        <w:rPr>
          <w:rFonts w:ascii="Calibri" w:hAnsi="Calibri" w:cs="Calibri"/>
          <w:sz w:val="22"/>
          <w:szCs w:val="22"/>
        </w:rPr>
        <w:t>Qualitative research uses a naturalistic approach that seeks to understand phenomena in context-specific settings, such as 'real world setting [where] the researcher does not attempt to manipulate the phenomenon of interest'.</w:t>
      </w:r>
      <w:r>
        <w:rPr>
          <w:rFonts w:ascii="Calibri" w:hAnsi="Calibri" w:cs="Calibri"/>
          <w:sz w:val="22"/>
          <w:szCs w:val="22"/>
        </w:rPr>
        <w:t>’</w:t>
      </w:r>
    </w:p>
    <w:p w14:paraId="1DD982FD" w14:textId="390759A6" w:rsidR="00B904A6" w:rsidRPr="00B904A6" w:rsidRDefault="00B904A6" w:rsidP="00B904A6">
      <w:pPr>
        <w:spacing w:after="0" w:line="240" w:lineRule="auto"/>
        <w:rPr>
          <w:rFonts w:ascii="Calibri" w:hAnsi="Calibri" w:cs="Calibri"/>
          <w:sz w:val="22"/>
          <w:szCs w:val="22"/>
        </w:rPr>
      </w:pPr>
      <w:r w:rsidRPr="00B904A6">
        <w:rPr>
          <w:rFonts w:ascii="Calibri" w:hAnsi="Calibri" w:cs="Calibri"/>
          <w:sz w:val="22"/>
          <w:szCs w:val="22"/>
        </w:rPr>
        <w:t xml:space="preserve">2. </w:t>
      </w:r>
      <w:r>
        <w:rPr>
          <w:rFonts w:ascii="Calibri" w:hAnsi="Calibri" w:cs="Calibri"/>
          <w:sz w:val="22"/>
          <w:szCs w:val="22"/>
        </w:rPr>
        <w:t>‘</w:t>
      </w:r>
      <w:r w:rsidRPr="00B904A6">
        <w:rPr>
          <w:rFonts w:ascii="Calibri" w:hAnsi="Calibri" w:cs="Calibri"/>
          <w:sz w:val="22"/>
          <w:szCs w:val="22"/>
        </w:rPr>
        <w:t>Validity in qualitative research means the extent to which the data is plausible, credible and trustworthy; and thus can be defended when challenged.</w:t>
      </w:r>
      <w:r>
        <w:rPr>
          <w:rFonts w:ascii="Calibri" w:hAnsi="Calibri" w:cs="Calibri"/>
          <w:sz w:val="22"/>
          <w:szCs w:val="22"/>
        </w:rPr>
        <w:t>’</w:t>
      </w:r>
    </w:p>
    <w:p w14:paraId="3C82EA45" w14:textId="4333E8DF" w:rsidR="00B904A6" w:rsidRPr="00B904A6" w:rsidRDefault="00B904A6" w:rsidP="00B904A6">
      <w:pPr>
        <w:spacing w:after="0" w:line="240" w:lineRule="auto"/>
        <w:rPr>
          <w:rFonts w:ascii="Calibri" w:hAnsi="Calibri" w:cs="Calibri"/>
          <w:sz w:val="22"/>
          <w:szCs w:val="22"/>
        </w:rPr>
      </w:pPr>
      <w:r w:rsidRPr="00B904A6">
        <w:rPr>
          <w:rFonts w:ascii="Calibri" w:hAnsi="Calibri" w:cs="Calibri"/>
          <w:sz w:val="22"/>
          <w:szCs w:val="22"/>
        </w:rPr>
        <w:t xml:space="preserve">3. </w:t>
      </w:r>
      <w:r>
        <w:rPr>
          <w:rFonts w:ascii="Calibri" w:hAnsi="Calibri" w:cs="Calibri"/>
          <w:sz w:val="22"/>
          <w:szCs w:val="22"/>
        </w:rPr>
        <w:t>‘</w:t>
      </w:r>
      <w:r w:rsidRPr="00B904A6">
        <w:rPr>
          <w:rFonts w:ascii="Calibri" w:hAnsi="Calibri" w:cs="Calibri"/>
          <w:sz w:val="22"/>
          <w:szCs w:val="22"/>
        </w:rPr>
        <w:t>Reliability and validity are conceptualized as trustworthiness, rigor and quality in qualitative paradigm.</w:t>
      </w:r>
      <w:r>
        <w:rPr>
          <w:rFonts w:ascii="Calibri" w:hAnsi="Calibri" w:cs="Calibri"/>
          <w:sz w:val="22"/>
          <w:szCs w:val="22"/>
        </w:rPr>
        <w:t>’</w:t>
      </w:r>
      <w:r w:rsidRPr="00B904A6">
        <w:rPr>
          <w:rFonts w:ascii="Calibri" w:hAnsi="Calibri" w:cs="Calibri"/>
          <w:sz w:val="22"/>
          <w:szCs w:val="22"/>
        </w:rPr>
        <w:t xml:space="preserve"> </w:t>
      </w:r>
    </w:p>
    <w:p w14:paraId="0562220D" w14:textId="2B67F2C1" w:rsidR="00B904A6" w:rsidRPr="00B904A6" w:rsidRDefault="00B904A6" w:rsidP="00B904A6">
      <w:pPr>
        <w:spacing w:after="0" w:line="240" w:lineRule="auto"/>
        <w:rPr>
          <w:rFonts w:ascii="Calibri" w:hAnsi="Calibri" w:cs="Calibri"/>
          <w:sz w:val="22"/>
          <w:szCs w:val="22"/>
        </w:rPr>
      </w:pPr>
      <w:r w:rsidRPr="00B904A6">
        <w:rPr>
          <w:rFonts w:ascii="Calibri" w:hAnsi="Calibri" w:cs="Calibri"/>
          <w:sz w:val="22"/>
          <w:szCs w:val="22"/>
        </w:rPr>
        <w:t xml:space="preserve">4. </w:t>
      </w:r>
      <w:r>
        <w:rPr>
          <w:rFonts w:ascii="Calibri" w:hAnsi="Calibri" w:cs="Calibri"/>
          <w:sz w:val="22"/>
          <w:szCs w:val="22"/>
        </w:rPr>
        <w:t>‘</w:t>
      </w:r>
      <w:r w:rsidRPr="00B904A6">
        <w:rPr>
          <w:rFonts w:ascii="Calibri" w:hAnsi="Calibri" w:cs="Calibri"/>
          <w:sz w:val="22"/>
          <w:szCs w:val="22"/>
        </w:rPr>
        <w:t>It is the degree to which the finding is independent of accidental circumstances of the research.</w:t>
      </w:r>
      <w:r>
        <w:rPr>
          <w:rFonts w:ascii="Calibri" w:hAnsi="Calibri" w:cs="Calibri"/>
          <w:sz w:val="22"/>
          <w:szCs w:val="22"/>
        </w:rPr>
        <w:t>’</w:t>
      </w:r>
    </w:p>
    <w:p w14:paraId="20C0FD0E" w14:textId="6274F8AC" w:rsidR="00B904A6" w:rsidRPr="00B904A6" w:rsidRDefault="00B904A6" w:rsidP="00B904A6">
      <w:pPr>
        <w:spacing w:after="0" w:line="240" w:lineRule="auto"/>
        <w:rPr>
          <w:rFonts w:ascii="Calibri" w:hAnsi="Calibri" w:cs="Calibri"/>
          <w:sz w:val="22"/>
          <w:szCs w:val="22"/>
        </w:rPr>
      </w:pPr>
      <w:r w:rsidRPr="00B904A6">
        <w:rPr>
          <w:rFonts w:ascii="Calibri" w:hAnsi="Calibri" w:cs="Calibri"/>
          <w:sz w:val="22"/>
          <w:szCs w:val="22"/>
        </w:rPr>
        <w:t xml:space="preserve">5. </w:t>
      </w:r>
      <w:r>
        <w:rPr>
          <w:rFonts w:ascii="Calibri" w:hAnsi="Calibri" w:cs="Calibri"/>
          <w:sz w:val="22"/>
          <w:szCs w:val="22"/>
        </w:rPr>
        <w:t>‘</w:t>
      </w:r>
      <w:r w:rsidRPr="00B904A6">
        <w:rPr>
          <w:rFonts w:ascii="Calibri" w:hAnsi="Calibri" w:cs="Calibri"/>
          <w:sz w:val="22"/>
          <w:szCs w:val="22"/>
        </w:rPr>
        <w:t>Establishing validity and reliability in qualitative research can be less precise, though participant/member checks, peer evaluation (another researcher checks the researcher's inferences based on the instrument (Denzin &amp; Lincoln, 2005), and multiple methods (keyword: triangulation), are convincingly used.</w:t>
      </w:r>
      <w:r>
        <w:rPr>
          <w:rFonts w:ascii="Calibri" w:hAnsi="Calibri" w:cs="Calibri"/>
          <w:sz w:val="22"/>
          <w:szCs w:val="22"/>
        </w:rPr>
        <w:t>’</w:t>
      </w:r>
    </w:p>
    <w:p w14:paraId="26B8BBA2" w14:textId="77777777" w:rsidR="00B904A6" w:rsidRPr="00B904A6" w:rsidRDefault="00B904A6" w:rsidP="00B904A6">
      <w:pPr>
        <w:spacing w:after="0" w:line="240" w:lineRule="auto"/>
        <w:rPr>
          <w:rFonts w:ascii="Calibri" w:hAnsi="Calibri" w:cs="Calibri"/>
          <w:sz w:val="22"/>
          <w:szCs w:val="22"/>
        </w:rPr>
      </w:pPr>
    </w:p>
    <w:p w14:paraId="7B6F758B" w14:textId="77777777" w:rsidR="00F550BD" w:rsidRPr="00F550BD" w:rsidRDefault="00F550BD" w:rsidP="00F550BD">
      <w:pPr>
        <w:spacing w:after="0" w:line="240" w:lineRule="auto"/>
        <w:rPr>
          <w:rFonts w:ascii="Calibri" w:hAnsi="Calibri" w:cs="Calibri"/>
          <w:b/>
          <w:bCs/>
          <w:sz w:val="22"/>
          <w:szCs w:val="22"/>
        </w:rPr>
      </w:pPr>
      <w:r w:rsidRPr="00F550BD">
        <w:rPr>
          <w:rFonts w:ascii="Calibri" w:hAnsi="Calibri" w:cs="Calibri"/>
          <w:b/>
          <w:bCs/>
          <w:sz w:val="22"/>
          <w:szCs w:val="22"/>
        </w:rPr>
        <w:t>Miyazaki, A. D., &amp; Taylor, K. A. (2008). Researcher interaction biases and business ethics research: Respondent reactions to researcher characteristics. Journal of Business Ethics, 81(4), 779-795.</w:t>
      </w:r>
    </w:p>
    <w:p w14:paraId="459DEC14" w14:textId="5BB409A5" w:rsidR="00B904A6" w:rsidRPr="00B904A6" w:rsidRDefault="00B904A6" w:rsidP="00B904A6">
      <w:pPr>
        <w:spacing w:after="0" w:line="240" w:lineRule="auto"/>
        <w:rPr>
          <w:rFonts w:ascii="Calibri" w:hAnsi="Calibri" w:cs="Calibri"/>
          <w:sz w:val="22"/>
          <w:szCs w:val="22"/>
        </w:rPr>
      </w:pPr>
      <w:r w:rsidRPr="00B904A6">
        <w:rPr>
          <w:rFonts w:ascii="Calibri" w:hAnsi="Calibri" w:cs="Calibri"/>
          <w:sz w:val="22"/>
          <w:szCs w:val="22"/>
        </w:rPr>
        <w:t xml:space="preserve">1. </w:t>
      </w:r>
      <w:r>
        <w:rPr>
          <w:rFonts w:ascii="Calibri" w:hAnsi="Calibri" w:cs="Calibri"/>
          <w:sz w:val="22"/>
          <w:szCs w:val="22"/>
        </w:rPr>
        <w:t>‘</w:t>
      </w:r>
      <w:r w:rsidRPr="00B904A6">
        <w:rPr>
          <w:rFonts w:ascii="Calibri" w:hAnsi="Calibri" w:cs="Calibri"/>
          <w:sz w:val="22"/>
          <w:szCs w:val="22"/>
        </w:rPr>
        <w:t>Researcher interaction biases are of particular concern for business ethics researchers regardless of their preference for survey, experimental, or qualitative methodology.</w:t>
      </w:r>
      <w:r>
        <w:rPr>
          <w:rFonts w:ascii="Calibri" w:hAnsi="Calibri" w:cs="Calibri"/>
          <w:sz w:val="22"/>
          <w:szCs w:val="22"/>
        </w:rPr>
        <w:t>’</w:t>
      </w:r>
    </w:p>
    <w:p w14:paraId="5676A7D6" w14:textId="2FBCD4B5" w:rsidR="00B904A6" w:rsidRPr="00B904A6" w:rsidRDefault="00B904A6" w:rsidP="00B904A6">
      <w:pPr>
        <w:spacing w:after="0" w:line="240" w:lineRule="auto"/>
        <w:rPr>
          <w:rFonts w:ascii="Calibri" w:hAnsi="Calibri" w:cs="Calibri"/>
          <w:sz w:val="22"/>
          <w:szCs w:val="22"/>
        </w:rPr>
      </w:pPr>
      <w:r w:rsidRPr="00B904A6">
        <w:rPr>
          <w:rFonts w:ascii="Calibri" w:hAnsi="Calibri" w:cs="Calibri"/>
          <w:sz w:val="22"/>
          <w:szCs w:val="22"/>
        </w:rPr>
        <w:t xml:space="preserve">2. </w:t>
      </w:r>
      <w:r>
        <w:rPr>
          <w:rFonts w:ascii="Calibri" w:hAnsi="Calibri" w:cs="Calibri"/>
          <w:sz w:val="22"/>
          <w:szCs w:val="22"/>
        </w:rPr>
        <w:t>‘</w:t>
      </w:r>
      <w:r w:rsidRPr="00B904A6">
        <w:rPr>
          <w:rFonts w:ascii="Calibri" w:hAnsi="Calibri" w:cs="Calibri"/>
          <w:sz w:val="22"/>
          <w:szCs w:val="22"/>
        </w:rPr>
        <w:t>Concern with the potential for researcher interaction biases is of key concern to business ethics research, it is important to realize that the intuitive actions of researchers are often not sufficient to rid the data collection process of unnoticed biases.</w:t>
      </w:r>
      <w:r>
        <w:rPr>
          <w:rFonts w:ascii="Calibri" w:hAnsi="Calibri" w:cs="Calibri"/>
          <w:sz w:val="22"/>
          <w:szCs w:val="22"/>
        </w:rPr>
        <w:t>’</w:t>
      </w:r>
      <w:r w:rsidRPr="00B904A6">
        <w:rPr>
          <w:rFonts w:ascii="Calibri" w:hAnsi="Calibri" w:cs="Calibri"/>
          <w:sz w:val="22"/>
          <w:szCs w:val="22"/>
        </w:rPr>
        <w:t xml:space="preserve">  </w:t>
      </w:r>
    </w:p>
    <w:p w14:paraId="21119E27" w14:textId="0648B28F" w:rsidR="00B904A6" w:rsidRPr="00B904A6" w:rsidRDefault="00B904A6" w:rsidP="00B904A6">
      <w:pPr>
        <w:spacing w:after="0" w:line="240" w:lineRule="auto"/>
        <w:rPr>
          <w:rFonts w:ascii="Calibri" w:hAnsi="Calibri" w:cs="Calibri"/>
          <w:sz w:val="22"/>
          <w:szCs w:val="22"/>
        </w:rPr>
      </w:pPr>
      <w:r w:rsidRPr="00B904A6">
        <w:rPr>
          <w:rFonts w:ascii="Calibri" w:hAnsi="Calibri" w:cs="Calibri"/>
          <w:sz w:val="22"/>
          <w:szCs w:val="22"/>
        </w:rPr>
        <w:t xml:space="preserve">3. </w:t>
      </w:r>
      <w:r>
        <w:rPr>
          <w:rFonts w:ascii="Calibri" w:hAnsi="Calibri" w:cs="Calibri"/>
          <w:sz w:val="22"/>
          <w:szCs w:val="22"/>
        </w:rPr>
        <w:t>‘</w:t>
      </w:r>
      <w:r w:rsidRPr="00B904A6">
        <w:rPr>
          <w:rFonts w:ascii="Calibri" w:hAnsi="Calibri" w:cs="Calibri"/>
          <w:sz w:val="22"/>
          <w:szCs w:val="22"/>
        </w:rPr>
        <w:t>The changing composition of country-specific, region-specific, and global populations suggests that an even greater emphasis be placed on, at the very least, the potential influences of researchers' physical and background characteristics on participants' responses, and under which situations these effects become relevant.</w:t>
      </w:r>
      <w:r>
        <w:rPr>
          <w:rFonts w:ascii="Calibri" w:hAnsi="Calibri" w:cs="Calibri"/>
          <w:sz w:val="22"/>
          <w:szCs w:val="22"/>
        </w:rPr>
        <w:t>’</w:t>
      </w:r>
    </w:p>
    <w:p w14:paraId="3BECF6BD" w14:textId="3BED9B20" w:rsidR="00B904A6" w:rsidRPr="00B904A6" w:rsidRDefault="00B904A6" w:rsidP="00B904A6">
      <w:pPr>
        <w:spacing w:after="0" w:line="240" w:lineRule="auto"/>
        <w:rPr>
          <w:rFonts w:ascii="Calibri" w:hAnsi="Calibri" w:cs="Calibri"/>
          <w:sz w:val="22"/>
          <w:szCs w:val="22"/>
        </w:rPr>
      </w:pPr>
      <w:r w:rsidRPr="00B904A6">
        <w:rPr>
          <w:rFonts w:ascii="Calibri" w:hAnsi="Calibri" w:cs="Calibri"/>
          <w:sz w:val="22"/>
          <w:szCs w:val="22"/>
        </w:rPr>
        <w:t xml:space="preserve">4. </w:t>
      </w:r>
      <w:r>
        <w:rPr>
          <w:rFonts w:ascii="Calibri" w:hAnsi="Calibri" w:cs="Calibri"/>
          <w:sz w:val="22"/>
          <w:szCs w:val="22"/>
        </w:rPr>
        <w:t>‘</w:t>
      </w:r>
      <w:r w:rsidRPr="00B904A6">
        <w:rPr>
          <w:rFonts w:ascii="Calibri" w:hAnsi="Calibri" w:cs="Calibri"/>
          <w:sz w:val="22"/>
          <w:szCs w:val="22"/>
        </w:rPr>
        <w:t>With the exception of unobtrusive observational techniques, such as electronic monitoring, most data collection methods currently used in business ethics research are susceptible to a variety of interaction biases.</w:t>
      </w:r>
      <w:r>
        <w:rPr>
          <w:rFonts w:ascii="Calibri" w:hAnsi="Calibri" w:cs="Calibri"/>
          <w:sz w:val="22"/>
          <w:szCs w:val="22"/>
        </w:rPr>
        <w:t>’</w:t>
      </w:r>
    </w:p>
    <w:p w14:paraId="4DD2A642" w14:textId="2DA0B14D" w:rsidR="00A46B88" w:rsidRDefault="00B904A6" w:rsidP="00A46B88">
      <w:pPr>
        <w:spacing w:after="0" w:line="240" w:lineRule="auto"/>
        <w:rPr>
          <w:rFonts w:ascii="Calibri" w:hAnsi="Calibri" w:cs="Calibri"/>
          <w:sz w:val="22"/>
          <w:szCs w:val="22"/>
        </w:rPr>
      </w:pPr>
      <w:r w:rsidRPr="00B904A6">
        <w:rPr>
          <w:rFonts w:ascii="Calibri" w:hAnsi="Calibri" w:cs="Calibri"/>
          <w:sz w:val="22"/>
          <w:szCs w:val="22"/>
        </w:rPr>
        <w:t xml:space="preserve">5. </w:t>
      </w:r>
      <w:r>
        <w:rPr>
          <w:rFonts w:ascii="Calibri" w:hAnsi="Calibri" w:cs="Calibri"/>
          <w:sz w:val="22"/>
          <w:szCs w:val="22"/>
        </w:rPr>
        <w:t>‘</w:t>
      </w:r>
      <w:r w:rsidRPr="00B904A6">
        <w:rPr>
          <w:rFonts w:ascii="Calibri" w:hAnsi="Calibri" w:cs="Calibri"/>
          <w:sz w:val="22"/>
          <w:szCs w:val="22"/>
        </w:rPr>
        <w:t xml:space="preserve">Respondents will react more </w:t>
      </w:r>
      <w:r w:rsidR="00A1263B">
        <w:rPr>
          <w:rFonts w:ascii="Calibri" w:hAnsi="Calibri" w:cs="Calibri"/>
          <w:sz w:val="22"/>
          <w:szCs w:val="22"/>
        </w:rPr>
        <w:t>‘favour</w:t>
      </w:r>
      <w:r w:rsidRPr="00B904A6">
        <w:rPr>
          <w:rFonts w:ascii="Calibri" w:hAnsi="Calibri" w:cs="Calibri"/>
          <w:sz w:val="22"/>
          <w:szCs w:val="22"/>
        </w:rPr>
        <w:t>ably, or in this case more 'ethically,' when the person of interest (in this case the insurance agent being affected by the fraudulent activity) has characteristics similar to those of the researcher.</w:t>
      </w:r>
      <w:r>
        <w:rPr>
          <w:rFonts w:ascii="Calibri" w:hAnsi="Calibri" w:cs="Calibri"/>
          <w:sz w:val="22"/>
          <w:szCs w:val="22"/>
        </w:rPr>
        <w:t>’</w:t>
      </w:r>
    </w:p>
    <w:p w14:paraId="6CEBB768" w14:textId="77777777" w:rsidR="00A46B88" w:rsidRDefault="00A46B88" w:rsidP="00A46B88">
      <w:pPr>
        <w:spacing w:after="0" w:line="240" w:lineRule="auto"/>
        <w:rPr>
          <w:rFonts w:ascii="Calibri" w:hAnsi="Calibri" w:cs="Calibri"/>
          <w:sz w:val="22"/>
          <w:szCs w:val="22"/>
        </w:rPr>
      </w:pPr>
    </w:p>
    <w:p w14:paraId="25F351CF" w14:textId="26172B75" w:rsidR="00A46B88" w:rsidRDefault="00A46B88" w:rsidP="00A46B88">
      <w:pPr>
        <w:spacing w:after="0" w:line="240" w:lineRule="auto"/>
        <w:rPr>
          <w:rFonts w:ascii="Calibri" w:hAnsi="Calibri" w:cs="Calibri"/>
          <w:b/>
          <w:bCs/>
          <w:sz w:val="22"/>
          <w:szCs w:val="22"/>
        </w:rPr>
      </w:pPr>
      <w:r w:rsidRPr="00A46B88">
        <w:rPr>
          <w:rFonts w:ascii="Calibri" w:hAnsi="Calibri" w:cs="Calibri"/>
          <w:b/>
          <w:bCs/>
          <w:sz w:val="22"/>
          <w:szCs w:val="22"/>
        </w:rPr>
        <w:t>Patton, M. Q. (1999). Enhancing the quality and credibility of qualitative analysis. Health Services Research, 34(5 Pt 2), 1189-1208.</w:t>
      </w:r>
    </w:p>
    <w:p w14:paraId="0C18C741" w14:textId="77777777" w:rsidR="00A46B88" w:rsidRPr="00A46B88" w:rsidRDefault="00A46B88" w:rsidP="00A46B88">
      <w:pPr>
        <w:spacing w:after="0" w:line="240" w:lineRule="auto"/>
        <w:rPr>
          <w:rFonts w:ascii="Calibri" w:hAnsi="Calibri" w:cs="Calibri"/>
          <w:b/>
          <w:bCs/>
          <w:sz w:val="22"/>
          <w:szCs w:val="22"/>
        </w:rPr>
      </w:pPr>
    </w:p>
    <w:p w14:paraId="029646CC" w14:textId="76596459" w:rsidR="00A46B88" w:rsidRPr="00A46B88" w:rsidRDefault="00A46B88" w:rsidP="00A46B88">
      <w:pPr>
        <w:spacing w:after="0" w:line="240" w:lineRule="auto"/>
        <w:rPr>
          <w:rFonts w:ascii="Calibri" w:hAnsi="Calibri" w:cs="Calibri"/>
          <w:sz w:val="22"/>
          <w:szCs w:val="22"/>
        </w:rPr>
      </w:pPr>
      <w:r w:rsidRPr="00A46B88">
        <w:rPr>
          <w:rFonts w:ascii="Calibri" w:hAnsi="Calibri" w:cs="Calibri"/>
          <w:sz w:val="22"/>
          <w:szCs w:val="22"/>
        </w:rPr>
        <w:t xml:space="preserve">1. </w:t>
      </w:r>
      <w:r>
        <w:rPr>
          <w:rFonts w:ascii="Calibri" w:hAnsi="Calibri" w:cs="Calibri"/>
          <w:sz w:val="22"/>
          <w:szCs w:val="22"/>
        </w:rPr>
        <w:t>‘</w:t>
      </w:r>
      <w:r w:rsidRPr="00A46B88">
        <w:rPr>
          <w:rFonts w:ascii="Calibri" w:hAnsi="Calibri" w:cs="Calibri"/>
          <w:sz w:val="22"/>
          <w:szCs w:val="22"/>
        </w:rPr>
        <w:t>Because the researcher is the instrument in qualitative inquiry, a qualitative report must include information about the researcher. What experience, training, and perspective does the researcher bring to the field? What personal connections does the researcher have to the people, program, or topic studied?</w:t>
      </w:r>
      <w:r>
        <w:rPr>
          <w:rFonts w:ascii="Calibri" w:hAnsi="Calibri" w:cs="Calibri"/>
          <w:sz w:val="22"/>
          <w:szCs w:val="22"/>
        </w:rPr>
        <w:t>’</w:t>
      </w:r>
    </w:p>
    <w:p w14:paraId="5A26B65B" w14:textId="77777777" w:rsidR="00A46B88" w:rsidRPr="00A46B88" w:rsidRDefault="00A46B88" w:rsidP="00A46B88">
      <w:pPr>
        <w:spacing w:after="0" w:line="240" w:lineRule="auto"/>
        <w:rPr>
          <w:rFonts w:ascii="Calibri" w:hAnsi="Calibri" w:cs="Calibri"/>
          <w:sz w:val="22"/>
          <w:szCs w:val="22"/>
        </w:rPr>
      </w:pPr>
    </w:p>
    <w:p w14:paraId="1A2EAE62" w14:textId="0821F958" w:rsidR="00A46B88" w:rsidRPr="00A46B88" w:rsidRDefault="00A46B88" w:rsidP="00A46B88">
      <w:pPr>
        <w:spacing w:after="0" w:line="240" w:lineRule="auto"/>
        <w:rPr>
          <w:rFonts w:ascii="Calibri" w:hAnsi="Calibri" w:cs="Calibri"/>
          <w:sz w:val="22"/>
          <w:szCs w:val="22"/>
        </w:rPr>
      </w:pPr>
      <w:r w:rsidRPr="00A46B88">
        <w:rPr>
          <w:rFonts w:ascii="Calibri" w:hAnsi="Calibri" w:cs="Calibri"/>
          <w:sz w:val="22"/>
          <w:szCs w:val="22"/>
        </w:rPr>
        <w:t xml:space="preserve">2. </w:t>
      </w:r>
      <w:r>
        <w:rPr>
          <w:rFonts w:ascii="Calibri" w:hAnsi="Calibri" w:cs="Calibri"/>
          <w:sz w:val="22"/>
          <w:szCs w:val="22"/>
        </w:rPr>
        <w:t>‘</w:t>
      </w:r>
      <w:r w:rsidRPr="00A46B88">
        <w:rPr>
          <w:rFonts w:ascii="Calibri" w:hAnsi="Calibri" w:cs="Calibri"/>
          <w:sz w:val="22"/>
          <w:szCs w:val="22"/>
        </w:rPr>
        <w:t>Triangulation is ideal, but it can also be very expensive. A researcher's limited budget, short time frame, and narrow training will affect the amount of triangulation that is practical.</w:t>
      </w:r>
      <w:r>
        <w:rPr>
          <w:rFonts w:ascii="Calibri" w:hAnsi="Calibri" w:cs="Calibri"/>
          <w:sz w:val="22"/>
          <w:szCs w:val="22"/>
        </w:rPr>
        <w:t>’</w:t>
      </w:r>
    </w:p>
    <w:p w14:paraId="0BE4B09C" w14:textId="77777777" w:rsidR="00A46B88" w:rsidRPr="00A46B88" w:rsidRDefault="00A46B88" w:rsidP="00A46B88">
      <w:pPr>
        <w:spacing w:after="0" w:line="240" w:lineRule="auto"/>
        <w:rPr>
          <w:rFonts w:ascii="Calibri" w:hAnsi="Calibri" w:cs="Calibri"/>
          <w:sz w:val="22"/>
          <w:szCs w:val="22"/>
        </w:rPr>
      </w:pPr>
    </w:p>
    <w:p w14:paraId="5F57FD54" w14:textId="37923401" w:rsidR="00A46B88" w:rsidRPr="00A46B88" w:rsidRDefault="00A46B88" w:rsidP="00A46B88">
      <w:pPr>
        <w:spacing w:after="0" w:line="240" w:lineRule="auto"/>
        <w:rPr>
          <w:rFonts w:ascii="Calibri" w:hAnsi="Calibri" w:cs="Calibri"/>
          <w:sz w:val="22"/>
          <w:szCs w:val="22"/>
        </w:rPr>
      </w:pPr>
      <w:r w:rsidRPr="00A46B88">
        <w:rPr>
          <w:rFonts w:ascii="Calibri" w:hAnsi="Calibri" w:cs="Calibri"/>
          <w:sz w:val="22"/>
          <w:szCs w:val="22"/>
        </w:rPr>
        <w:t xml:space="preserve">3. </w:t>
      </w:r>
      <w:r>
        <w:rPr>
          <w:rFonts w:ascii="Calibri" w:hAnsi="Calibri" w:cs="Calibri"/>
          <w:sz w:val="22"/>
          <w:szCs w:val="22"/>
        </w:rPr>
        <w:t>‘</w:t>
      </w:r>
      <w:r w:rsidRPr="00A46B88">
        <w:rPr>
          <w:rFonts w:ascii="Calibri" w:hAnsi="Calibri" w:cs="Calibri"/>
          <w:sz w:val="22"/>
          <w:szCs w:val="22"/>
        </w:rPr>
        <w:t xml:space="preserve">By combining multiple observers, theories, methods, and data sources, researchers can make substantial strides in overcoming the </w:t>
      </w:r>
      <w:proofErr w:type="spellStart"/>
      <w:r w:rsidRPr="00A46B88">
        <w:rPr>
          <w:rFonts w:ascii="Calibri" w:hAnsi="Calibri" w:cs="Calibri"/>
          <w:sz w:val="22"/>
          <w:szCs w:val="22"/>
        </w:rPr>
        <w:t>skepticism</w:t>
      </w:r>
      <w:proofErr w:type="spellEnd"/>
      <w:r w:rsidRPr="00A46B88">
        <w:rPr>
          <w:rFonts w:ascii="Calibri" w:hAnsi="Calibri" w:cs="Calibri"/>
          <w:sz w:val="22"/>
          <w:szCs w:val="22"/>
        </w:rPr>
        <w:t xml:space="preserve"> that greets singular methods, lone analysts, and single-perspective theories or models.</w:t>
      </w:r>
      <w:r>
        <w:rPr>
          <w:rFonts w:ascii="Calibri" w:hAnsi="Calibri" w:cs="Calibri"/>
          <w:sz w:val="22"/>
          <w:szCs w:val="22"/>
        </w:rPr>
        <w:t>’</w:t>
      </w:r>
    </w:p>
    <w:p w14:paraId="4D9E633F" w14:textId="77777777" w:rsidR="00A46B88" w:rsidRPr="00A46B88" w:rsidRDefault="00A46B88" w:rsidP="00A46B88">
      <w:pPr>
        <w:spacing w:after="0" w:line="240" w:lineRule="auto"/>
        <w:rPr>
          <w:rFonts w:ascii="Calibri" w:hAnsi="Calibri" w:cs="Calibri"/>
          <w:sz w:val="22"/>
          <w:szCs w:val="22"/>
        </w:rPr>
      </w:pPr>
    </w:p>
    <w:p w14:paraId="505238A9" w14:textId="402B6852" w:rsidR="00A46B88" w:rsidRPr="00A46B88" w:rsidRDefault="00A46B88" w:rsidP="00A46B88">
      <w:pPr>
        <w:spacing w:after="0" w:line="240" w:lineRule="auto"/>
        <w:rPr>
          <w:rFonts w:ascii="Calibri" w:hAnsi="Calibri" w:cs="Calibri"/>
          <w:sz w:val="22"/>
          <w:szCs w:val="22"/>
        </w:rPr>
      </w:pPr>
      <w:r w:rsidRPr="00A46B88">
        <w:rPr>
          <w:rFonts w:ascii="Calibri" w:hAnsi="Calibri" w:cs="Calibri"/>
          <w:sz w:val="22"/>
          <w:szCs w:val="22"/>
        </w:rPr>
        <w:t xml:space="preserve">4. </w:t>
      </w:r>
      <w:r>
        <w:rPr>
          <w:rFonts w:ascii="Calibri" w:hAnsi="Calibri" w:cs="Calibri"/>
          <w:sz w:val="22"/>
          <w:szCs w:val="22"/>
        </w:rPr>
        <w:t>‘</w:t>
      </w:r>
      <w:r w:rsidRPr="00A46B88">
        <w:rPr>
          <w:rFonts w:ascii="Calibri" w:hAnsi="Calibri" w:cs="Calibri"/>
          <w:sz w:val="22"/>
          <w:szCs w:val="22"/>
        </w:rPr>
        <w:t>Qualitative researchers should strive neither to overestimate nor to underestimate their effects but to take seriously their responsibility to describe and study what those effects are.</w:t>
      </w:r>
      <w:r>
        <w:rPr>
          <w:rFonts w:ascii="Calibri" w:hAnsi="Calibri" w:cs="Calibri"/>
          <w:sz w:val="22"/>
          <w:szCs w:val="22"/>
        </w:rPr>
        <w:t>’</w:t>
      </w:r>
    </w:p>
    <w:p w14:paraId="7D547DE3" w14:textId="77777777" w:rsidR="00A46B88" w:rsidRPr="00A46B88" w:rsidRDefault="00A46B88" w:rsidP="00A46B88">
      <w:pPr>
        <w:spacing w:after="0" w:line="240" w:lineRule="auto"/>
        <w:rPr>
          <w:rFonts w:ascii="Calibri" w:hAnsi="Calibri" w:cs="Calibri"/>
          <w:sz w:val="22"/>
          <w:szCs w:val="22"/>
        </w:rPr>
      </w:pPr>
    </w:p>
    <w:p w14:paraId="2D6E6D25" w14:textId="765418E0" w:rsidR="00A46B88" w:rsidRPr="00A46B88" w:rsidRDefault="00A46B88" w:rsidP="00A46B88">
      <w:pPr>
        <w:spacing w:after="0" w:line="240" w:lineRule="auto"/>
        <w:rPr>
          <w:rFonts w:ascii="Calibri" w:hAnsi="Calibri" w:cs="Calibri"/>
          <w:sz w:val="22"/>
          <w:szCs w:val="22"/>
        </w:rPr>
      </w:pPr>
      <w:r w:rsidRPr="00A46B88">
        <w:rPr>
          <w:rFonts w:ascii="Calibri" w:hAnsi="Calibri" w:cs="Calibri"/>
          <w:sz w:val="22"/>
          <w:szCs w:val="22"/>
        </w:rPr>
        <w:t xml:space="preserve">5. </w:t>
      </w:r>
      <w:r>
        <w:rPr>
          <w:rFonts w:ascii="Calibri" w:hAnsi="Calibri" w:cs="Calibri"/>
          <w:sz w:val="22"/>
          <w:szCs w:val="22"/>
        </w:rPr>
        <w:t>‘</w:t>
      </w:r>
      <w:r w:rsidRPr="00A46B88">
        <w:rPr>
          <w:rFonts w:ascii="Calibri" w:hAnsi="Calibri" w:cs="Calibri"/>
          <w:sz w:val="22"/>
          <w:szCs w:val="22"/>
        </w:rPr>
        <w:t xml:space="preserve">A qualitative analyst returns to the data over and over again to see if the constructs, categories, explanations, and interpretations make sense, if they really reflect the nature of the phenomena. </w:t>
      </w:r>
      <w:r w:rsidRPr="00A46B88">
        <w:rPr>
          <w:rFonts w:ascii="Calibri" w:hAnsi="Calibri" w:cs="Calibri"/>
          <w:sz w:val="22"/>
          <w:szCs w:val="22"/>
        </w:rPr>
        <w:lastRenderedPageBreak/>
        <w:t>Creativity, intellectual rigor, perseverance, insight-these are the intangibles that go beyond the routine application of scientific procedures.</w:t>
      </w:r>
      <w:r>
        <w:rPr>
          <w:rFonts w:ascii="Calibri" w:hAnsi="Calibri" w:cs="Calibri"/>
          <w:sz w:val="22"/>
          <w:szCs w:val="22"/>
        </w:rPr>
        <w:t>’</w:t>
      </w:r>
    </w:p>
    <w:p w14:paraId="005DEBB4" w14:textId="77777777" w:rsidR="00A46B88" w:rsidRPr="00A46B88" w:rsidRDefault="00A46B88" w:rsidP="00A46B88">
      <w:pPr>
        <w:spacing w:after="0" w:line="240" w:lineRule="auto"/>
        <w:rPr>
          <w:rFonts w:ascii="Calibri" w:hAnsi="Calibri" w:cs="Calibri"/>
          <w:sz w:val="22"/>
          <w:szCs w:val="22"/>
        </w:rPr>
      </w:pPr>
    </w:p>
    <w:p w14:paraId="206E27B5" w14:textId="77777777" w:rsidR="00A46B88" w:rsidRPr="00A46B88" w:rsidRDefault="00A46B88" w:rsidP="00A46B88">
      <w:pPr>
        <w:spacing w:after="0" w:line="240" w:lineRule="auto"/>
        <w:rPr>
          <w:rFonts w:ascii="Calibri" w:hAnsi="Calibri" w:cs="Calibri"/>
          <w:sz w:val="22"/>
          <w:szCs w:val="22"/>
        </w:rPr>
      </w:pPr>
    </w:p>
    <w:p w14:paraId="4A66AE7F" w14:textId="469C59CF" w:rsidR="00A46B88" w:rsidRDefault="00A46B88" w:rsidP="00A46B88">
      <w:pPr>
        <w:spacing w:after="0" w:line="240" w:lineRule="auto"/>
        <w:rPr>
          <w:rFonts w:ascii="Calibri" w:hAnsi="Calibri" w:cs="Calibri"/>
          <w:sz w:val="22"/>
          <w:szCs w:val="22"/>
        </w:rPr>
      </w:pPr>
      <w:r w:rsidRPr="00A46B88">
        <w:rPr>
          <w:rFonts w:ascii="Calibri" w:hAnsi="Calibri" w:cs="Calibri"/>
          <w:sz w:val="22"/>
          <w:szCs w:val="22"/>
        </w:rPr>
        <w:t xml:space="preserve">These quotes highlight the importance of understanding reliability and validity in qualitative research, being aware of researcher interaction biases, and taking steps to maximize the trustworthiness and credibility of interview-based research. They provide useful guidance for </w:t>
      </w:r>
      <w:r>
        <w:rPr>
          <w:rFonts w:ascii="Calibri" w:hAnsi="Calibri" w:cs="Calibri"/>
          <w:sz w:val="22"/>
          <w:szCs w:val="22"/>
        </w:rPr>
        <w:t>doctoral</w:t>
      </w:r>
      <w:r w:rsidRPr="00A46B88">
        <w:rPr>
          <w:rFonts w:ascii="Calibri" w:hAnsi="Calibri" w:cs="Calibri"/>
          <w:sz w:val="22"/>
          <w:szCs w:val="22"/>
        </w:rPr>
        <w:t xml:space="preserve"> researchers to consider when planning and conducting semi-structured interview studies.</w:t>
      </w:r>
    </w:p>
    <w:p w14:paraId="580C7F8F" w14:textId="77777777" w:rsidR="00B904A6" w:rsidRDefault="00B904A6" w:rsidP="00B904A6">
      <w:pPr>
        <w:spacing w:after="0" w:line="240" w:lineRule="auto"/>
        <w:rPr>
          <w:rFonts w:ascii="Calibri" w:hAnsi="Calibri" w:cs="Calibri"/>
          <w:sz w:val="22"/>
          <w:szCs w:val="22"/>
        </w:rPr>
      </w:pPr>
    </w:p>
    <w:p w14:paraId="2C2B5CFE" w14:textId="77777777" w:rsidR="00B904A6" w:rsidRDefault="00B904A6" w:rsidP="00B904A6">
      <w:pPr>
        <w:spacing w:after="0" w:line="240" w:lineRule="auto"/>
        <w:rPr>
          <w:rFonts w:ascii="Calibri" w:hAnsi="Calibri" w:cs="Calibri"/>
          <w:sz w:val="22"/>
          <w:szCs w:val="22"/>
        </w:rPr>
      </w:pPr>
    </w:p>
    <w:p w14:paraId="5E6BFD6A" w14:textId="77777777" w:rsidR="00B904A6" w:rsidRDefault="00B904A6" w:rsidP="00B904A6">
      <w:pPr>
        <w:spacing w:after="0" w:line="240" w:lineRule="auto"/>
        <w:rPr>
          <w:rFonts w:ascii="Calibri" w:hAnsi="Calibri" w:cs="Calibri"/>
          <w:sz w:val="22"/>
          <w:szCs w:val="22"/>
        </w:rPr>
      </w:pPr>
    </w:p>
    <w:p w14:paraId="5B8030E9" w14:textId="77777777" w:rsidR="00B904A6" w:rsidRDefault="00B904A6" w:rsidP="00B904A6">
      <w:pPr>
        <w:spacing w:after="0" w:line="240" w:lineRule="auto"/>
        <w:rPr>
          <w:rFonts w:ascii="Calibri" w:hAnsi="Calibri" w:cs="Calibri"/>
          <w:sz w:val="22"/>
          <w:szCs w:val="22"/>
        </w:rPr>
      </w:pPr>
    </w:p>
    <w:p w14:paraId="619B1D32" w14:textId="77777777" w:rsidR="00B904A6" w:rsidRDefault="00B904A6" w:rsidP="00B904A6">
      <w:pPr>
        <w:spacing w:after="0" w:line="240" w:lineRule="auto"/>
        <w:rPr>
          <w:rFonts w:ascii="Calibri" w:hAnsi="Calibri" w:cs="Calibri"/>
          <w:sz w:val="22"/>
          <w:szCs w:val="22"/>
        </w:rPr>
      </w:pPr>
    </w:p>
    <w:p w14:paraId="41B66965" w14:textId="77777777" w:rsidR="00B904A6" w:rsidRDefault="00B904A6" w:rsidP="00B904A6">
      <w:pPr>
        <w:spacing w:after="0" w:line="240" w:lineRule="auto"/>
        <w:rPr>
          <w:rFonts w:ascii="Calibri" w:hAnsi="Calibri" w:cs="Calibri"/>
          <w:sz w:val="22"/>
          <w:szCs w:val="22"/>
        </w:rPr>
      </w:pPr>
    </w:p>
    <w:p w14:paraId="38489ADF" w14:textId="77777777" w:rsidR="00B904A6" w:rsidRDefault="00B904A6" w:rsidP="00B904A6">
      <w:pPr>
        <w:spacing w:after="0" w:line="240" w:lineRule="auto"/>
        <w:rPr>
          <w:rFonts w:ascii="Calibri" w:hAnsi="Calibri" w:cs="Calibri"/>
          <w:sz w:val="22"/>
          <w:szCs w:val="22"/>
        </w:rPr>
      </w:pPr>
    </w:p>
    <w:p w14:paraId="06298484" w14:textId="77777777" w:rsidR="00B904A6" w:rsidRDefault="00B904A6" w:rsidP="00B904A6">
      <w:pPr>
        <w:spacing w:after="0" w:line="240" w:lineRule="auto"/>
        <w:rPr>
          <w:rFonts w:ascii="Calibri" w:hAnsi="Calibri" w:cs="Calibri"/>
          <w:sz w:val="22"/>
          <w:szCs w:val="22"/>
        </w:rPr>
      </w:pPr>
    </w:p>
    <w:p w14:paraId="3ECBBC91" w14:textId="77777777" w:rsidR="00B904A6" w:rsidRDefault="00B904A6" w:rsidP="00B904A6">
      <w:pPr>
        <w:spacing w:after="0" w:line="240" w:lineRule="auto"/>
        <w:rPr>
          <w:rFonts w:ascii="Calibri" w:hAnsi="Calibri" w:cs="Calibri"/>
          <w:sz w:val="22"/>
          <w:szCs w:val="22"/>
        </w:rPr>
      </w:pPr>
    </w:p>
    <w:p w14:paraId="1584C3F5" w14:textId="77777777" w:rsidR="00B904A6" w:rsidRDefault="00B904A6" w:rsidP="00B904A6">
      <w:pPr>
        <w:spacing w:after="0" w:line="240" w:lineRule="auto"/>
        <w:rPr>
          <w:rFonts w:ascii="Calibri" w:hAnsi="Calibri" w:cs="Calibri"/>
          <w:sz w:val="22"/>
          <w:szCs w:val="22"/>
        </w:rPr>
      </w:pPr>
    </w:p>
    <w:p w14:paraId="394D6E7C" w14:textId="77777777" w:rsidR="00B904A6" w:rsidRDefault="00B904A6" w:rsidP="00B904A6">
      <w:pPr>
        <w:spacing w:after="0" w:line="240" w:lineRule="auto"/>
        <w:rPr>
          <w:rFonts w:ascii="Calibri" w:hAnsi="Calibri" w:cs="Calibri"/>
          <w:sz w:val="22"/>
          <w:szCs w:val="22"/>
        </w:rPr>
      </w:pPr>
    </w:p>
    <w:p w14:paraId="57D5A252" w14:textId="77777777" w:rsidR="00B904A6" w:rsidRDefault="00B904A6" w:rsidP="00B904A6">
      <w:pPr>
        <w:spacing w:after="0" w:line="240" w:lineRule="auto"/>
        <w:rPr>
          <w:rFonts w:ascii="Calibri" w:hAnsi="Calibri" w:cs="Calibri"/>
          <w:sz w:val="22"/>
          <w:szCs w:val="22"/>
        </w:rPr>
      </w:pPr>
    </w:p>
    <w:p w14:paraId="3C3EF61E" w14:textId="77777777" w:rsidR="00B904A6" w:rsidRDefault="00B904A6" w:rsidP="00B904A6">
      <w:pPr>
        <w:spacing w:after="0" w:line="240" w:lineRule="auto"/>
        <w:rPr>
          <w:rFonts w:ascii="Calibri" w:hAnsi="Calibri" w:cs="Calibri"/>
          <w:sz w:val="22"/>
          <w:szCs w:val="22"/>
        </w:rPr>
      </w:pPr>
    </w:p>
    <w:p w14:paraId="556B2FA7" w14:textId="77777777" w:rsidR="00B904A6" w:rsidRDefault="00B904A6" w:rsidP="00B904A6">
      <w:pPr>
        <w:spacing w:after="0" w:line="240" w:lineRule="auto"/>
        <w:rPr>
          <w:rFonts w:ascii="Calibri" w:hAnsi="Calibri" w:cs="Calibri"/>
          <w:sz w:val="22"/>
          <w:szCs w:val="22"/>
        </w:rPr>
      </w:pPr>
    </w:p>
    <w:p w14:paraId="5B4B3068" w14:textId="77777777" w:rsidR="00B904A6" w:rsidRDefault="00B904A6" w:rsidP="00B904A6">
      <w:pPr>
        <w:spacing w:after="0" w:line="240" w:lineRule="auto"/>
        <w:rPr>
          <w:rFonts w:ascii="Calibri" w:hAnsi="Calibri" w:cs="Calibri"/>
          <w:sz w:val="22"/>
          <w:szCs w:val="22"/>
        </w:rPr>
      </w:pPr>
    </w:p>
    <w:p w14:paraId="2DED029E" w14:textId="77777777" w:rsidR="00B904A6" w:rsidRDefault="00B904A6" w:rsidP="00B904A6">
      <w:pPr>
        <w:spacing w:after="0" w:line="240" w:lineRule="auto"/>
        <w:rPr>
          <w:rFonts w:ascii="Calibri" w:hAnsi="Calibri" w:cs="Calibri"/>
          <w:sz w:val="22"/>
          <w:szCs w:val="22"/>
        </w:rPr>
      </w:pPr>
    </w:p>
    <w:p w14:paraId="661BCAB3" w14:textId="77777777" w:rsidR="00B904A6" w:rsidRDefault="00B904A6" w:rsidP="00B904A6">
      <w:pPr>
        <w:spacing w:after="0" w:line="240" w:lineRule="auto"/>
        <w:rPr>
          <w:rFonts w:ascii="Calibri" w:hAnsi="Calibri" w:cs="Calibri"/>
          <w:sz w:val="22"/>
          <w:szCs w:val="22"/>
        </w:rPr>
      </w:pPr>
    </w:p>
    <w:p w14:paraId="445D91F0" w14:textId="77777777" w:rsidR="00B904A6" w:rsidRDefault="00B904A6" w:rsidP="00B904A6">
      <w:pPr>
        <w:spacing w:after="0" w:line="240" w:lineRule="auto"/>
        <w:rPr>
          <w:rFonts w:ascii="Calibri" w:hAnsi="Calibri" w:cs="Calibri"/>
          <w:sz w:val="22"/>
          <w:szCs w:val="22"/>
        </w:rPr>
      </w:pPr>
    </w:p>
    <w:p w14:paraId="2BC0DF4D" w14:textId="77777777" w:rsidR="00B904A6" w:rsidRDefault="00B904A6" w:rsidP="00B904A6">
      <w:pPr>
        <w:spacing w:after="0" w:line="240" w:lineRule="auto"/>
        <w:rPr>
          <w:rFonts w:ascii="Calibri" w:hAnsi="Calibri" w:cs="Calibri"/>
          <w:sz w:val="22"/>
          <w:szCs w:val="22"/>
        </w:rPr>
      </w:pPr>
    </w:p>
    <w:p w14:paraId="31421171" w14:textId="77777777" w:rsidR="00B904A6" w:rsidRDefault="00B904A6" w:rsidP="00B904A6">
      <w:pPr>
        <w:spacing w:after="0" w:line="240" w:lineRule="auto"/>
        <w:rPr>
          <w:rFonts w:ascii="Calibri" w:hAnsi="Calibri" w:cs="Calibri"/>
          <w:sz w:val="22"/>
          <w:szCs w:val="22"/>
        </w:rPr>
      </w:pPr>
    </w:p>
    <w:p w14:paraId="03F1B3EF" w14:textId="77777777" w:rsidR="00B904A6" w:rsidRDefault="00B904A6" w:rsidP="00B904A6">
      <w:pPr>
        <w:spacing w:after="0" w:line="240" w:lineRule="auto"/>
        <w:rPr>
          <w:rFonts w:ascii="Calibri" w:hAnsi="Calibri" w:cs="Calibri"/>
          <w:sz w:val="22"/>
          <w:szCs w:val="22"/>
        </w:rPr>
      </w:pPr>
    </w:p>
    <w:p w14:paraId="4676580F" w14:textId="77777777" w:rsidR="00B904A6" w:rsidRDefault="00B904A6" w:rsidP="00B904A6">
      <w:pPr>
        <w:spacing w:after="0" w:line="240" w:lineRule="auto"/>
        <w:rPr>
          <w:rFonts w:ascii="Calibri" w:hAnsi="Calibri" w:cs="Calibri"/>
          <w:sz w:val="22"/>
          <w:szCs w:val="22"/>
        </w:rPr>
      </w:pPr>
    </w:p>
    <w:p w14:paraId="0641602A" w14:textId="77777777" w:rsidR="00B904A6" w:rsidRDefault="00B904A6" w:rsidP="00B904A6">
      <w:pPr>
        <w:spacing w:after="0" w:line="240" w:lineRule="auto"/>
        <w:rPr>
          <w:rFonts w:ascii="Calibri" w:hAnsi="Calibri" w:cs="Calibri"/>
          <w:sz w:val="22"/>
          <w:szCs w:val="22"/>
        </w:rPr>
      </w:pPr>
    </w:p>
    <w:p w14:paraId="0ECCB16C" w14:textId="77777777" w:rsidR="00B904A6" w:rsidRDefault="00B904A6" w:rsidP="00B904A6">
      <w:pPr>
        <w:spacing w:after="0" w:line="240" w:lineRule="auto"/>
        <w:rPr>
          <w:rFonts w:ascii="Calibri" w:hAnsi="Calibri" w:cs="Calibri"/>
          <w:sz w:val="22"/>
          <w:szCs w:val="22"/>
        </w:rPr>
      </w:pPr>
    </w:p>
    <w:p w14:paraId="0B81E030" w14:textId="77777777" w:rsidR="00B904A6" w:rsidRDefault="00B904A6" w:rsidP="00B904A6">
      <w:pPr>
        <w:spacing w:after="0" w:line="240" w:lineRule="auto"/>
        <w:rPr>
          <w:rFonts w:ascii="Calibri" w:hAnsi="Calibri" w:cs="Calibri"/>
          <w:sz w:val="22"/>
          <w:szCs w:val="22"/>
        </w:rPr>
      </w:pPr>
    </w:p>
    <w:p w14:paraId="71A30AC7" w14:textId="77777777" w:rsidR="00B904A6" w:rsidRDefault="00B904A6" w:rsidP="00B904A6">
      <w:pPr>
        <w:spacing w:after="0" w:line="240" w:lineRule="auto"/>
        <w:rPr>
          <w:rFonts w:ascii="Calibri" w:hAnsi="Calibri" w:cs="Calibri"/>
          <w:sz w:val="22"/>
          <w:szCs w:val="22"/>
        </w:rPr>
      </w:pPr>
    </w:p>
    <w:p w14:paraId="314901AE" w14:textId="77777777" w:rsidR="007F2D5D" w:rsidRDefault="007F2D5D" w:rsidP="00B904A6">
      <w:pPr>
        <w:spacing w:after="0" w:line="240" w:lineRule="auto"/>
        <w:rPr>
          <w:rFonts w:ascii="Calibri" w:hAnsi="Calibri" w:cs="Calibri"/>
          <w:sz w:val="22"/>
          <w:szCs w:val="22"/>
        </w:rPr>
      </w:pPr>
    </w:p>
    <w:p w14:paraId="152DB4E2" w14:textId="77777777" w:rsidR="007F2D5D" w:rsidRDefault="007F2D5D" w:rsidP="00B904A6">
      <w:pPr>
        <w:spacing w:after="0" w:line="240" w:lineRule="auto"/>
        <w:rPr>
          <w:rFonts w:ascii="Calibri" w:hAnsi="Calibri" w:cs="Calibri"/>
          <w:sz w:val="22"/>
          <w:szCs w:val="22"/>
        </w:rPr>
      </w:pPr>
    </w:p>
    <w:p w14:paraId="0F76BF26" w14:textId="77777777" w:rsidR="007F2D5D" w:rsidRDefault="007F2D5D" w:rsidP="00B904A6">
      <w:pPr>
        <w:spacing w:after="0" w:line="240" w:lineRule="auto"/>
        <w:rPr>
          <w:rFonts w:ascii="Calibri" w:hAnsi="Calibri" w:cs="Calibri"/>
          <w:sz w:val="22"/>
          <w:szCs w:val="22"/>
        </w:rPr>
      </w:pPr>
    </w:p>
    <w:p w14:paraId="7B84C984" w14:textId="77777777" w:rsidR="007F2D5D" w:rsidRDefault="007F2D5D" w:rsidP="00B904A6">
      <w:pPr>
        <w:spacing w:after="0" w:line="240" w:lineRule="auto"/>
        <w:rPr>
          <w:rFonts w:ascii="Calibri" w:hAnsi="Calibri" w:cs="Calibri"/>
          <w:sz w:val="22"/>
          <w:szCs w:val="22"/>
        </w:rPr>
      </w:pPr>
    </w:p>
    <w:p w14:paraId="4CAE9C29" w14:textId="77777777" w:rsidR="007F2D5D" w:rsidRDefault="007F2D5D" w:rsidP="00B904A6">
      <w:pPr>
        <w:spacing w:after="0" w:line="240" w:lineRule="auto"/>
        <w:rPr>
          <w:rFonts w:ascii="Calibri" w:hAnsi="Calibri" w:cs="Calibri"/>
          <w:sz w:val="22"/>
          <w:szCs w:val="22"/>
        </w:rPr>
      </w:pPr>
    </w:p>
    <w:p w14:paraId="443029AB" w14:textId="77777777" w:rsidR="007F2D5D" w:rsidRDefault="007F2D5D" w:rsidP="00B904A6">
      <w:pPr>
        <w:spacing w:after="0" w:line="240" w:lineRule="auto"/>
        <w:rPr>
          <w:rFonts w:ascii="Calibri" w:hAnsi="Calibri" w:cs="Calibri"/>
          <w:sz w:val="22"/>
          <w:szCs w:val="22"/>
        </w:rPr>
      </w:pPr>
    </w:p>
    <w:p w14:paraId="5D78F210" w14:textId="77777777" w:rsidR="007F2D5D" w:rsidRDefault="007F2D5D" w:rsidP="00B904A6">
      <w:pPr>
        <w:spacing w:after="0" w:line="240" w:lineRule="auto"/>
        <w:rPr>
          <w:rFonts w:ascii="Calibri" w:hAnsi="Calibri" w:cs="Calibri"/>
          <w:sz w:val="22"/>
          <w:szCs w:val="22"/>
        </w:rPr>
      </w:pPr>
    </w:p>
    <w:p w14:paraId="72A37B11" w14:textId="77777777" w:rsidR="007F2D5D" w:rsidRDefault="007F2D5D" w:rsidP="00B904A6">
      <w:pPr>
        <w:spacing w:after="0" w:line="240" w:lineRule="auto"/>
        <w:rPr>
          <w:rFonts w:ascii="Calibri" w:hAnsi="Calibri" w:cs="Calibri"/>
          <w:sz w:val="22"/>
          <w:szCs w:val="22"/>
        </w:rPr>
      </w:pPr>
    </w:p>
    <w:p w14:paraId="34F389BF" w14:textId="77777777" w:rsidR="007F2D5D" w:rsidRDefault="007F2D5D" w:rsidP="00B904A6">
      <w:pPr>
        <w:spacing w:after="0" w:line="240" w:lineRule="auto"/>
        <w:rPr>
          <w:rFonts w:ascii="Calibri" w:hAnsi="Calibri" w:cs="Calibri"/>
          <w:sz w:val="22"/>
          <w:szCs w:val="22"/>
        </w:rPr>
      </w:pPr>
    </w:p>
    <w:p w14:paraId="35923E99" w14:textId="77777777" w:rsidR="007F2D5D" w:rsidRDefault="007F2D5D" w:rsidP="00B904A6">
      <w:pPr>
        <w:spacing w:after="0" w:line="240" w:lineRule="auto"/>
        <w:rPr>
          <w:rFonts w:ascii="Calibri" w:hAnsi="Calibri" w:cs="Calibri"/>
          <w:sz w:val="22"/>
          <w:szCs w:val="22"/>
        </w:rPr>
      </w:pPr>
    </w:p>
    <w:p w14:paraId="62DA36E6" w14:textId="77777777" w:rsidR="00B904A6" w:rsidRDefault="00B904A6" w:rsidP="00B904A6">
      <w:pPr>
        <w:spacing w:after="0" w:line="240" w:lineRule="auto"/>
        <w:rPr>
          <w:rFonts w:ascii="Calibri" w:hAnsi="Calibri" w:cs="Calibri"/>
          <w:sz w:val="22"/>
          <w:szCs w:val="22"/>
        </w:rPr>
      </w:pPr>
    </w:p>
    <w:p w14:paraId="04A40EED" w14:textId="77777777" w:rsidR="00B904A6" w:rsidRDefault="00B904A6" w:rsidP="00B904A6">
      <w:pPr>
        <w:spacing w:after="0" w:line="240" w:lineRule="auto"/>
        <w:rPr>
          <w:rFonts w:ascii="Calibri" w:hAnsi="Calibri" w:cs="Calibri"/>
          <w:sz w:val="22"/>
          <w:szCs w:val="22"/>
        </w:rPr>
      </w:pPr>
    </w:p>
    <w:p w14:paraId="572706E5" w14:textId="77777777" w:rsidR="00B904A6" w:rsidRDefault="00B904A6" w:rsidP="00B904A6">
      <w:pPr>
        <w:spacing w:after="0" w:line="240" w:lineRule="auto"/>
        <w:rPr>
          <w:rFonts w:ascii="Calibri" w:hAnsi="Calibri" w:cs="Calibri"/>
          <w:sz w:val="22"/>
          <w:szCs w:val="22"/>
        </w:rPr>
      </w:pPr>
    </w:p>
    <w:p w14:paraId="344526D4" w14:textId="77777777" w:rsidR="00B904A6" w:rsidRDefault="00B904A6" w:rsidP="00B904A6">
      <w:pPr>
        <w:spacing w:after="0" w:line="240" w:lineRule="auto"/>
        <w:rPr>
          <w:rFonts w:ascii="Calibri" w:hAnsi="Calibri" w:cs="Calibri"/>
          <w:sz w:val="22"/>
          <w:szCs w:val="22"/>
        </w:rPr>
      </w:pPr>
    </w:p>
    <w:p w14:paraId="07CEA629" w14:textId="77777777" w:rsidR="00B904A6" w:rsidRDefault="00B904A6" w:rsidP="00B904A6">
      <w:pPr>
        <w:spacing w:after="0" w:line="240" w:lineRule="auto"/>
        <w:rPr>
          <w:rFonts w:ascii="Calibri" w:hAnsi="Calibri" w:cs="Calibri"/>
          <w:sz w:val="22"/>
          <w:szCs w:val="22"/>
        </w:rPr>
      </w:pPr>
    </w:p>
    <w:p w14:paraId="377C9C66" w14:textId="77777777" w:rsidR="00B904A6" w:rsidRPr="00B904A6" w:rsidRDefault="00B904A6" w:rsidP="00B904A6">
      <w:pPr>
        <w:spacing w:after="0" w:line="240" w:lineRule="auto"/>
        <w:rPr>
          <w:rFonts w:ascii="Calibri" w:hAnsi="Calibri" w:cs="Calibri"/>
          <w:sz w:val="22"/>
          <w:szCs w:val="22"/>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03"/>
        <w:gridCol w:w="2097"/>
        <w:gridCol w:w="5916"/>
      </w:tblGrid>
      <w:tr w:rsidR="00B904A6" w:rsidRPr="00B904A6" w14:paraId="76524B8F" w14:textId="77777777" w:rsidTr="00B904A6">
        <w:trPr>
          <w:tblHeader/>
          <w:tblCellSpacing w:w="15" w:type="dxa"/>
        </w:trPr>
        <w:tc>
          <w:tcPr>
            <w:tcW w:w="958" w:type="dxa"/>
          </w:tcPr>
          <w:p w14:paraId="63395815" w14:textId="77777777" w:rsidR="00B904A6" w:rsidRPr="00B904A6" w:rsidRDefault="00B904A6" w:rsidP="00B904A6">
            <w:pPr>
              <w:spacing w:after="0" w:line="240" w:lineRule="auto"/>
              <w:jc w:val="center"/>
              <w:rPr>
                <w:rFonts w:ascii="Calibri" w:eastAsia="Times New Roman" w:hAnsi="Calibri" w:cs="Calibri"/>
                <w:b/>
                <w:bCs/>
                <w:kern w:val="0"/>
                <w:sz w:val="22"/>
                <w:szCs w:val="22"/>
                <w14:ligatures w14:val="none"/>
              </w:rPr>
            </w:pPr>
          </w:p>
        </w:tc>
        <w:tc>
          <w:tcPr>
            <w:tcW w:w="2067" w:type="dxa"/>
            <w:vAlign w:val="center"/>
            <w:hideMark/>
          </w:tcPr>
          <w:p w14:paraId="75EFA6FF" w14:textId="65149F8A" w:rsidR="00B904A6" w:rsidRPr="00B904A6" w:rsidRDefault="00B904A6" w:rsidP="00B904A6">
            <w:pPr>
              <w:spacing w:after="0" w:line="240" w:lineRule="auto"/>
              <w:jc w:val="center"/>
              <w:rPr>
                <w:rFonts w:ascii="Calibri" w:eastAsia="Times New Roman" w:hAnsi="Calibri" w:cs="Calibri"/>
                <w:b/>
                <w:bCs/>
                <w:kern w:val="0"/>
                <w:sz w:val="22"/>
                <w:szCs w:val="22"/>
                <w14:ligatures w14:val="none"/>
              </w:rPr>
            </w:pPr>
            <w:r w:rsidRPr="00B904A6">
              <w:rPr>
                <w:rFonts w:ascii="Calibri" w:eastAsia="Times New Roman" w:hAnsi="Calibri" w:cs="Calibri"/>
                <w:b/>
                <w:bCs/>
                <w:kern w:val="0"/>
                <w:sz w:val="22"/>
                <w:szCs w:val="22"/>
                <w14:ligatures w14:val="none"/>
              </w:rPr>
              <w:t>Term</w:t>
            </w:r>
          </w:p>
        </w:tc>
        <w:tc>
          <w:tcPr>
            <w:tcW w:w="0" w:type="auto"/>
            <w:vAlign w:val="center"/>
            <w:hideMark/>
          </w:tcPr>
          <w:p w14:paraId="05E67CE7" w14:textId="77777777" w:rsidR="00B904A6" w:rsidRPr="00B904A6" w:rsidRDefault="00B904A6" w:rsidP="00B904A6">
            <w:pPr>
              <w:spacing w:after="0" w:line="240" w:lineRule="auto"/>
              <w:jc w:val="center"/>
              <w:rPr>
                <w:rFonts w:ascii="Calibri" w:eastAsia="Times New Roman" w:hAnsi="Calibri" w:cs="Calibri"/>
                <w:b/>
                <w:bCs/>
                <w:kern w:val="0"/>
                <w:sz w:val="22"/>
                <w:szCs w:val="22"/>
                <w14:ligatures w14:val="none"/>
              </w:rPr>
            </w:pPr>
            <w:r w:rsidRPr="00B904A6">
              <w:rPr>
                <w:rFonts w:ascii="Calibri" w:eastAsia="Times New Roman" w:hAnsi="Calibri" w:cs="Calibri"/>
                <w:b/>
                <w:bCs/>
                <w:kern w:val="0"/>
                <w:sz w:val="22"/>
                <w:szCs w:val="22"/>
                <w14:ligatures w14:val="none"/>
              </w:rPr>
              <w:t>Definition</w:t>
            </w:r>
          </w:p>
        </w:tc>
      </w:tr>
      <w:tr w:rsidR="00B904A6" w:rsidRPr="00B904A6" w14:paraId="240C6651" w14:textId="77777777" w:rsidTr="00F03EAD">
        <w:trPr>
          <w:tblCellSpacing w:w="15" w:type="dxa"/>
        </w:trPr>
        <w:tc>
          <w:tcPr>
            <w:tcW w:w="958" w:type="dxa"/>
            <w:shd w:val="clear" w:color="auto" w:fill="E59EDC" w:themeFill="accent5" w:themeFillTint="66"/>
          </w:tcPr>
          <w:p w14:paraId="3913A23F" w14:textId="77777777" w:rsidR="00B904A6" w:rsidRPr="00B904A6" w:rsidRDefault="00B904A6" w:rsidP="00B904A6">
            <w:pPr>
              <w:spacing w:after="0" w:line="240" w:lineRule="auto"/>
              <w:rPr>
                <w:rFonts w:ascii="Calibri" w:eastAsia="Times New Roman" w:hAnsi="Calibri" w:cs="Calibri"/>
                <w:kern w:val="0"/>
                <w:sz w:val="22"/>
                <w:szCs w:val="22"/>
                <w14:ligatures w14:val="none"/>
              </w:rPr>
            </w:pPr>
          </w:p>
        </w:tc>
        <w:tc>
          <w:tcPr>
            <w:tcW w:w="2067" w:type="dxa"/>
            <w:shd w:val="clear" w:color="auto" w:fill="E59EDC" w:themeFill="accent5" w:themeFillTint="66"/>
            <w:vAlign w:val="center"/>
            <w:hideMark/>
          </w:tcPr>
          <w:p w14:paraId="4E299C24" w14:textId="29F50D80" w:rsidR="00B904A6" w:rsidRPr="00B904A6" w:rsidRDefault="00B904A6"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Reliability</w:t>
            </w:r>
          </w:p>
        </w:tc>
        <w:tc>
          <w:tcPr>
            <w:tcW w:w="0" w:type="auto"/>
            <w:shd w:val="clear" w:color="auto" w:fill="E59EDC" w:themeFill="accent5" w:themeFillTint="66"/>
            <w:vAlign w:val="center"/>
            <w:hideMark/>
          </w:tcPr>
          <w:p w14:paraId="2D580033" w14:textId="77777777" w:rsidR="00B904A6" w:rsidRPr="00B904A6" w:rsidRDefault="00B904A6"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The consistency and stability of the research process and findings over time and across different researchers.</w:t>
            </w:r>
          </w:p>
        </w:tc>
      </w:tr>
      <w:tr w:rsidR="00A1263B" w:rsidRPr="00B904A6" w14:paraId="39EE9259" w14:textId="77777777" w:rsidTr="00B904A6">
        <w:trPr>
          <w:tblCellSpacing w:w="15" w:type="dxa"/>
        </w:trPr>
        <w:tc>
          <w:tcPr>
            <w:tcW w:w="958" w:type="dxa"/>
            <w:vMerge w:val="restart"/>
          </w:tcPr>
          <w:p w14:paraId="6AD7EC8E" w14:textId="3420E55C" w:rsidR="00A1263B" w:rsidRPr="00B904A6" w:rsidRDefault="00A1263B" w:rsidP="00B904A6">
            <w:pPr>
              <w:spacing w:after="0" w:line="240" w:lineRule="auto"/>
              <w:rPr>
                <w:rFonts w:ascii="Calibri" w:eastAsia="Times New Roman" w:hAnsi="Calibri" w:cs="Calibri"/>
                <w:kern w:val="0"/>
                <w:sz w:val="22"/>
                <w:szCs w:val="22"/>
                <w14:ligatures w14:val="none"/>
              </w:rPr>
            </w:pPr>
            <w:r>
              <w:rPr>
                <w:rFonts w:ascii="Calibri" w:eastAsia="Times New Roman" w:hAnsi="Calibri" w:cs="Calibri"/>
                <w:kern w:val="0"/>
                <w:sz w:val="22"/>
                <w:szCs w:val="22"/>
                <w14:ligatures w14:val="none"/>
              </w:rPr>
              <w:t>Guba &amp; Lincoln</w:t>
            </w:r>
          </w:p>
        </w:tc>
        <w:tc>
          <w:tcPr>
            <w:tcW w:w="2067" w:type="dxa"/>
            <w:vAlign w:val="center"/>
            <w:hideMark/>
          </w:tcPr>
          <w:p w14:paraId="0ABDF756" w14:textId="41440DF3" w:rsidR="00A1263B" w:rsidRPr="00B904A6" w:rsidRDefault="00A1263B"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Validity</w:t>
            </w:r>
          </w:p>
        </w:tc>
        <w:tc>
          <w:tcPr>
            <w:tcW w:w="0" w:type="auto"/>
            <w:vAlign w:val="center"/>
            <w:hideMark/>
          </w:tcPr>
          <w:p w14:paraId="34C663C7" w14:textId="77777777" w:rsidR="00A1263B" w:rsidRPr="00B904A6" w:rsidRDefault="00A1263B"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The accuracy, credibility, and trustworthiness of the research findings and interpretations.</w:t>
            </w:r>
          </w:p>
        </w:tc>
      </w:tr>
      <w:tr w:rsidR="00A1263B" w:rsidRPr="00B904A6" w14:paraId="1188CDD9" w14:textId="77777777" w:rsidTr="00B904A6">
        <w:trPr>
          <w:tblCellSpacing w:w="15" w:type="dxa"/>
        </w:trPr>
        <w:tc>
          <w:tcPr>
            <w:tcW w:w="958" w:type="dxa"/>
            <w:vMerge/>
          </w:tcPr>
          <w:p w14:paraId="6BE205AA" w14:textId="77777777" w:rsidR="00A1263B" w:rsidRPr="00B904A6" w:rsidRDefault="00A1263B" w:rsidP="00B904A6">
            <w:pPr>
              <w:spacing w:after="0" w:line="240" w:lineRule="auto"/>
              <w:rPr>
                <w:rFonts w:ascii="Calibri" w:eastAsia="Times New Roman" w:hAnsi="Calibri" w:cs="Calibri"/>
                <w:kern w:val="0"/>
                <w:sz w:val="22"/>
                <w:szCs w:val="22"/>
                <w14:ligatures w14:val="none"/>
              </w:rPr>
            </w:pPr>
          </w:p>
        </w:tc>
        <w:tc>
          <w:tcPr>
            <w:tcW w:w="2067" w:type="dxa"/>
            <w:vAlign w:val="center"/>
            <w:hideMark/>
          </w:tcPr>
          <w:p w14:paraId="10713DFF" w14:textId="789AF626" w:rsidR="00A1263B" w:rsidRPr="00B904A6" w:rsidRDefault="00A1263B"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Credibility</w:t>
            </w:r>
          </w:p>
        </w:tc>
        <w:tc>
          <w:tcPr>
            <w:tcW w:w="0" w:type="auto"/>
            <w:vAlign w:val="center"/>
            <w:hideMark/>
          </w:tcPr>
          <w:p w14:paraId="6364150F" w14:textId="77777777" w:rsidR="00A1263B" w:rsidRPr="00B904A6" w:rsidRDefault="00A1263B"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The confidence in the truth and believability of the research findings.</w:t>
            </w:r>
          </w:p>
        </w:tc>
      </w:tr>
      <w:tr w:rsidR="00A1263B" w:rsidRPr="00B904A6" w14:paraId="5F2E73F7" w14:textId="77777777" w:rsidTr="00B904A6">
        <w:trPr>
          <w:tblCellSpacing w:w="15" w:type="dxa"/>
        </w:trPr>
        <w:tc>
          <w:tcPr>
            <w:tcW w:w="958" w:type="dxa"/>
            <w:vMerge/>
          </w:tcPr>
          <w:p w14:paraId="79B0637A" w14:textId="77777777" w:rsidR="00A1263B" w:rsidRPr="00B904A6" w:rsidRDefault="00A1263B" w:rsidP="00B904A6">
            <w:pPr>
              <w:spacing w:after="0" w:line="240" w:lineRule="auto"/>
              <w:rPr>
                <w:rFonts w:ascii="Calibri" w:eastAsia="Times New Roman" w:hAnsi="Calibri" w:cs="Calibri"/>
                <w:kern w:val="0"/>
                <w:sz w:val="22"/>
                <w:szCs w:val="22"/>
                <w14:ligatures w14:val="none"/>
              </w:rPr>
            </w:pPr>
          </w:p>
        </w:tc>
        <w:tc>
          <w:tcPr>
            <w:tcW w:w="2067" w:type="dxa"/>
            <w:vAlign w:val="center"/>
            <w:hideMark/>
          </w:tcPr>
          <w:p w14:paraId="484DB8CD" w14:textId="59004052" w:rsidR="00A1263B" w:rsidRPr="00B904A6" w:rsidRDefault="00A1263B"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Confirmability</w:t>
            </w:r>
          </w:p>
        </w:tc>
        <w:tc>
          <w:tcPr>
            <w:tcW w:w="0" w:type="auto"/>
            <w:vAlign w:val="center"/>
            <w:hideMark/>
          </w:tcPr>
          <w:p w14:paraId="68B76870" w14:textId="77777777" w:rsidR="00A1263B" w:rsidRPr="00B904A6" w:rsidRDefault="00A1263B"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The extent to which the research findings are shaped by the respondents and not researcher bias, motivation, or interest.</w:t>
            </w:r>
          </w:p>
        </w:tc>
      </w:tr>
      <w:tr w:rsidR="00A1263B" w:rsidRPr="00B904A6" w14:paraId="362341C9" w14:textId="77777777" w:rsidTr="00B904A6">
        <w:trPr>
          <w:tblCellSpacing w:w="15" w:type="dxa"/>
        </w:trPr>
        <w:tc>
          <w:tcPr>
            <w:tcW w:w="958" w:type="dxa"/>
            <w:vMerge/>
          </w:tcPr>
          <w:p w14:paraId="3872CF81" w14:textId="77777777" w:rsidR="00A1263B" w:rsidRPr="00B904A6" w:rsidRDefault="00A1263B" w:rsidP="00B904A6">
            <w:pPr>
              <w:spacing w:after="0" w:line="240" w:lineRule="auto"/>
              <w:rPr>
                <w:rFonts w:ascii="Calibri" w:eastAsia="Times New Roman" w:hAnsi="Calibri" w:cs="Calibri"/>
                <w:kern w:val="0"/>
                <w:sz w:val="22"/>
                <w:szCs w:val="22"/>
                <w14:ligatures w14:val="none"/>
              </w:rPr>
            </w:pPr>
          </w:p>
        </w:tc>
        <w:tc>
          <w:tcPr>
            <w:tcW w:w="2067" w:type="dxa"/>
            <w:vAlign w:val="center"/>
            <w:hideMark/>
          </w:tcPr>
          <w:p w14:paraId="1423BE6C" w14:textId="7EE5296A" w:rsidR="00A1263B" w:rsidRPr="00B904A6" w:rsidRDefault="00A1263B"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Dependability</w:t>
            </w:r>
          </w:p>
        </w:tc>
        <w:tc>
          <w:tcPr>
            <w:tcW w:w="0" w:type="auto"/>
            <w:vAlign w:val="center"/>
            <w:hideMark/>
          </w:tcPr>
          <w:p w14:paraId="3A4CFA18" w14:textId="77777777" w:rsidR="00A1263B" w:rsidRPr="00B904A6" w:rsidRDefault="00A1263B"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The consistency and repeatability of the research process and findings.</w:t>
            </w:r>
          </w:p>
        </w:tc>
      </w:tr>
      <w:tr w:rsidR="00A1263B" w:rsidRPr="00B904A6" w14:paraId="2E42B2E5" w14:textId="77777777" w:rsidTr="00B904A6">
        <w:trPr>
          <w:tblCellSpacing w:w="15" w:type="dxa"/>
        </w:trPr>
        <w:tc>
          <w:tcPr>
            <w:tcW w:w="958" w:type="dxa"/>
            <w:vMerge/>
          </w:tcPr>
          <w:p w14:paraId="40CC9D46" w14:textId="77777777" w:rsidR="00A1263B" w:rsidRPr="00B904A6" w:rsidRDefault="00A1263B" w:rsidP="00B904A6">
            <w:pPr>
              <w:spacing w:after="0" w:line="240" w:lineRule="auto"/>
              <w:rPr>
                <w:rFonts w:ascii="Calibri" w:eastAsia="Times New Roman" w:hAnsi="Calibri" w:cs="Calibri"/>
                <w:kern w:val="0"/>
                <w:sz w:val="22"/>
                <w:szCs w:val="22"/>
                <w14:ligatures w14:val="none"/>
              </w:rPr>
            </w:pPr>
          </w:p>
        </w:tc>
        <w:tc>
          <w:tcPr>
            <w:tcW w:w="2067" w:type="dxa"/>
            <w:vAlign w:val="center"/>
            <w:hideMark/>
          </w:tcPr>
          <w:p w14:paraId="019F9869" w14:textId="278F556A" w:rsidR="00A1263B" w:rsidRPr="00B904A6" w:rsidRDefault="00A1263B"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Transferability</w:t>
            </w:r>
          </w:p>
        </w:tc>
        <w:tc>
          <w:tcPr>
            <w:tcW w:w="0" w:type="auto"/>
            <w:vAlign w:val="center"/>
            <w:hideMark/>
          </w:tcPr>
          <w:p w14:paraId="62A6A632" w14:textId="77777777" w:rsidR="00A1263B" w:rsidRPr="00B904A6" w:rsidRDefault="00A1263B"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The degree to which the research findings can be transferred to other contexts or settings.</w:t>
            </w:r>
          </w:p>
        </w:tc>
      </w:tr>
      <w:tr w:rsidR="00B904A6" w:rsidRPr="00B904A6" w14:paraId="4D596DC4" w14:textId="77777777" w:rsidTr="00B904A6">
        <w:trPr>
          <w:tblCellSpacing w:w="15" w:type="dxa"/>
        </w:trPr>
        <w:tc>
          <w:tcPr>
            <w:tcW w:w="958" w:type="dxa"/>
            <w:vMerge w:val="restart"/>
          </w:tcPr>
          <w:p w14:paraId="7AC762DC" w14:textId="1F37AEED" w:rsidR="00B904A6" w:rsidRPr="00B904A6" w:rsidRDefault="00B904A6"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Creswell's Validation Strategies</w:t>
            </w:r>
          </w:p>
        </w:tc>
        <w:tc>
          <w:tcPr>
            <w:tcW w:w="2067" w:type="dxa"/>
            <w:vAlign w:val="center"/>
            <w:hideMark/>
          </w:tcPr>
          <w:p w14:paraId="4FD5BB41" w14:textId="04BA5123" w:rsidR="00B904A6" w:rsidRPr="00B904A6" w:rsidRDefault="00B904A6"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Prolonged engagement and persistent observation</w:t>
            </w:r>
          </w:p>
        </w:tc>
        <w:tc>
          <w:tcPr>
            <w:tcW w:w="0" w:type="auto"/>
            <w:vAlign w:val="center"/>
            <w:hideMark/>
          </w:tcPr>
          <w:p w14:paraId="557D9211" w14:textId="77777777" w:rsidR="00B904A6" w:rsidRPr="00B904A6" w:rsidRDefault="00B904A6"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Spending sufficient time in the field to learn or understand the culture, social setting, or phenomenon of interest.</w:t>
            </w:r>
          </w:p>
        </w:tc>
      </w:tr>
      <w:tr w:rsidR="00B904A6" w:rsidRPr="00B904A6" w14:paraId="58CA25AB" w14:textId="77777777" w:rsidTr="0027182A">
        <w:trPr>
          <w:tblCellSpacing w:w="15" w:type="dxa"/>
        </w:trPr>
        <w:tc>
          <w:tcPr>
            <w:tcW w:w="958" w:type="dxa"/>
            <w:vMerge/>
          </w:tcPr>
          <w:p w14:paraId="03AEBC11" w14:textId="77777777" w:rsidR="00B904A6" w:rsidRPr="00B904A6" w:rsidRDefault="00B904A6" w:rsidP="00B904A6">
            <w:pPr>
              <w:spacing w:after="0" w:line="240" w:lineRule="auto"/>
              <w:rPr>
                <w:rFonts w:ascii="Calibri" w:eastAsia="Times New Roman" w:hAnsi="Calibri" w:cs="Calibri"/>
                <w:kern w:val="0"/>
                <w:sz w:val="22"/>
                <w:szCs w:val="22"/>
                <w14:ligatures w14:val="none"/>
              </w:rPr>
            </w:pPr>
          </w:p>
        </w:tc>
        <w:tc>
          <w:tcPr>
            <w:tcW w:w="2067" w:type="dxa"/>
            <w:shd w:val="clear" w:color="auto" w:fill="83CAEB" w:themeFill="accent1" w:themeFillTint="66"/>
            <w:vAlign w:val="center"/>
            <w:hideMark/>
          </w:tcPr>
          <w:p w14:paraId="7AD4DF00" w14:textId="4E288623" w:rsidR="00B904A6" w:rsidRPr="00B904A6" w:rsidRDefault="00B904A6"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Triangulation</w:t>
            </w:r>
          </w:p>
        </w:tc>
        <w:tc>
          <w:tcPr>
            <w:tcW w:w="0" w:type="auto"/>
            <w:vAlign w:val="center"/>
            <w:hideMark/>
          </w:tcPr>
          <w:p w14:paraId="537C0B4B" w14:textId="77777777" w:rsidR="00B904A6" w:rsidRPr="00B904A6" w:rsidRDefault="00B904A6"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Using multiple sources, methods,</w:t>
            </w:r>
            <w:r w:rsidRPr="00B904A6">
              <w:rPr>
                <w:rFonts w:ascii="Calibri" w:eastAsia="Times New Roman" w:hAnsi="Calibri" w:cs="Calibri"/>
                <w:strike/>
                <w:kern w:val="0"/>
                <w:sz w:val="22"/>
                <w:szCs w:val="22"/>
                <w14:ligatures w14:val="none"/>
              </w:rPr>
              <w:t xml:space="preserve"> investigators</w:t>
            </w:r>
            <w:r w:rsidRPr="00B904A6">
              <w:rPr>
                <w:rFonts w:ascii="Calibri" w:eastAsia="Times New Roman" w:hAnsi="Calibri" w:cs="Calibri"/>
                <w:kern w:val="0"/>
                <w:sz w:val="22"/>
                <w:szCs w:val="22"/>
                <w14:ligatures w14:val="none"/>
              </w:rPr>
              <w:t>, and theories to provide corroborating evidence.</w:t>
            </w:r>
          </w:p>
        </w:tc>
      </w:tr>
      <w:tr w:rsidR="00B904A6" w:rsidRPr="00B904A6" w14:paraId="5D840434" w14:textId="77777777" w:rsidTr="00B904A6">
        <w:trPr>
          <w:tblCellSpacing w:w="15" w:type="dxa"/>
        </w:trPr>
        <w:tc>
          <w:tcPr>
            <w:tcW w:w="958" w:type="dxa"/>
            <w:vMerge/>
          </w:tcPr>
          <w:p w14:paraId="5E155FAC" w14:textId="77777777" w:rsidR="00B904A6" w:rsidRPr="00B904A6" w:rsidRDefault="00B904A6" w:rsidP="00B904A6">
            <w:pPr>
              <w:spacing w:after="0" w:line="240" w:lineRule="auto"/>
              <w:rPr>
                <w:rFonts w:ascii="Calibri" w:eastAsia="Times New Roman" w:hAnsi="Calibri" w:cs="Calibri"/>
                <w:kern w:val="0"/>
                <w:sz w:val="22"/>
                <w:szCs w:val="22"/>
                <w14:ligatures w14:val="none"/>
              </w:rPr>
            </w:pPr>
          </w:p>
        </w:tc>
        <w:tc>
          <w:tcPr>
            <w:tcW w:w="2067" w:type="dxa"/>
            <w:vAlign w:val="center"/>
            <w:hideMark/>
          </w:tcPr>
          <w:p w14:paraId="5E1400C3" w14:textId="6171995D" w:rsidR="00B904A6" w:rsidRPr="00B904A6" w:rsidRDefault="00B904A6"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Peer review or debriefing</w:t>
            </w:r>
          </w:p>
        </w:tc>
        <w:tc>
          <w:tcPr>
            <w:tcW w:w="0" w:type="auto"/>
            <w:vAlign w:val="center"/>
            <w:hideMark/>
          </w:tcPr>
          <w:p w14:paraId="406E2B68" w14:textId="77777777" w:rsidR="00B904A6" w:rsidRPr="00B904A6" w:rsidRDefault="00B904A6"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Having a person (a peer debriefer) review and ask questions about the qualitative study so that the account will resonate with people other than the researcher.</w:t>
            </w:r>
          </w:p>
        </w:tc>
      </w:tr>
      <w:tr w:rsidR="00B904A6" w:rsidRPr="00B904A6" w14:paraId="0BCB3086" w14:textId="77777777" w:rsidTr="00B904A6">
        <w:trPr>
          <w:tblCellSpacing w:w="15" w:type="dxa"/>
        </w:trPr>
        <w:tc>
          <w:tcPr>
            <w:tcW w:w="958" w:type="dxa"/>
            <w:vMerge/>
          </w:tcPr>
          <w:p w14:paraId="3CB1C2F8" w14:textId="77777777" w:rsidR="00B904A6" w:rsidRPr="00B904A6" w:rsidRDefault="00B904A6" w:rsidP="00B904A6">
            <w:pPr>
              <w:spacing w:after="0" w:line="240" w:lineRule="auto"/>
              <w:rPr>
                <w:rFonts w:ascii="Calibri" w:eastAsia="Times New Roman" w:hAnsi="Calibri" w:cs="Calibri"/>
                <w:kern w:val="0"/>
                <w:sz w:val="22"/>
                <w:szCs w:val="22"/>
                <w14:ligatures w14:val="none"/>
              </w:rPr>
            </w:pPr>
          </w:p>
        </w:tc>
        <w:tc>
          <w:tcPr>
            <w:tcW w:w="2067" w:type="dxa"/>
            <w:vAlign w:val="center"/>
            <w:hideMark/>
          </w:tcPr>
          <w:p w14:paraId="2CA22D69" w14:textId="75042FFC" w:rsidR="00B904A6" w:rsidRPr="00B904A6" w:rsidRDefault="00B904A6"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Negative case analysis</w:t>
            </w:r>
          </w:p>
        </w:tc>
        <w:tc>
          <w:tcPr>
            <w:tcW w:w="0" w:type="auto"/>
            <w:vAlign w:val="center"/>
            <w:hideMark/>
          </w:tcPr>
          <w:p w14:paraId="64B4EBE9" w14:textId="77777777" w:rsidR="00B904A6" w:rsidRPr="00B904A6" w:rsidRDefault="00B904A6"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Refining working hypotheses as the inquiry advances in light of negative or disconfirming evidence.</w:t>
            </w:r>
          </w:p>
        </w:tc>
      </w:tr>
      <w:tr w:rsidR="00B904A6" w:rsidRPr="00B904A6" w14:paraId="11F0504E" w14:textId="77777777" w:rsidTr="00B904A6">
        <w:trPr>
          <w:tblCellSpacing w:w="15" w:type="dxa"/>
        </w:trPr>
        <w:tc>
          <w:tcPr>
            <w:tcW w:w="958" w:type="dxa"/>
            <w:vMerge/>
          </w:tcPr>
          <w:p w14:paraId="09A7965D" w14:textId="77777777" w:rsidR="00B904A6" w:rsidRPr="00B904A6" w:rsidRDefault="00B904A6" w:rsidP="00B904A6">
            <w:pPr>
              <w:spacing w:after="0" w:line="240" w:lineRule="auto"/>
              <w:rPr>
                <w:rFonts w:ascii="Calibri" w:eastAsia="Times New Roman" w:hAnsi="Calibri" w:cs="Calibri"/>
                <w:kern w:val="0"/>
                <w:sz w:val="22"/>
                <w:szCs w:val="22"/>
                <w14:ligatures w14:val="none"/>
              </w:rPr>
            </w:pPr>
          </w:p>
        </w:tc>
        <w:tc>
          <w:tcPr>
            <w:tcW w:w="2067" w:type="dxa"/>
            <w:vAlign w:val="center"/>
            <w:hideMark/>
          </w:tcPr>
          <w:p w14:paraId="0D114738" w14:textId="0A9177A4" w:rsidR="00B904A6" w:rsidRPr="00B904A6" w:rsidRDefault="00B904A6"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Clarifying researcher bias</w:t>
            </w:r>
          </w:p>
        </w:tc>
        <w:tc>
          <w:tcPr>
            <w:tcW w:w="0" w:type="auto"/>
            <w:vAlign w:val="center"/>
            <w:hideMark/>
          </w:tcPr>
          <w:p w14:paraId="6AE5EE35" w14:textId="77777777" w:rsidR="00B904A6" w:rsidRPr="00B904A6" w:rsidRDefault="00B904A6"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Clarifying any potential bias the researcher may bring to the study.</w:t>
            </w:r>
          </w:p>
        </w:tc>
      </w:tr>
      <w:tr w:rsidR="00B904A6" w:rsidRPr="00B904A6" w14:paraId="2391AE04" w14:textId="77777777" w:rsidTr="00B904A6">
        <w:trPr>
          <w:tblCellSpacing w:w="15" w:type="dxa"/>
        </w:trPr>
        <w:tc>
          <w:tcPr>
            <w:tcW w:w="958" w:type="dxa"/>
            <w:vMerge/>
          </w:tcPr>
          <w:p w14:paraId="205A183D" w14:textId="77777777" w:rsidR="00B904A6" w:rsidRPr="00B904A6" w:rsidRDefault="00B904A6" w:rsidP="00B904A6">
            <w:pPr>
              <w:spacing w:after="0" w:line="240" w:lineRule="auto"/>
              <w:rPr>
                <w:rFonts w:ascii="Calibri" w:eastAsia="Times New Roman" w:hAnsi="Calibri" w:cs="Calibri"/>
                <w:kern w:val="0"/>
                <w:sz w:val="22"/>
                <w:szCs w:val="22"/>
                <w14:ligatures w14:val="none"/>
              </w:rPr>
            </w:pPr>
          </w:p>
        </w:tc>
        <w:tc>
          <w:tcPr>
            <w:tcW w:w="2067" w:type="dxa"/>
            <w:vAlign w:val="center"/>
            <w:hideMark/>
          </w:tcPr>
          <w:p w14:paraId="4B458D49" w14:textId="7D4021B5" w:rsidR="00B904A6" w:rsidRPr="00B904A6" w:rsidRDefault="00B904A6"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Member checking</w:t>
            </w:r>
          </w:p>
        </w:tc>
        <w:tc>
          <w:tcPr>
            <w:tcW w:w="0" w:type="auto"/>
            <w:vAlign w:val="center"/>
            <w:hideMark/>
          </w:tcPr>
          <w:p w14:paraId="464A1843" w14:textId="77777777" w:rsidR="00B904A6" w:rsidRPr="00B904A6" w:rsidRDefault="00B904A6"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Soliciting feedback from respondents on the research findings and interpretations.</w:t>
            </w:r>
          </w:p>
        </w:tc>
      </w:tr>
      <w:tr w:rsidR="00B904A6" w:rsidRPr="00B904A6" w14:paraId="3CE5C8C2" w14:textId="77777777" w:rsidTr="00B904A6">
        <w:trPr>
          <w:tblCellSpacing w:w="15" w:type="dxa"/>
        </w:trPr>
        <w:tc>
          <w:tcPr>
            <w:tcW w:w="958" w:type="dxa"/>
            <w:vMerge/>
          </w:tcPr>
          <w:p w14:paraId="046D1B21" w14:textId="77777777" w:rsidR="00B904A6" w:rsidRPr="00B904A6" w:rsidRDefault="00B904A6" w:rsidP="00B904A6">
            <w:pPr>
              <w:spacing w:after="0" w:line="240" w:lineRule="auto"/>
              <w:rPr>
                <w:rFonts w:ascii="Calibri" w:eastAsia="Times New Roman" w:hAnsi="Calibri" w:cs="Calibri"/>
                <w:kern w:val="0"/>
                <w:sz w:val="22"/>
                <w:szCs w:val="22"/>
                <w14:ligatures w14:val="none"/>
              </w:rPr>
            </w:pPr>
          </w:p>
        </w:tc>
        <w:tc>
          <w:tcPr>
            <w:tcW w:w="2067" w:type="dxa"/>
            <w:vAlign w:val="center"/>
            <w:hideMark/>
          </w:tcPr>
          <w:p w14:paraId="26CD839B" w14:textId="3B609CD3" w:rsidR="00B904A6" w:rsidRPr="00B904A6" w:rsidRDefault="00B904A6"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Rich, thick description</w:t>
            </w:r>
          </w:p>
        </w:tc>
        <w:tc>
          <w:tcPr>
            <w:tcW w:w="0" w:type="auto"/>
            <w:vAlign w:val="center"/>
            <w:hideMark/>
          </w:tcPr>
          <w:p w14:paraId="353E94F8" w14:textId="77777777" w:rsidR="00B904A6" w:rsidRPr="00B904A6" w:rsidRDefault="00B904A6"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Providing detailed descriptions of the setting, participants, and findings to allow readers to make decisions regarding transferability.</w:t>
            </w:r>
          </w:p>
        </w:tc>
      </w:tr>
      <w:tr w:rsidR="00B904A6" w:rsidRPr="00B904A6" w14:paraId="2D214D80" w14:textId="77777777" w:rsidTr="00B904A6">
        <w:trPr>
          <w:tblCellSpacing w:w="15" w:type="dxa"/>
        </w:trPr>
        <w:tc>
          <w:tcPr>
            <w:tcW w:w="958" w:type="dxa"/>
            <w:vMerge/>
          </w:tcPr>
          <w:p w14:paraId="3B178579" w14:textId="77777777" w:rsidR="00B904A6" w:rsidRPr="00B904A6" w:rsidRDefault="00B904A6" w:rsidP="00B904A6">
            <w:pPr>
              <w:spacing w:after="0" w:line="240" w:lineRule="auto"/>
              <w:rPr>
                <w:rFonts w:ascii="Calibri" w:eastAsia="Times New Roman" w:hAnsi="Calibri" w:cs="Calibri"/>
                <w:kern w:val="0"/>
                <w:sz w:val="22"/>
                <w:szCs w:val="22"/>
                <w14:ligatures w14:val="none"/>
              </w:rPr>
            </w:pPr>
          </w:p>
        </w:tc>
        <w:tc>
          <w:tcPr>
            <w:tcW w:w="2067" w:type="dxa"/>
            <w:vAlign w:val="center"/>
            <w:hideMark/>
          </w:tcPr>
          <w:p w14:paraId="56538C13" w14:textId="68B6779C" w:rsidR="00B904A6" w:rsidRPr="00B904A6" w:rsidRDefault="00B904A6"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External audits</w:t>
            </w:r>
          </w:p>
        </w:tc>
        <w:tc>
          <w:tcPr>
            <w:tcW w:w="0" w:type="auto"/>
            <w:vAlign w:val="center"/>
            <w:hideMark/>
          </w:tcPr>
          <w:p w14:paraId="5E318752" w14:textId="77777777" w:rsidR="00B904A6" w:rsidRPr="00B904A6" w:rsidRDefault="00B904A6" w:rsidP="00B904A6">
            <w:pPr>
              <w:spacing w:after="0" w:line="240" w:lineRule="auto"/>
              <w:rPr>
                <w:rFonts w:ascii="Calibri" w:eastAsia="Times New Roman" w:hAnsi="Calibri" w:cs="Calibri"/>
                <w:kern w:val="0"/>
                <w:sz w:val="22"/>
                <w:szCs w:val="22"/>
                <w14:ligatures w14:val="none"/>
              </w:rPr>
            </w:pPr>
            <w:r w:rsidRPr="00B904A6">
              <w:rPr>
                <w:rFonts w:ascii="Calibri" w:eastAsia="Times New Roman" w:hAnsi="Calibri" w:cs="Calibri"/>
                <w:kern w:val="0"/>
                <w:sz w:val="22"/>
                <w:szCs w:val="22"/>
                <w14:ligatures w14:val="none"/>
              </w:rPr>
              <w:t>Having an outside person examine the research process and product to assess accuracy and evaluate whether or not the findings, interpretations and conclusions are supported by the data.</w:t>
            </w:r>
          </w:p>
        </w:tc>
      </w:tr>
    </w:tbl>
    <w:p w14:paraId="129BD9B7" w14:textId="77777777" w:rsidR="00B904A6" w:rsidRDefault="00B904A6" w:rsidP="00B904A6">
      <w:pPr>
        <w:spacing w:after="0" w:line="240" w:lineRule="auto"/>
        <w:rPr>
          <w:rFonts w:ascii="Calibri" w:hAnsi="Calibri" w:cs="Calibri"/>
          <w:sz w:val="22"/>
          <w:szCs w:val="22"/>
        </w:rPr>
      </w:pPr>
    </w:p>
    <w:p w14:paraId="78FAAA19" w14:textId="666A10E9" w:rsidR="00A1263B" w:rsidRPr="00A1263B" w:rsidRDefault="00A1263B" w:rsidP="00B904A6">
      <w:pPr>
        <w:spacing w:after="0" w:line="240" w:lineRule="auto"/>
        <w:rPr>
          <w:rFonts w:ascii="Calibri" w:hAnsi="Calibri" w:cs="Calibri"/>
          <w:b/>
          <w:bCs/>
          <w:sz w:val="22"/>
          <w:szCs w:val="22"/>
        </w:rPr>
      </w:pPr>
      <w:r w:rsidRPr="00A1263B">
        <w:rPr>
          <w:rFonts w:ascii="Calibri" w:hAnsi="Calibri" w:cs="Calibri"/>
          <w:b/>
          <w:bCs/>
          <w:sz w:val="22"/>
          <w:szCs w:val="22"/>
        </w:rPr>
        <w:t>Reference</w:t>
      </w:r>
      <w:r>
        <w:rPr>
          <w:rFonts w:ascii="Calibri" w:hAnsi="Calibri" w:cs="Calibri"/>
          <w:b/>
          <w:bCs/>
          <w:sz w:val="22"/>
          <w:szCs w:val="22"/>
        </w:rPr>
        <w:t>s</w:t>
      </w:r>
      <w:r w:rsidRPr="00A1263B">
        <w:rPr>
          <w:rFonts w:ascii="Calibri" w:hAnsi="Calibri" w:cs="Calibri"/>
          <w:b/>
          <w:bCs/>
          <w:sz w:val="22"/>
          <w:szCs w:val="22"/>
        </w:rPr>
        <w:t xml:space="preserve"> for table</w:t>
      </w:r>
    </w:p>
    <w:p w14:paraId="60DB7B9C" w14:textId="77777777" w:rsidR="00A1263B" w:rsidRDefault="00A1263B" w:rsidP="00B904A6">
      <w:pPr>
        <w:spacing w:after="0" w:line="240" w:lineRule="auto"/>
        <w:rPr>
          <w:rFonts w:ascii="Calibri" w:hAnsi="Calibri" w:cs="Calibri"/>
          <w:sz w:val="22"/>
          <w:szCs w:val="22"/>
        </w:rPr>
      </w:pPr>
    </w:p>
    <w:p w14:paraId="43051344" w14:textId="77777777" w:rsidR="00A1263B" w:rsidRPr="00A1263B" w:rsidRDefault="00A1263B" w:rsidP="00A1263B">
      <w:pPr>
        <w:spacing w:after="0" w:line="240" w:lineRule="auto"/>
        <w:rPr>
          <w:rFonts w:ascii="Calibri" w:hAnsi="Calibri" w:cs="Calibri"/>
          <w:sz w:val="22"/>
          <w:szCs w:val="22"/>
        </w:rPr>
      </w:pPr>
      <w:r w:rsidRPr="00A1263B">
        <w:rPr>
          <w:rFonts w:ascii="Calibri" w:hAnsi="Calibri" w:cs="Calibri"/>
          <w:sz w:val="22"/>
          <w:szCs w:val="22"/>
        </w:rPr>
        <w:t>Creswell, J. W. (2013). Qualitative inquiry and research design: Choosing among five approaches (3rd ed.). Thousand Oaks, CA: Sage Publications.</w:t>
      </w:r>
    </w:p>
    <w:p w14:paraId="36946F65" w14:textId="34C0E04F" w:rsidR="00A1263B" w:rsidRPr="00B904A6" w:rsidRDefault="00A1263B" w:rsidP="00A1263B">
      <w:pPr>
        <w:spacing w:after="0" w:line="240" w:lineRule="auto"/>
        <w:rPr>
          <w:rFonts w:ascii="Calibri" w:hAnsi="Calibri" w:cs="Calibri"/>
          <w:sz w:val="22"/>
          <w:szCs w:val="22"/>
        </w:rPr>
      </w:pPr>
      <w:r w:rsidRPr="00A1263B">
        <w:rPr>
          <w:rFonts w:ascii="Calibri" w:hAnsi="Calibri" w:cs="Calibri"/>
          <w:sz w:val="22"/>
          <w:szCs w:val="22"/>
        </w:rPr>
        <w:t>Guba, E. G., &amp; Lincoln, Y. S. (1985). Naturalistic inquiry. Beverly Hills, CA: Sage Publications.</w:t>
      </w:r>
    </w:p>
    <w:sectPr w:rsidR="00A1263B" w:rsidRPr="00B904A6">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C25A87" w14:textId="77777777" w:rsidR="00AF6C8D" w:rsidRDefault="00AF6C8D" w:rsidP="00B904A6">
      <w:pPr>
        <w:spacing w:after="0" w:line="240" w:lineRule="auto"/>
      </w:pPr>
      <w:r>
        <w:separator/>
      </w:r>
    </w:p>
  </w:endnote>
  <w:endnote w:type="continuationSeparator" w:id="0">
    <w:p w14:paraId="220F0EF6" w14:textId="77777777" w:rsidR="00AF6C8D" w:rsidRDefault="00AF6C8D" w:rsidP="00B904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61320348"/>
      <w:docPartObj>
        <w:docPartGallery w:val="Page Numbers (Bottom of Page)"/>
        <w:docPartUnique/>
      </w:docPartObj>
    </w:sdtPr>
    <w:sdtEndPr>
      <w:rPr>
        <w:noProof/>
      </w:rPr>
    </w:sdtEndPr>
    <w:sdtContent>
      <w:p w14:paraId="64381DC6" w14:textId="0C958D6D" w:rsidR="00B904A6" w:rsidRDefault="00B904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62B47D" w14:textId="77777777" w:rsidR="00B904A6" w:rsidRDefault="00B904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95E339" w14:textId="77777777" w:rsidR="00AF6C8D" w:rsidRDefault="00AF6C8D" w:rsidP="00B904A6">
      <w:pPr>
        <w:spacing w:after="0" w:line="240" w:lineRule="auto"/>
      </w:pPr>
      <w:r>
        <w:separator/>
      </w:r>
    </w:p>
  </w:footnote>
  <w:footnote w:type="continuationSeparator" w:id="0">
    <w:p w14:paraId="4A6FE242" w14:textId="77777777" w:rsidR="00AF6C8D" w:rsidRDefault="00AF6C8D" w:rsidP="00B904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F085AC" w14:textId="352D8454" w:rsidR="00B904A6" w:rsidRPr="00B904A6" w:rsidRDefault="00B904A6" w:rsidP="00B904A6">
    <w:pPr>
      <w:pStyle w:val="Header"/>
      <w:rPr>
        <w:rFonts w:ascii="Calibri" w:hAnsi="Calibri" w:cs="Calibri"/>
        <w:b/>
        <w:bCs/>
        <w:sz w:val="20"/>
        <w:szCs w:val="20"/>
      </w:rPr>
    </w:pPr>
    <w:r w:rsidRPr="00B904A6">
      <w:rPr>
        <w:rFonts w:ascii="Calibri" w:hAnsi="Calibri" w:cs="Calibri"/>
        <w:b/>
        <w:bCs/>
        <w:sz w:val="20"/>
        <w:szCs w:val="20"/>
      </w:rPr>
      <w:t>Dr Caroline Jawad Quality in qualitative research, trustworthiness of qualitative research</w:t>
    </w:r>
  </w:p>
  <w:p w14:paraId="6FEA8471" w14:textId="77777777" w:rsidR="00B904A6" w:rsidRDefault="00B904A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4A6"/>
    <w:rsid w:val="0004735C"/>
    <w:rsid w:val="00164F45"/>
    <w:rsid w:val="0027182A"/>
    <w:rsid w:val="00341237"/>
    <w:rsid w:val="00614E65"/>
    <w:rsid w:val="007F2D5D"/>
    <w:rsid w:val="00A1263B"/>
    <w:rsid w:val="00A46B88"/>
    <w:rsid w:val="00AB5513"/>
    <w:rsid w:val="00AF6C8D"/>
    <w:rsid w:val="00B7520B"/>
    <w:rsid w:val="00B904A6"/>
    <w:rsid w:val="00CC3354"/>
    <w:rsid w:val="00F03EAD"/>
    <w:rsid w:val="00F550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CAEDC"/>
  <w15:chartTrackingRefBased/>
  <w15:docId w15:val="{F530F722-7AB1-4B44-87AA-6C4FD4628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0BD"/>
  </w:style>
  <w:style w:type="paragraph" w:styleId="Heading1">
    <w:name w:val="heading 1"/>
    <w:basedOn w:val="Normal"/>
    <w:next w:val="Normal"/>
    <w:link w:val="Heading1Char"/>
    <w:uiPriority w:val="9"/>
    <w:qFormat/>
    <w:rsid w:val="00B904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04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04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04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04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04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04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04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04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04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04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04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04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04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04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04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04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04A6"/>
    <w:rPr>
      <w:rFonts w:eastAsiaTheme="majorEastAsia" w:cstheme="majorBidi"/>
      <w:color w:val="272727" w:themeColor="text1" w:themeTint="D8"/>
    </w:rPr>
  </w:style>
  <w:style w:type="paragraph" w:styleId="Title">
    <w:name w:val="Title"/>
    <w:basedOn w:val="Normal"/>
    <w:next w:val="Normal"/>
    <w:link w:val="TitleChar"/>
    <w:uiPriority w:val="10"/>
    <w:qFormat/>
    <w:rsid w:val="00B904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04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04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04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04A6"/>
    <w:pPr>
      <w:spacing w:before="160"/>
      <w:jc w:val="center"/>
    </w:pPr>
    <w:rPr>
      <w:i/>
      <w:iCs/>
      <w:color w:val="404040" w:themeColor="text1" w:themeTint="BF"/>
    </w:rPr>
  </w:style>
  <w:style w:type="character" w:customStyle="1" w:styleId="QuoteChar">
    <w:name w:val="Quote Char"/>
    <w:basedOn w:val="DefaultParagraphFont"/>
    <w:link w:val="Quote"/>
    <w:uiPriority w:val="29"/>
    <w:rsid w:val="00B904A6"/>
    <w:rPr>
      <w:i/>
      <w:iCs/>
      <w:color w:val="404040" w:themeColor="text1" w:themeTint="BF"/>
    </w:rPr>
  </w:style>
  <w:style w:type="paragraph" w:styleId="ListParagraph">
    <w:name w:val="List Paragraph"/>
    <w:basedOn w:val="Normal"/>
    <w:uiPriority w:val="34"/>
    <w:qFormat/>
    <w:rsid w:val="00B904A6"/>
    <w:pPr>
      <w:ind w:left="720"/>
      <w:contextualSpacing/>
    </w:pPr>
  </w:style>
  <w:style w:type="character" w:styleId="IntenseEmphasis">
    <w:name w:val="Intense Emphasis"/>
    <w:basedOn w:val="DefaultParagraphFont"/>
    <w:uiPriority w:val="21"/>
    <w:qFormat/>
    <w:rsid w:val="00B904A6"/>
    <w:rPr>
      <w:i/>
      <w:iCs/>
      <w:color w:val="0F4761" w:themeColor="accent1" w:themeShade="BF"/>
    </w:rPr>
  </w:style>
  <w:style w:type="paragraph" w:styleId="IntenseQuote">
    <w:name w:val="Intense Quote"/>
    <w:basedOn w:val="Normal"/>
    <w:next w:val="Normal"/>
    <w:link w:val="IntenseQuoteChar"/>
    <w:uiPriority w:val="30"/>
    <w:qFormat/>
    <w:rsid w:val="00B904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04A6"/>
    <w:rPr>
      <w:i/>
      <w:iCs/>
      <w:color w:val="0F4761" w:themeColor="accent1" w:themeShade="BF"/>
    </w:rPr>
  </w:style>
  <w:style w:type="character" w:styleId="IntenseReference">
    <w:name w:val="Intense Reference"/>
    <w:basedOn w:val="DefaultParagraphFont"/>
    <w:uiPriority w:val="32"/>
    <w:qFormat/>
    <w:rsid w:val="00B904A6"/>
    <w:rPr>
      <w:b/>
      <w:bCs/>
      <w:smallCaps/>
      <w:color w:val="0F4761" w:themeColor="accent1" w:themeShade="BF"/>
      <w:spacing w:val="5"/>
    </w:rPr>
  </w:style>
  <w:style w:type="paragraph" w:styleId="Header">
    <w:name w:val="header"/>
    <w:basedOn w:val="Normal"/>
    <w:link w:val="HeaderChar"/>
    <w:uiPriority w:val="99"/>
    <w:unhideWhenUsed/>
    <w:rsid w:val="00B904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04A6"/>
  </w:style>
  <w:style w:type="paragraph" w:styleId="Footer">
    <w:name w:val="footer"/>
    <w:basedOn w:val="Normal"/>
    <w:link w:val="FooterChar"/>
    <w:uiPriority w:val="99"/>
    <w:unhideWhenUsed/>
    <w:rsid w:val="00B904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4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0405662">
      <w:bodyDiv w:val="1"/>
      <w:marLeft w:val="0"/>
      <w:marRight w:val="0"/>
      <w:marTop w:val="0"/>
      <w:marBottom w:val="0"/>
      <w:divBdr>
        <w:top w:val="none" w:sz="0" w:space="0" w:color="auto"/>
        <w:left w:val="none" w:sz="0" w:space="0" w:color="auto"/>
        <w:bottom w:val="none" w:sz="0" w:space="0" w:color="auto"/>
        <w:right w:val="none" w:sz="0" w:space="0" w:color="auto"/>
      </w:divBdr>
    </w:div>
    <w:div w:id="1204246344">
      <w:bodyDiv w:val="1"/>
      <w:marLeft w:val="0"/>
      <w:marRight w:val="0"/>
      <w:marTop w:val="0"/>
      <w:marBottom w:val="0"/>
      <w:divBdr>
        <w:top w:val="none" w:sz="0" w:space="0" w:color="auto"/>
        <w:left w:val="none" w:sz="0" w:space="0" w:color="auto"/>
        <w:bottom w:val="none" w:sz="0" w:space="0" w:color="auto"/>
        <w:right w:val="none" w:sz="0" w:space="0" w:color="auto"/>
      </w:divBdr>
    </w:div>
    <w:div w:id="1308240080">
      <w:bodyDiv w:val="1"/>
      <w:marLeft w:val="0"/>
      <w:marRight w:val="0"/>
      <w:marTop w:val="0"/>
      <w:marBottom w:val="0"/>
      <w:divBdr>
        <w:top w:val="none" w:sz="0" w:space="0" w:color="auto"/>
        <w:left w:val="none" w:sz="0" w:space="0" w:color="auto"/>
        <w:bottom w:val="none" w:sz="0" w:space="0" w:color="auto"/>
        <w:right w:val="none" w:sz="0" w:space="0" w:color="auto"/>
      </w:divBdr>
    </w:div>
    <w:div w:id="1482698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1953</Words>
  <Characters>11134</Characters>
  <Application>Microsoft Office Word</Application>
  <DocSecurity>0</DocSecurity>
  <Lines>92</Lines>
  <Paragraphs>26</Paragraphs>
  <ScaleCrop>false</ScaleCrop>
  <Company/>
  <LinksUpToDate>false</LinksUpToDate>
  <CharactersWithSpaces>13061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3</cp:revision>
  <dcterms:created xsi:type="dcterms:W3CDTF">2024-12-09T11:42:00Z</dcterms:created>
  <dcterms:modified xsi:type="dcterms:W3CDTF">2024-12-09T12:17:00Z</dcterms:modified>
</cp:coreProperties>
</file>