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bookmarkStart w:id="0" w:name="_GoBack"/>
      <w:bookmarkEnd w:id="0"/>
      <w:r>
        <w:rPr>
          <w:rFonts w:cs="Arial"/>
          <w:b/>
          <w:szCs w:val="22"/>
        </w:rPr>
        <w:t>MODULE CODE:</w:t>
      </w:r>
      <w:r>
        <w:rPr>
          <w:rFonts w:cs="Arial"/>
          <w:b/>
          <w:szCs w:val="22"/>
        </w:rPr>
        <w:tab/>
      </w:r>
      <w:r>
        <w:rPr>
          <w:rFonts w:eastAsia="Calibri" w:cs="Arial"/>
          <w:b/>
          <w:szCs w:val="22"/>
          <w:lang w:val="en-US" w:eastAsia="en-US"/>
        </w:rPr>
        <w:t>M7X01556</w:t>
      </w:r>
    </w:p>
    <w:p w:rsidR="00405B51" w:rsidRDefault="00405B51" w:rsidP="00405B51">
      <w:pPr>
        <w:pBdr>
          <w:bottom w:val="single" w:sz="6" w:space="1" w:color="auto"/>
        </w:pBdr>
        <w:overflowPunct w:val="0"/>
        <w:autoSpaceDE w:val="0"/>
        <w:autoSpaceDN w:val="0"/>
        <w:adjustRightInd w:val="0"/>
        <w:ind w:left="2160" w:hanging="2160"/>
        <w:jc w:val="both"/>
        <w:textAlignment w:val="baseline"/>
        <w:rPr>
          <w:rFonts w:cs="Arial"/>
          <w:b/>
          <w:szCs w:val="22"/>
        </w:rPr>
      </w:pPr>
      <w:r>
        <w:rPr>
          <w:rFonts w:cs="Arial"/>
          <w:b/>
          <w:szCs w:val="22"/>
        </w:rPr>
        <w:t>TITLE:</w:t>
      </w:r>
      <w:r>
        <w:rPr>
          <w:rFonts w:cs="Arial"/>
          <w:b/>
          <w:szCs w:val="22"/>
        </w:rPr>
        <w:tab/>
      </w:r>
      <w:r>
        <w:rPr>
          <w:rFonts w:eastAsia="Calibri" w:cs="Arial"/>
          <w:b/>
          <w:szCs w:val="22"/>
          <w:lang w:eastAsia="en-US"/>
        </w:rPr>
        <w:t>Transforming Education: Effective Change in Leadership and Management</w:t>
      </w: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r>
        <w:rPr>
          <w:rFonts w:cs="Arial"/>
          <w:b/>
          <w:szCs w:val="22"/>
        </w:rPr>
        <w:t>DATED:</w:t>
      </w:r>
      <w:r>
        <w:rPr>
          <w:rFonts w:cs="Arial"/>
          <w:b/>
          <w:szCs w:val="22"/>
        </w:rPr>
        <w:tab/>
      </w:r>
      <w:r>
        <w:rPr>
          <w:rFonts w:cs="Arial"/>
          <w:b/>
          <w:szCs w:val="22"/>
        </w:rPr>
        <w:tab/>
        <w:t>02/07/2015</w:t>
      </w: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r>
        <w:rPr>
          <w:rFonts w:cs="Arial"/>
          <w:b/>
          <w:szCs w:val="22"/>
        </w:rPr>
        <w:fldChar w:fldCharType="begin"/>
      </w:r>
      <w:r>
        <w:rPr>
          <w:rFonts w:cs="Arial"/>
          <w:b/>
          <w:szCs w:val="22"/>
        </w:rPr>
        <w:instrText xml:space="preserve"> FILLIN  DD/MM/YYYY  \* MERGEFORMAT </w:instrText>
      </w:r>
      <w:r>
        <w:rPr>
          <w:rFonts w:cs="Arial"/>
          <w:b/>
          <w:szCs w:val="22"/>
        </w:rPr>
        <w:fldChar w:fldCharType="end"/>
      </w: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r>
        <w:rPr>
          <w:rFonts w:cs="Arial"/>
          <w:b/>
          <w:szCs w:val="22"/>
        </w:rPr>
        <w:t xml:space="preserve">LEVEL:  </w:t>
      </w:r>
      <w:r>
        <w:rPr>
          <w:rFonts w:cs="Arial"/>
          <w:b/>
          <w:szCs w:val="22"/>
        </w:rPr>
        <w:tab/>
      </w:r>
      <w:r>
        <w:rPr>
          <w:rFonts w:cs="Arial"/>
          <w:b/>
          <w:szCs w:val="22"/>
        </w:rPr>
        <w:tab/>
        <w:t>7</w:t>
      </w:r>
      <w:r>
        <w:rPr>
          <w:rFonts w:cs="Arial"/>
          <w:b/>
          <w:szCs w:val="22"/>
        </w:rPr>
        <w:tab/>
      </w: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r>
        <w:rPr>
          <w:rFonts w:cs="Arial"/>
          <w:b/>
          <w:szCs w:val="22"/>
        </w:rPr>
        <w:t>CREDITS:</w:t>
      </w:r>
      <w:r>
        <w:rPr>
          <w:rFonts w:cs="Arial"/>
          <w:b/>
          <w:szCs w:val="22"/>
        </w:rPr>
        <w:tab/>
      </w:r>
      <w:r>
        <w:rPr>
          <w:rFonts w:cs="Arial"/>
          <w:b/>
          <w:szCs w:val="22"/>
        </w:rPr>
        <w:tab/>
        <w:t>30</w:t>
      </w:r>
      <w:r>
        <w:rPr>
          <w:rFonts w:cs="Arial"/>
          <w:b/>
          <w:szCs w:val="22"/>
        </w:rPr>
        <w:tab/>
      </w: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p>
    <w:p w:rsidR="00405B51" w:rsidRDefault="00405B51" w:rsidP="00405B51">
      <w:pPr>
        <w:pBdr>
          <w:bottom w:val="single" w:sz="6" w:space="1" w:color="auto"/>
        </w:pBdr>
        <w:overflowPunct w:val="0"/>
        <w:autoSpaceDE w:val="0"/>
        <w:autoSpaceDN w:val="0"/>
        <w:adjustRightInd w:val="0"/>
        <w:jc w:val="both"/>
        <w:textAlignment w:val="baseline"/>
        <w:rPr>
          <w:rFonts w:cs="Arial"/>
          <w:b/>
          <w:szCs w:val="22"/>
        </w:rPr>
      </w:pPr>
      <w:r>
        <w:rPr>
          <w:rFonts w:cs="Arial"/>
          <w:b/>
          <w:szCs w:val="22"/>
        </w:rPr>
        <w:t>JACS CODE:</w:t>
      </w:r>
      <w:r>
        <w:rPr>
          <w:rFonts w:cs="Arial"/>
          <w:b/>
          <w:szCs w:val="22"/>
        </w:rPr>
        <w:tab/>
      </w:r>
      <w:r>
        <w:rPr>
          <w:rFonts w:cs="Arial"/>
          <w:b/>
          <w:szCs w:val="22"/>
        </w:rPr>
        <w:tab/>
        <w:t>X370 Academic Studies in Education (across phases)</w:t>
      </w:r>
    </w:p>
    <w:p w:rsidR="00405B51" w:rsidRDefault="00405B51" w:rsidP="00405B51">
      <w:pPr>
        <w:pBdr>
          <w:bottom w:val="single" w:sz="6" w:space="1" w:color="auto"/>
        </w:pBdr>
        <w:overflowPunct w:val="0"/>
        <w:autoSpaceDE w:val="0"/>
        <w:autoSpaceDN w:val="0"/>
        <w:adjustRightInd w:val="0"/>
        <w:jc w:val="both"/>
        <w:textAlignment w:val="baseline"/>
        <w:rPr>
          <w:rFonts w:cs="Arial"/>
          <w:szCs w:val="22"/>
        </w:rPr>
      </w:pPr>
    </w:p>
    <w:p w:rsidR="00405B51" w:rsidRDefault="00405B51" w:rsidP="00405B51">
      <w:pPr>
        <w:jc w:val="both"/>
        <w:rPr>
          <w:rFonts w:cs="Arial"/>
          <w:b/>
          <w:szCs w:val="22"/>
        </w:rPr>
      </w:pPr>
    </w:p>
    <w:p w:rsidR="00405B51" w:rsidRDefault="00405B51" w:rsidP="00405B51">
      <w:pPr>
        <w:jc w:val="both"/>
        <w:rPr>
          <w:rFonts w:cs="Arial"/>
          <w:b/>
          <w:szCs w:val="22"/>
        </w:rPr>
      </w:pPr>
      <w:r>
        <w:rPr>
          <w:rFonts w:cs="Arial"/>
          <w:b/>
          <w:szCs w:val="22"/>
        </w:rPr>
        <w:t>AIM(S)</w:t>
      </w:r>
    </w:p>
    <w:p w:rsidR="00405B51" w:rsidRDefault="00405B51" w:rsidP="00405B51">
      <w:pPr>
        <w:numPr>
          <w:ilvl w:val="0"/>
          <w:numId w:val="1"/>
        </w:numPr>
        <w:overflowPunct w:val="0"/>
        <w:autoSpaceDE w:val="0"/>
        <w:autoSpaceDN w:val="0"/>
        <w:adjustRightInd w:val="0"/>
        <w:spacing w:before="240" w:after="200" w:line="276" w:lineRule="auto"/>
        <w:ind w:left="851" w:hanging="567"/>
        <w:jc w:val="both"/>
        <w:textAlignment w:val="baseline"/>
        <w:rPr>
          <w:rFonts w:cs="Arial"/>
          <w:szCs w:val="22"/>
        </w:rPr>
      </w:pPr>
      <w:r>
        <w:rPr>
          <w:rFonts w:cs="Arial"/>
          <w:szCs w:val="22"/>
        </w:rPr>
        <w:t xml:space="preserve"> To have critical understanding of management, leadership and change in the organisation of educational institutions.</w:t>
      </w:r>
    </w:p>
    <w:p w:rsidR="00405B51" w:rsidRDefault="00405B51" w:rsidP="00405B51">
      <w:pPr>
        <w:overflowPunct w:val="0"/>
        <w:autoSpaceDE w:val="0"/>
        <w:autoSpaceDN w:val="0"/>
        <w:adjustRightInd w:val="0"/>
        <w:spacing w:before="240"/>
        <w:ind w:left="851"/>
        <w:jc w:val="both"/>
        <w:textAlignment w:val="baseline"/>
        <w:rPr>
          <w:rFonts w:cs="Arial"/>
          <w:b/>
          <w:szCs w:val="22"/>
        </w:rPr>
      </w:pPr>
    </w:p>
    <w:p w:rsidR="00405B51" w:rsidRDefault="00405B51" w:rsidP="00405B51">
      <w:pPr>
        <w:jc w:val="both"/>
        <w:rPr>
          <w:rFonts w:cs="Arial"/>
          <w:b/>
          <w:szCs w:val="22"/>
        </w:rPr>
      </w:pPr>
      <w:r>
        <w:rPr>
          <w:rFonts w:cs="Arial"/>
          <w:b/>
          <w:szCs w:val="22"/>
        </w:rPr>
        <w:t>LEARNING OUTCOMES</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Upon the successful completion of this module, the student should be able to demonstrate the ability to:</w:t>
      </w:r>
    </w:p>
    <w:p w:rsidR="00405B51" w:rsidRDefault="00405B51" w:rsidP="00405B51">
      <w:pPr>
        <w:numPr>
          <w:ilvl w:val="0"/>
          <w:numId w:val="2"/>
        </w:numPr>
        <w:shd w:val="clear" w:color="auto" w:fill="FFFFFF"/>
        <w:spacing w:before="100" w:beforeAutospacing="1" w:after="100" w:afterAutospacing="1" w:line="300" w:lineRule="atLeast"/>
        <w:rPr>
          <w:rFonts w:cs="Arial"/>
          <w:szCs w:val="22"/>
        </w:rPr>
      </w:pPr>
      <w:r>
        <w:rPr>
          <w:rFonts w:cs="Arial"/>
          <w:szCs w:val="22"/>
        </w:rPr>
        <w:t xml:space="preserve">Critically </w:t>
      </w:r>
      <w:proofErr w:type="gramStart"/>
      <w:r>
        <w:rPr>
          <w:rFonts w:cs="Arial"/>
          <w:szCs w:val="22"/>
        </w:rPr>
        <w:t>analyse  the</w:t>
      </w:r>
      <w:proofErr w:type="gramEnd"/>
      <w:r>
        <w:rPr>
          <w:rFonts w:cs="Arial"/>
          <w:szCs w:val="22"/>
        </w:rPr>
        <w:t xml:space="preserve"> macro-contexts of change in education; models of change; nature and elements of change in educational institutions; leading and management of change. </w:t>
      </w:r>
    </w:p>
    <w:p w:rsidR="00405B51" w:rsidRDefault="00405B51" w:rsidP="00405B51">
      <w:pPr>
        <w:numPr>
          <w:ilvl w:val="0"/>
          <w:numId w:val="2"/>
        </w:numPr>
        <w:shd w:val="clear" w:color="auto" w:fill="FFFFFF"/>
        <w:spacing w:before="100" w:beforeAutospacing="1" w:after="100" w:afterAutospacing="1" w:line="300" w:lineRule="atLeast"/>
        <w:rPr>
          <w:rFonts w:cs="Arial"/>
          <w:szCs w:val="22"/>
        </w:rPr>
      </w:pPr>
      <w:r>
        <w:rPr>
          <w:rFonts w:cs="Arial"/>
          <w:szCs w:val="22"/>
        </w:rPr>
        <w:t>Critically review some of the main theories of the management and leadership of change.</w:t>
      </w:r>
    </w:p>
    <w:p w:rsidR="00405B51" w:rsidRDefault="00405B51" w:rsidP="00405B51">
      <w:pPr>
        <w:numPr>
          <w:ilvl w:val="0"/>
          <w:numId w:val="2"/>
        </w:numPr>
        <w:shd w:val="clear" w:color="auto" w:fill="FFFFFF"/>
        <w:spacing w:before="100" w:beforeAutospacing="1" w:after="100" w:afterAutospacing="1" w:line="300" w:lineRule="atLeast"/>
        <w:rPr>
          <w:rFonts w:cs="Arial"/>
          <w:szCs w:val="22"/>
        </w:rPr>
      </w:pPr>
      <w:r>
        <w:rPr>
          <w:rFonts w:cs="Arial"/>
          <w:szCs w:val="22"/>
        </w:rPr>
        <w:t>Analyse and evaluate the management and leadership of change in an educational institution with which they are familiar;</w:t>
      </w:r>
    </w:p>
    <w:p w:rsidR="00405B51" w:rsidRDefault="00405B51" w:rsidP="00405B51">
      <w:pPr>
        <w:numPr>
          <w:ilvl w:val="0"/>
          <w:numId w:val="2"/>
        </w:numPr>
        <w:shd w:val="clear" w:color="auto" w:fill="FFFFFF"/>
        <w:spacing w:before="100" w:beforeAutospacing="1" w:after="100" w:afterAutospacing="1" w:line="300" w:lineRule="atLeast"/>
        <w:rPr>
          <w:rFonts w:cs="Arial"/>
          <w:szCs w:val="22"/>
        </w:rPr>
      </w:pPr>
      <w:r>
        <w:rPr>
          <w:rFonts w:cs="Arial"/>
          <w:szCs w:val="22"/>
        </w:rPr>
        <w:t>Critically reflect upon and challenge the relationship between theory and practice with educational leadership and management and transformation.</w:t>
      </w:r>
    </w:p>
    <w:p w:rsidR="00405B51" w:rsidRDefault="00405B51" w:rsidP="00405B51">
      <w:pPr>
        <w:numPr>
          <w:ilvl w:val="0"/>
          <w:numId w:val="2"/>
        </w:numPr>
        <w:shd w:val="clear" w:color="auto" w:fill="FFFFFF"/>
        <w:spacing w:before="100" w:beforeAutospacing="1" w:after="100" w:afterAutospacing="1" w:line="300" w:lineRule="atLeast"/>
        <w:rPr>
          <w:rFonts w:cs="Arial"/>
          <w:szCs w:val="22"/>
        </w:rPr>
      </w:pPr>
      <w:r>
        <w:rPr>
          <w:rFonts w:cs="Arial"/>
          <w:szCs w:val="22"/>
        </w:rPr>
        <w:t>Formulate, analyse and solve contemporary problems within education in Wales and UK.</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Pr>
          <w:rFonts w:cs="Arial"/>
          <w:b/>
          <w:szCs w:val="22"/>
        </w:rPr>
        <w:t>INDICATIVE CONTENT</w:t>
      </w:r>
    </w:p>
    <w:p w:rsidR="00405B51" w:rsidRDefault="00405B51" w:rsidP="00405B51">
      <w:pPr>
        <w:overflowPunct w:val="0"/>
        <w:autoSpaceDE w:val="0"/>
        <w:autoSpaceDN w:val="0"/>
        <w:adjustRightInd w:val="0"/>
        <w:jc w:val="both"/>
        <w:textAlignment w:val="baseline"/>
        <w:rPr>
          <w:rFonts w:cs="Arial"/>
          <w:szCs w:val="22"/>
        </w:rPr>
      </w:pPr>
    </w:p>
    <w:p w:rsidR="00405B51" w:rsidRDefault="00405B51" w:rsidP="00405B51">
      <w:pPr>
        <w:overflowPunct w:val="0"/>
        <w:autoSpaceDE w:val="0"/>
        <w:autoSpaceDN w:val="0"/>
        <w:adjustRightInd w:val="0"/>
        <w:jc w:val="both"/>
        <w:textAlignment w:val="baseline"/>
        <w:rPr>
          <w:rFonts w:cs="Arial"/>
          <w:b/>
          <w:szCs w:val="22"/>
        </w:rPr>
      </w:pPr>
      <w:r>
        <w:rPr>
          <w:rFonts w:cs="Arial"/>
          <w:szCs w:val="22"/>
        </w:rPr>
        <w:t>The scale and number of educational reforms in Wales and UK, together with the speed with which they have been introduced, have made the successful management of change the key task of professionals and institutions. It is no longer enough to respond to change of this significance by becoming marginally more efficient or effective. Instead, there will have to be a more radical response which will alter fundamentally the culture of educational institutions and the roles and responsibilities of all those working within them</w:t>
      </w:r>
      <w:r>
        <w:rPr>
          <w:rFonts w:cs="Arial"/>
          <w:b/>
          <w:szCs w:val="22"/>
        </w:rPr>
        <w:t xml:space="preserve">. </w:t>
      </w:r>
      <w:r>
        <w:rPr>
          <w:rFonts w:cs="Arial"/>
          <w:szCs w:val="22"/>
        </w:rPr>
        <w:t>The module will address the following issues:</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contemporary contexts of educational change</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politics and micro-politics in considering change</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management and leadership styles in the search for quality</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quality development in educational practice</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conceptualising change in education</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planning, mapping and evaluating change and innovation</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barriers to and the facilitators of change</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lastRenderedPageBreak/>
        <w:t>teamwork and leadership in the management of change</w:t>
      </w:r>
    </w:p>
    <w:p w:rsidR="00405B51" w:rsidRDefault="00405B51" w:rsidP="00405B51">
      <w:pPr>
        <w:numPr>
          <w:ilvl w:val="0"/>
          <w:numId w:val="3"/>
        </w:numPr>
        <w:shd w:val="clear" w:color="auto" w:fill="FFFFFF"/>
        <w:spacing w:before="100" w:beforeAutospacing="1" w:after="100" w:afterAutospacing="1" w:line="300" w:lineRule="atLeast"/>
        <w:ind w:left="375"/>
        <w:rPr>
          <w:rFonts w:cs="Arial"/>
          <w:szCs w:val="22"/>
        </w:rPr>
      </w:pPr>
      <w:r>
        <w:rPr>
          <w:rFonts w:cs="Arial"/>
          <w:szCs w:val="22"/>
        </w:rPr>
        <w:t>strategies and models of change within current education</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Pr>
          <w:rFonts w:cs="Arial"/>
          <w:b/>
          <w:szCs w:val="22"/>
        </w:rPr>
        <w:t>LEARNING AND TEACHING STRATEGY</w:t>
      </w:r>
    </w:p>
    <w:p w:rsidR="00405B51" w:rsidRDefault="00405B51" w:rsidP="00405B51">
      <w:pPr>
        <w:overflowPunct w:val="0"/>
        <w:autoSpaceDE w:val="0"/>
        <w:autoSpaceDN w:val="0"/>
        <w:adjustRightInd w:val="0"/>
        <w:jc w:val="both"/>
        <w:textAlignment w:val="baseline"/>
        <w:rPr>
          <w:rFonts w:cs="Arial"/>
          <w:color w:val="333333"/>
          <w:sz w:val="21"/>
          <w:szCs w:val="21"/>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 xml:space="preserve">Lectures will introduce the students to educational leadership and management principles and practice. Tutorials and seminars will introduce a range of policies linked to change in a variety of educational contexts. Practical examples will be used to support the application, discussion, and critical evaluation of techniques learned. Case studies will also be used to develop understanding and application of the strategies learned. </w:t>
      </w:r>
    </w:p>
    <w:p w:rsidR="00405B51" w:rsidRDefault="00405B51" w:rsidP="00405B51">
      <w:pPr>
        <w:overflowPunct w:val="0"/>
        <w:autoSpaceDE w:val="0"/>
        <w:autoSpaceDN w:val="0"/>
        <w:adjustRightInd w:val="0"/>
        <w:spacing w:before="120"/>
        <w:jc w:val="both"/>
        <w:textAlignment w:val="baseline"/>
        <w:rPr>
          <w:rFonts w:cs="Arial"/>
          <w:szCs w:val="22"/>
        </w:rPr>
      </w:pPr>
      <w:r>
        <w:rPr>
          <w:rFonts w:cs="Arial"/>
          <w:szCs w:val="22"/>
        </w:rPr>
        <w:t>The allocation of teaching to deliver the module is:</w:t>
      </w:r>
    </w:p>
    <w:p w:rsidR="00405B51" w:rsidRDefault="00405B51" w:rsidP="00405B51">
      <w:pPr>
        <w:overflowPunct w:val="0"/>
        <w:autoSpaceDE w:val="0"/>
        <w:autoSpaceDN w:val="0"/>
        <w:adjustRightInd w:val="0"/>
        <w:jc w:val="both"/>
        <w:textAlignment w:val="baseline"/>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405B51" w:rsidTr="00405B51">
        <w:tc>
          <w:tcPr>
            <w:tcW w:w="3969"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both"/>
              <w:textAlignment w:val="baseline"/>
              <w:rPr>
                <w:rFonts w:cs="Arial"/>
                <w:b/>
                <w:color w:val="000000"/>
                <w:szCs w:val="22"/>
              </w:rPr>
            </w:pPr>
            <w:r>
              <w:rPr>
                <w:rFonts w:cs="Arial"/>
                <w:b/>
                <w:color w:val="000000"/>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color w:val="000000"/>
                <w:szCs w:val="22"/>
              </w:rPr>
            </w:pPr>
            <w:r>
              <w:rPr>
                <w:rFonts w:cs="Arial"/>
                <w:b/>
                <w:color w:val="000000"/>
                <w:szCs w:val="22"/>
              </w:rPr>
              <w:t>Hours</w:t>
            </w:r>
          </w:p>
        </w:tc>
        <w:tc>
          <w:tcPr>
            <w:tcW w:w="1843"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color w:val="000000"/>
                <w:szCs w:val="22"/>
              </w:rPr>
            </w:pPr>
            <w:r>
              <w:rPr>
                <w:rFonts w:cs="Arial"/>
                <w:b/>
                <w:color w:val="000000"/>
                <w:szCs w:val="22"/>
              </w:rPr>
              <w:t>Percentage</w:t>
            </w:r>
          </w:p>
        </w:tc>
      </w:tr>
      <w:tr w:rsidR="00405B51" w:rsidTr="00405B51">
        <w:tc>
          <w:tcPr>
            <w:tcW w:w="3969"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both"/>
              <w:textAlignment w:val="baseline"/>
              <w:rPr>
                <w:rFonts w:cs="Arial"/>
                <w:color w:val="000000"/>
                <w:szCs w:val="22"/>
              </w:rPr>
            </w:pPr>
            <w:r>
              <w:rPr>
                <w:rFonts w:cs="Arial"/>
                <w:color w:val="000000"/>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color w:val="000000"/>
                <w:szCs w:val="22"/>
              </w:rPr>
            </w:pPr>
            <w:r>
              <w:rPr>
                <w:rFonts w:cs="Arial"/>
                <w:color w:val="000000"/>
                <w:szCs w:val="22"/>
              </w:rPr>
              <w:t>30</w:t>
            </w:r>
          </w:p>
        </w:tc>
        <w:tc>
          <w:tcPr>
            <w:tcW w:w="1843"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color w:val="000000"/>
                <w:szCs w:val="22"/>
              </w:rPr>
            </w:pPr>
            <w:r>
              <w:rPr>
                <w:rFonts w:cs="Arial"/>
                <w:color w:val="000000"/>
                <w:szCs w:val="22"/>
              </w:rPr>
              <w:t>10%</w:t>
            </w:r>
          </w:p>
        </w:tc>
      </w:tr>
      <w:tr w:rsidR="00405B51" w:rsidTr="00405B51">
        <w:tc>
          <w:tcPr>
            <w:tcW w:w="3969"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both"/>
              <w:textAlignment w:val="baseline"/>
              <w:rPr>
                <w:rFonts w:cs="Arial"/>
                <w:color w:val="000000"/>
                <w:szCs w:val="22"/>
              </w:rPr>
            </w:pPr>
            <w:r>
              <w:rPr>
                <w:rFonts w:cs="Arial"/>
                <w:color w:val="000000"/>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color w:val="000000"/>
                <w:szCs w:val="22"/>
              </w:rPr>
            </w:pPr>
            <w:r>
              <w:rPr>
                <w:rFonts w:cs="Arial"/>
                <w:color w:val="000000"/>
                <w:szCs w:val="22"/>
              </w:rPr>
              <w:t>270</w:t>
            </w:r>
          </w:p>
        </w:tc>
        <w:tc>
          <w:tcPr>
            <w:tcW w:w="1843"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color w:val="000000"/>
                <w:szCs w:val="22"/>
              </w:rPr>
            </w:pPr>
            <w:r>
              <w:rPr>
                <w:rFonts w:cs="Arial"/>
                <w:color w:val="000000"/>
                <w:szCs w:val="22"/>
              </w:rPr>
              <w:t>90%</w:t>
            </w:r>
          </w:p>
        </w:tc>
      </w:tr>
      <w:tr w:rsidR="00405B51" w:rsidTr="00405B51">
        <w:tc>
          <w:tcPr>
            <w:tcW w:w="3969"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both"/>
              <w:textAlignment w:val="baseline"/>
              <w:rPr>
                <w:rFonts w:cs="Arial"/>
                <w:color w:val="000000"/>
                <w:szCs w:val="22"/>
              </w:rPr>
            </w:pPr>
            <w:r>
              <w:rPr>
                <w:rFonts w:cs="Arial"/>
                <w:color w:val="000000"/>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rsidR="00405B51" w:rsidRDefault="00405B51">
            <w:pPr>
              <w:overflowPunct w:val="0"/>
              <w:autoSpaceDE w:val="0"/>
              <w:autoSpaceDN w:val="0"/>
              <w:adjustRightInd w:val="0"/>
              <w:jc w:val="center"/>
              <w:textAlignment w:val="baseline"/>
              <w:rPr>
                <w:rFonts w:cs="Arial"/>
                <w:color w:val="000000"/>
                <w:szCs w:val="22"/>
              </w:rPr>
            </w:pPr>
          </w:p>
        </w:tc>
        <w:tc>
          <w:tcPr>
            <w:tcW w:w="1843" w:type="dxa"/>
            <w:tcBorders>
              <w:top w:val="single" w:sz="4" w:space="0" w:color="auto"/>
              <w:left w:val="single" w:sz="4" w:space="0" w:color="auto"/>
              <w:bottom w:val="single" w:sz="4" w:space="0" w:color="auto"/>
              <w:right w:val="single" w:sz="4" w:space="0" w:color="auto"/>
            </w:tcBorders>
          </w:tcPr>
          <w:p w:rsidR="00405B51" w:rsidRDefault="00405B51">
            <w:pPr>
              <w:overflowPunct w:val="0"/>
              <w:autoSpaceDE w:val="0"/>
              <w:autoSpaceDN w:val="0"/>
              <w:adjustRightInd w:val="0"/>
              <w:jc w:val="center"/>
              <w:textAlignment w:val="baseline"/>
              <w:rPr>
                <w:rFonts w:cs="Arial"/>
                <w:color w:val="000000"/>
                <w:szCs w:val="22"/>
              </w:rPr>
            </w:pPr>
          </w:p>
        </w:tc>
      </w:tr>
      <w:tr w:rsidR="00405B51" w:rsidTr="00405B51">
        <w:tc>
          <w:tcPr>
            <w:tcW w:w="3969"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both"/>
              <w:textAlignment w:val="baseline"/>
              <w:rPr>
                <w:rFonts w:cs="Arial"/>
                <w:color w:val="000000"/>
                <w:szCs w:val="22"/>
              </w:rPr>
            </w:pPr>
            <w:r>
              <w:rPr>
                <w:rFonts w:cs="Arial"/>
                <w:b/>
                <w:color w:val="000000"/>
                <w:szCs w:val="22"/>
              </w:rPr>
              <w:t>TOTAL</w:t>
            </w:r>
          </w:p>
        </w:tc>
        <w:tc>
          <w:tcPr>
            <w:tcW w:w="170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color w:val="000000"/>
                <w:szCs w:val="22"/>
              </w:rPr>
            </w:pPr>
            <w:r>
              <w:rPr>
                <w:rFonts w:cs="Arial"/>
                <w:b/>
                <w:color w:val="000000"/>
                <w:szCs w:val="22"/>
              </w:rPr>
              <w:t>300</w:t>
            </w:r>
          </w:p>
        </w:tc>
        <w:tc>
          <w:tcPr>
            <w:tcW w:w="1843"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color w:val="000000"/>
                <w:szCs w:val="22"/>
              </w:rPr>
            </w:pPr>
            <w:r>
              <w:rPr>
                <w:rFonts w:cs="Arial"/>
                <w:b/>
                <w:color w:val="000000"/>
                <w:szCs w:val="22"/>
              </w:rPr>
              <w:t>100%</w:t>
            </w:r>
          </w:p>
        </w:tc>
      </w:tr>
    </w:tbl>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r>
        <w:rPr>
          <w:rFonts w:cs="Arial"/>
          <w:b/>
          <w:szCs w:val="22"/>
        </w:rPr>
        <w:t>ASSESSMENT</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b/>
          <w:szCs w:val="22"/>
        </w:rPr>
      </w:pPr>
      <w:r>
        <w:rPr>
          <w:rFonts w:cs="Arial"/>
          <w:b/>
          <w:szCs w:val="22"/>
        </w:rPr>
        <w:t xml:space="preserve">Assessment Component 1 – 60% </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Case Study 5000 words</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Exemplar</w:t>
      </w:r>
    </w:p>
    <w:p w:rsidR="00405B51" w:rsidRDefault="00405B51" w:rsidP="00405B51">
      <w:pPr>
        <w:overflowPunct w:val="0"/>
        <w:autoSpaceDE w:val="0"/>
        <w:autoSpaceDN w:val="0"/>
        <w:adjustRightInd w:val="0"/>
        <w:jc w:val="both"/>
        <w:textAlignment w:val="baseline"/>
        <w:rPr>
          <w:rFonts w:cs="Arial"/>
          <w:i/>
          <w:szCs w:val="22"/>
        </w:rPr>
      </w:pPr>
    </w:p>
    <w:p w:rsidR="00405B51" w:rsidRDefault="00405B51" w:rsidP="00405B51">
      <w:pPr>
        <w:overflowPunct w:val="0"/>
        <w:autoSpaceDE w:val="0"/>
        <w:autoSpaceDN w:val="0"/>
        <w:adjustRightInd w:val="0"/>
        <w:jc w:val="both"/>
        <w:textAlignment w:val="baseline"/>
        <w:rPr>
          <w:rFonts w:cs="Arial"/>
          <w:i/>
          <w:color w:val="000000"/>
          <w:szCs w:val="22"/>
        </w:rPr>
      </w:pPr>
      <w:r>
        <w:rPr>
          <w:rFonts w:eastAsia="Calibri" w:cs="Arial"/>
          <w:b/>
          <w:i/>
          <w:szCs w:val="22"/>
          <w:lang w:eastAsia="en-US"/>
        </w:rPr>
        <w:t>Transforming Education: Effective Change in Leadership and Management</w:t>
      </w:r>
      <w:r>
        <w:rPr>
          <w:rFonts w:cs="Arial"/>
          <w:b/>
          <w:i/>
          <w:szCs w:val="22"/>
        </w:rPr>
        <w:t>:</w:t>
      </w:r>
      <w:r>
        <w:rPr>
          <w:rFonts w:cs="Arial"/>
          <w:i/>
          <w:szCs w:val="22"/>
        </w:rPr>
        <w:t xml:space="preserve"> design and carry out an education profile that critically explores the needs of an institution. Analyse how recent educational change including curriculum, assessment, inspection, teaching/learning and resources are perceived to be impacting on the institution and how effective change initiative has been in developing a more successful educational context. Include consideration of the most contemporary strategies and policies</w:t>
      </w:r>
      <w:r>
        <w:rPr>
          <w:rFonts w:cs="Arial"/>
          <w:i/>
          <w:color w:val="000000"/>
          <w:szCs w:val="22"/>
        </w:rPr>
        <w:t xml:space="preserve">. </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
    <w:p w:rsidR="00405B51" w:rsidRDefault="00405B51" w:rsidP="00405B51">
      <w:pPr>
        <w:rPr>
          <w:rFonts w:cs="Arial"/>
          <w:b/>
          <w:szCs w:val="22"/>
        </w:rPr>
      </w:pPr>
      <w:r>
        <w:rPr>
          <w:rFonts w:cs="Arial"/>
          <w:b/>
          <w:szCs w:val="22"/>
        </w:rPr>
        <w:t xml:space="preserve">Assessment Component 2 – 40% </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Seminar Presentation @ 15 minutes per person</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Exemplar</w:t>
      </w:r>
    </w:p>
    <w:p w:rsidR="00405B51" w:rsidRDefault="00405B51" w:rsidP="00405B51">
      <w:pPr>
        <w:overflowPunct w:val="0"/>
        <w:autoSpaceDE w:val="0"/>
        <w:autoSpaceDN w:val="0"/>
        <w:adjustRightInd w:val="0"/>
        <w:jc w:val="both"/>
        <w:textAlignment w:val="baseline"/>
        <w:rPr>
          <w:rFonts w:cs="Arial"/>
          <w:i/>
          <w:szCs w:val="22"/>
        </w:rPr>
      </w:pPr>
      <w:r>
        <w:rPr>
          <w:rFonts w:cs="Arial"/>
          <w:i/>
          <w:szCs w:val="22"/>
        </w:rPr>
        <w:t xml:space="preserve">Choose one contemporary educational initiative or leadership strategy and reflect upon its relevance to promoting a successful educational future. </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
    <w:p w:rsidR="00405B51" w:rsidRDefault="00405B51" w:rsidP="00405B51">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r>
        <w:rPr>
          <w:rFonts w:cs="Arial"/>
          <w:b/>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405B51" w:rsidTr="00405B51">
        <w:tc>
          <w:tcPr>
            <w:tcW w:w="326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textAlignment w:val="baseline"/>
              <w:rPr>
                <w:rFonts w:cs="Arial"/>
                <w:b/>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rPr>
            </w:pPr>
            <w:r>
              <w:rPr>
                <w:rFonts w:cs="Arial"/>
                <w:b/>
              </w:rPr>
              <w:t>Percentage</w:t>
            </w:r>
          </w:p>
        </w:tc>
      </w:tr>
      <w:tr w:rsidR="00405B51" w:rsidTr="00405B51">
        <w:tc>
          <w:tcPr>
            <w:tcW w:w="326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textAlignment w:val="baseline"/>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rsidR="00405B51" w:rsidRDefault="00405B51">
            <w:pPr>
              <w:overflowPunct w:val="0"/>
              <w:autoSpaceDE w:val="0"/>
              <w:autoSpaceDN w:val="0"/>
              <w:adjustRightInd w:val="0"/>
              <w:jc w:val="center"/>
              <w:textAlignment w:val="baseline"/>
              <w:rPr>
                <w:rFonts w:cs="Arial"/>
              </w:rPr>
            </w:pPr>
          </w:p>
        </w:tc>
      </w:tr>
      <w:tr w:rsidR="00405B51" w:rsidTr="00405B51">
        <w:tc>
          <w:tcPr>
            <w:tcW w:w="326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textAlignment w:val="baseline"/>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rPr>
            </w:pPr>
            <w:r>
              <w:rPr>
                <w:rFonts w:cs="Arial"/>
              </w:rPr>
              <w:t>60</w:t>
            </w:r>
          </w:p>
        </w:tc>
      </w:tr>
      <w:tr w:rsidR="00405B51" w:rsidTr="00405B51">
        <w:tc>
          <w:tcPr>
            <w:tcW w:w="326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textAlignment w:val="baseline"/>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rPr>
            </w:pPr>
            <w:r>
              <w:rPr>
                <w:rFonts w:cs="Arial"/>
              </w:rPr>
              <w:t>40</w:t>
            </w:r>
          </w:p>
        </w:tc>
      </w:tr>
      <w:tr w:rsidR="00405B51" w:rsidTr="00405B51">
        <w:tc>
          <w:tcPr>
            <w:tcW w:w="3261"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textAlignment w:val="baseline"/>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405B51" w:rsidRDefault="00405B51">
            <w:pPr>
              <w:overflowPunct w:val="0"/>
              <w:autoSpaceDE w:val="0"/>
              <w:autoSpaceDN w:val="0"/>
              <w:adjustRightInd w:val="0"/>
              <w:jc w:val="center"/>
              <w:textAlignment w:val="baseline"/>
              <w:rPr>
                <w:rFonts w:cs="Arial"/>
                <w:b/>
              </w:rPr>
            </w:pPr>
            <w:r>
              <w:rPr>
                <w:rFonts w:cs="Arial"/>
                <w:b/>
              </w:rPr>
              <w:t>100%</w:t>
            </w:r>
          </w:p>
        </w:tc>
      </w:tr>
    </w:tbl>
    <w:p w:rsidR="00405B51" w:rsidRDefault="00405B51" w:rsidP="00405B51">
      <w:pPr>
        <w:overflowPunct w:val="0"/>
        <w:autoSpaceDE w:val="0"/>
        <w:autoSpaceDN w:val="0"/>
        <w:adjustRightInd w:val="0"/>
        <w:textAlignment w:val="baseline"/>
        <w:rPr>
          <w:rFonts w:cs="Arial"/>
          <w:szCs w:val="22"/>
        </w:rPr>
      </w:pPr>
    </w:p>
    <w:p w:rsidR="00405B51" w:rsidRDefault="00405B51" w:rsidP="00405B51">
      <w:pPr>
        <w:overflowPunct w:val="0"/>
        <w:autoSpaceDE w:val="0"/>
        <w:autoSpaceDN w:val="0"/>
        <w:adjustRightInd w:val="0"/>
        <w:textAlignment w:val="baseline"/>
        <w:rPr>
          <w:rFonts w:cs="Arial"/>
          <w:b/>
          <w:szCs w:val="22"/>
        </w:rPr>
      </w:pPr>
    </w:p>
    <w:p w:rsidR="00405B51" w:rsidRDefault="00405B51" w:rsidP="00405B51">
      <w:pPr>
        <w:overflowPunct w:val="0"/>
        <w:autoSpaceDE w:val="0"/>
        <w:autoSpaceDN w:val="0"/>
        <w:adjustRightInd w:val="0"/>
        <w:textAlignment w:val="baseline"/>
        <w:rPr>
          <w:rFonts w:cs="Arial"/>
          <w:b/>
          <w:szCs w:val="22"/>
        </w:rPr>
      </w:pPr>
    </w:p>
    <w:p w:rsidR="00405B51" w:rsidRDefault="00405B51" w:rsidP="00405B51">
      <w:pPr>
        <w:overflowPunct w:val="0"/>
        <w:autoSpaceDE w:val="0"/>
        <w:autoSpaceDN w:val="0"/>
        <w:adjustRightInd w:val="0"/>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405B51" w:rsidRDefault="00405B51" w:rsidP="00405B51">
      <w:pPr>
        <w:rPr>
          <w:rFonts w:cs="Arial"/>
          <w:b/>
          <w:szCs w:val="22"/>
        </w:rPr>
      </w:pPr>
      <w:r>
        <w:rPr>
          <w:rFonts w:cs="Arial"/>
          <w:b/>
          <w:szCs w:val="22"/>
        </w:rPr>
        <w:t>EDUCATION FOR SUSTAINABLE DEVELOPMENT (ESD)</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405B51" w:rsidTr="00405B51">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405B51" w:rsidRDefault="00405B51">
            <w:pPr>
              <w:tabs>
                <w:tab w:val="left" w:pos="720"/>
                <w:tab w:val="left" w:pos="1440"/>
                <w:tab w:val="left" w:pos="2160"/>
                <w:tab w:val="left" w:pos="2880"/>
              </w:tabs>
              <w:overflowPunct w:val="0"/>
              <w:autoSpaceDE w:val="0"/>
              <w:autoSpaceDN w:val="0"/>
              <w:adjustRightInd w:val="0"/>
              <w:textAlignment w:val="baseline"/>
              <w:rPr>
                <w:rFonts w:eastAsia="Calibri" w:cs="Arial"/>
                <w:szCs w:val="22"/>
              </w:rPr>
            </w:pPr>
            <w:r>
              <w:rPr>
                <w:rFonts w:eastAsia="Calibri" w:cs="Arial"/>
                <w:szCs w:val="22"/>
              </w:rPr>
              <w:t>Does the module contribute to ESD?</w:t>
            </w:r>
          </w:p>
        </w:tc>
        <w:tc>
          <w:tcPr>
            <w:tcW w:w="4443" w:type="dxa"/>
            <w:tcBorders>
              <w:top w:val="single" w:sz="4" w:space="0" w:color="auto"/>
              <w:left w:val="single" w:sz="4" w:space="0" w:color="auto"/>
              <w:bottom w:val="single" w:sz="4" w:space="0" w:color="auto"/>
              <w:right w:val="single" w:sz="4" w:space="0" w:color="auto"/>
            </w:tcBorders>
            <w:vAlign w:val="center"/>
          </w:tcPr>
          <w:p w:rsidR="00405B51" w:rsidRDefault="00405B51">
            <w:pPr>
              <w:tabs>
                <w:tab w:val="left" w:pos="720"/>
                <w:tab w:val="left" w:pos="1440"/>
                <w:tab w:val="left" w:pos="2160"/>
                <w:tab w:val="left" w:pos="2880"/>
              </w:tabs>
              <w:overflowPunct w:val="0"/>
              <w:autoSpaceDE w:val="0"/>
              <w:autoSpaceDN w:val="0"/>
              <w:adjustRightInd w:val="0"/>
              <w:textAlignment w:val="baseline"/>
              <w:rPr>
                <w:rFonts w:eastAsia="Calibri" w:cs="Arial"/>
                <w:szCs w:val="22"/>
              </w:rPr>
            </w:pPr>
            <w:r>
              <w:rPr>
                <w:rFonts w:eastAsia="Calibri" w:cs="Arial"/>
                <w:szCs w:val="22"/>
              </w:rPr>
              <w:t>Yes</w:t>
            </w:r>
          </w:p>
          <w:p w:rsidR="00405B51" w:rsidRDefault="00405B51">
            <w:pPr>
              <w:tabs>
                <w:tab w:val="left" w:pos="720"/>
                <w:tab w:val="left" w:pos="1440"/>
                <w:tab w:val="left" w:pos="2160"/>
                <w:tab w:val="left" w:pos="2880"/>
              </w:tabs>
              <w:overflowPunct w:val="0"/>
              <w:autoSpaceDE w:val="0"/>
              <w:autoSpaceDN w:val="0"/>
              <w:adjustRightInd w:val="0"/>
              <w:jc w:val="both"/>
              <w:textAlignment w:val="baseline"/>
              <w:rPr>
                <w:rFonts w:eastAsia="Calibri" w:cs="Arial"/>
                <w:szCs w:val="22"/>
              </w:rPr>
            </w:pPr>
          </w:p>
        </w:tc>
      </w:tr>
      <w:tr w:rsidR="00405B51" w:rsidTr="00405B51">
        <w:tc>
          <w:tcPr>
            <w:tcW w:w="0" w:type="auto"/>
            <w:vMerge/>
            <w:tcBorders>
              <w:top w:val="single" w:sz="4" w:space="0" w:color="auto"/>
              <w:left w:val="single" w:sz="4" w:space="0" w:color="auto"/>
              <w:bottom w:val="single" w:sz="4" w:space="0" w:color="auto"/>
              <w:right w:val="single" w:sz="4" w:space="0" w:color="auto"/>
            </w:tcBorders>
            <w:vAlign w:val="center"/>
            <w:hideMark/>
          </w:tcPr>
          <w:p w:rsidR="00405B51" w:rsidRDefault="00405B51">
            <w:pPr>
              <w:rPr>
                <w:rFonts w:eastAsia="Calibri" w:cs="Arial"/>
                <w:szCs w:val="22"/>
              </w:rPr>
            </w:pPr>
          </w:p>
        </w:tc>
        <w:tc>
          <w:tcPr>
            <w:tcW w:w="4443" w:type="dxa"/>
            <w:tcBorders>
              <w:top w:val="single" w:sz="4" w:space="0" w:color="auto"/>
              <w:left w:val="single" w:sz="4" w:space="0" w:color="auto"/>
              <w:bottom w:val="single" w:sz="4" w:space="0" w:color="auto"/>
              <w:right w:val="single" w:sz="4" w:space="0" w:color="auto"/>
            </w:tcBorders>
            <w:vAlign w:val="center"/>
          </w:tcPr>
          <w:p w:rsidR="00405B51" w:rsidRDefault="00405B51">
            <w:pPr>
              <w:tabs>
                <w:tab w:val="left" w:pos="720"/>
                <w:tab w:val="left" w:pos="1440"/>
                <w:tab w:val="left" w:pos="2160"/>
                <w:tab w:val="left" w:pos="2880"/>
              </w:tabs>
              <w:overflowPunct w:val="0"/>
              <w:autoSpaceDE w:val="0"/>
              <w:autoSpaceDN w:val="0"/>
              <w:adjustRightInd w:val="0"/>
              <w:textAlignment w:val="baseline"/>
              <w:rPr>
                <w:rFonts w:eastAsia="Calibri" w:cs="Arial"/>
                <w:szCs w:val="22"/>
              </w:rPr>
            </w:pPr>
          </w:p>
        </w:tc>
      </w:tr>
      <w:tr w:rsidR="00405B51" w:rsidTr="00405B51">
        <w:tc>
          <w:tcPr>
            <w:tcW w:w="8886" w:type="dxa"/>
            <w:gridSpan w:val="2"/>
            <w:tcBorders>
              <w:top w:val="single" w:sz="4" w:space="0" w:color="auto"/>
              <w:left w:val="single" w:sz="4" w:space="0" w:color="auto"/>
              <w:bottom w:val="single" w:sz="4" w:space="0" w:color="auto"/>
              <w:right w:val="single" w:sz="4" w:space="0" w:color="auto"/>
            </w:tcBorders>
          </w:tcPr>
          <w:p w:rsidR="00405B51" w:rsidRDefault="00405B51">
            <w:pPr>
              <w:tabs>
                <w:tab w:val="left" w:pos="720"/>
                <w:tab w:val="left" w:pos="1440"/>
                <w:tab w:val="left" w:pos="2160"/>
                <w:tab w:val="left" w:pos="2880"/>
              </w:tabs>
              <w:overflowPunct w:val="0"/>
              <w:autoSpaceDE w:val="0"/>
              <w:autoSpaceDN w:val="0"/>
              <w:adjustRightInd w:val="0"/>
              <w:textAlignment w:val="baseline"/>
              <w:rPr>
                <w:rFonts w:eastAsia="Calibri" w:cs="Arial"/>
                <w:szCs w:val="22"/>
              </w:rPr>
            </w:pPr>
            <w:r>
              <w:rPr>
                <w:rFonts w:eastAsia="Calibri" w:cs="Arial"/>
                <w:szCs w:val="22"/>
              </w:rPr>
              <w:t>If yes please provide brief details (no more than 100 words):</w:t>
            </w:r>
          </w:p>
          <w:p w:rsidR="00405B51" w:rsidRDefault="00405B51">
            <w:pPr>
              <w:tabs>
                <w:tab w:val="left" w:pos="720"/>
                <w:tab w:val="left" w:pos="1440"/>
                <w:tab w:val="left" w:pos="2160"/>
                <w:tab w:val="left" w:pos="2880"/>
              </w:tabs>
              <w:overflowPunct w:val="0"/>
              <w:autoSpaceDE w:val="0"/>
              <w:autoSpaceDN w:val="0"/>
              <w:adjustRightInd w:val="0"/>
              <w:jc w:val="both"/>
              <w:textAlignment w:val="baseline"/>
              <w:rPr>
                <w:rFonts w:eastAsia="Calibri" w:cs="Arial"/>
                <w:szCs w:val="22"/>
              </w:rPr>
            </w:pPr>
          </w:p>
          <w:p w:rsidR="00405B51" w:rsidRDefault="00405B51">
            <w:pPr>
              <w:tabs>
                <w:tab w:val="left" w:pos="720"/>
                <w:tab w:val="left" w:pos="1440"/>
                <w:tab w:val="left" w:pos="2160"/>
                <w:tab w:val="left" w:pos="2880"/>
              </w:tabs>
              <w:overflowPunct w:val="0"/>
              <w:autoSpaceDE w:val="0"/>
              <w:autoSpaceDN w:val="0"/>
              <w:adjustRightInd w:val="0"/>
              <w:jc w:val="both"/>
              <w:textAlignment w:val="baseline"/>
              <w:rPr>
                <w:rFonts w:eastAsia="Calibri" w:cs="Arial"/>
                <w:szCs w:val="22"/>
              </w:rPr>
            </w:pPr>
            <w:r>
              <w:rPr>
                <w:rFonts w:eastAsia="Calibri" w:cs="Arial"/>
                <w:szCs w:val="22"/>
              </w:rPr>
              <w:t xml:space="preserve">There will a specific session within the programme that has a focus upon sustainability within a  current educational initiative </w:t>
            </w:r>
            <w:proofErr w:type="spellStart"/>
            <w:r>
              <w:rPr>
                <w:rFonts w:eastAsia="Calibri" w:cs="Arial"/>
                <w:szCs w:val="22"/>
              </w:rPr>
              <w:t>eg</w:t>
            </w:r>
            <w:proofErr w:type="spellEnd"/>
            <w:r>
              <w:rPr>
                <w:rFonts w:eastAsia="Calibri" w:cs="Arial"/>
                <w:szCs w:val="22"/>
              </w:rPr>
              <w:t xml:space="preserve"> the Donaldson Review of 2015  or the Foundation Phase 2008)</w:t>
            </w:r>
          </w:p>
          <w:p w:rsidR="00405B51" w:rsidRDefault="00405B51">
            <w:pPr>
              <w:tabs>
                <w:tab w:val="left" w:pos="720"/>
                <w:tab w:val="left" w:pos="1440"/>
                <w:tab w:val="left" w:pos="2160"/>
                <w:tab w:val="left" w:pos="2880"/>
              </w:tabs>
              <w:overflowPunct w:val="0"/>
              <w:autoSpaceDE w:val="0"/>
              <w:autoSpaceDN w:val="0"/>
              <w:adjustRightInd w:val="0"/>
              <w:jc w:val="both"/>
              <w:textAlignment w:val="baseline"/>
              <w:rPr>
                <w:rFonts w:eastAsia="Calibri" w:cs="Arial"/>
                <w:szCs w:val="22"/>
              </w:rPr>
            </w:pPr>
          </w:p>
        </w:tc>
      </w:tr>
    </w:tbl>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r>
        <w:rPr>
          <w:rFonts w:cs="Arial"/>
          <w:b/>
          <w:szCs w:val="22"/>
        </w:rPr>
        <w:t>BIBLIOGRAPHY</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Pr>
          <w:rFonts w:cs="Arial"/>
          <w:b/>
          <w:szCs w:val="22"/>
        </w:rPr>
        <w:t>Essential</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Pr>
          <w:rFonts w:cs="Arial"/>
          <w:szCs w:val="22"/>
        </w:rPr>
        <w:t>Adair, J. (1983) Effective Leadership. London: Pan Books</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r>
        <w:rPr>
          <w:rFonts w:cs="Arial"/>
          <w:szCs w:val="22"/>
        </w:rPr>
        <w:t>Preedy</w:t>
      </w:r>
      <w:proofErr w:type="gramStart"/>
      <w:r>
        <w:rPr>
          <w:rFonts w:cs="Arial"/>
          <w:szCs w:val="22"/>
        </w:rPr>
        <w:t>,M</w:t>
      </w:r>
      <w:proofErr w:type="gramEnd"/>
      <w:r>
        <w:rPr>
          <w:rFonts w:cs="Arial"/>
          <w:szCs w:val="22"/>
        </w:rPr>
        <w:t>.,</w:t>
      </w:r>
      <w:proofErr w:type="spellStart"/>
      <w:r>
        <w:rPr>
          <w:rFonts w:cs="Arial"/>
          <w:szCs w:val="22"/>
        </w:rPr>
        <w:t>Glatter</w:t>
      </w:r>
      <w:proofErr w:type="spellEnd"/>
      <w:r>
        <w:rPr>
          <w:rFonts w:cs="Arial"/>
          <w:szCs w:val="22"/>
        </w:rPr>
        <w:t xml:space="preserve">, R. and </w:t>
      </w:r>
      <w:proofErr w:type="spellStart"/>
      <w:r>
        <w:rPr>
          <w:rFonts w:cs="Arial"/>
          <w:szCs w:val="22"/>
        </w:rPr>
        <w:t>Wise,C</w:t>
      </w:r>
      <w:proofErr w:type="spellEnd"/>
      <w:r>
        <w:rPr>
          <w:rFonts w:cs="Arial"/>
          <w:szCs w:val="22"/>
        </w:rPr>
        <w:t xml:space="preserve">. (2003) Strategic Leadership and Educational </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roofErr w:type="gramStart"/>
      <w:r>
        <w:rPr>
          <w:rFonts w:cs="Arial"/>
          <w:szCs w:val="22"/>
        </w:rPr>
        <w:t>Improvement.</w:t>
      </w:r>
      <w:proofErr w:type="gramEnd"/>
      <w:r>
        <w:rPr>
          <w:rFonts w:cs="Arial"/>
          <w:szCs w:val="22"/>
        </w:rPr>
        <w:t xml:space="preserve"> Milton </w:t>
      </w:r>
      <w:proofErr w:type="gramStart"/>
      <w:r>
        <w:rPr>
          <w:rFonts w:cs="Arial"/>
          <w:szCs w:val="22"/>
        </w:rPr>
        <w:t>Keynes :OU</w:t>
      </w:r>
      <w:proofErr w:type="gramEnd"/>
      <w:r>
        <w:rPr>
          <w:rFonts w:cs="Arial"/>
          <w:szCs w:val="22"/>
        </w:rPr>
        <w:t>.</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Pr>
          <w:rFonts w:cs="Arial"/>
          <w:szCs w:val="22"/>
        </w:rPr>
        <w:t>Fullan</w:t>
      </w:r>
      <w:proofErr w:type="spellEnd"/>
      <w:r>
        <w:rPr>
          <w:rFonts w:cs="Arial"/>
          <w:szCs w:val="22"/>
        </w:rPr>
        <w:t>, M</w:t>
      </w:r>
      <w:proofErr w:type="gramStart"/>
      <w:r>
        <w:rPr>
          <w:rFonts w:cs="Arial"/>
          <w:szCs w:val="22"/>
        </w:rPr>
        <w:t>.(</w:t>
      </w:r>
      <w:proofErr w:type="gramEnd"/>
      <w:r>
        <w:rPr>
          <w:rFonts w:cs="Arial"/>
          <w:szCs w:val="22"/>
        </w:rPr>
        <w:t xml:space="preserve">1991) The New Meaning of Educational Change. </w:t>
      </w:r>
      <w:proofErr w:type="spellStart"/>
      <w:r>
        <w:rPr>
          <w:rFonts w:cs="Arial"/>
          <w:szCs w:val="22"/>
        </w:rPr>
        <w:t>London</w:t>
      </w:r>
      <w:proofErr w:type="gramStart"/>
      <w:r>
        <w:rPr>
          <w:rFonts w:cs="Arial"/>
          <w:szCs w:val="22"/>
        </w:rPr>
        <w:t>:Cassel</w:t>
      </w:r>
      <w:proofErr w:type="spellEnd"/>
      <w:proofErr w:type="gramEnd"/>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proofErr w:type="gramStart"/>
      <w:r>
        <w:rPr>
          <w:rFonts w:cs="Arial"/>
          <w:szCs w:val="22"/>
        </w:rPr>
        <w:t>Fullan</w:t>
      </w:r>
      <w:proofErr w:type="spellEnd"/>
      <w:r>
        <w:rPr>
          <w:rFonts w:cs="Arial"/>
          <w:szCs w:val="22"/>
        </w:rPr>
        <w:t>, M. (1993) Change Forces.</w:t>
      </w:r>
      <w:proofErr w:type="gramEnd"/>
      <w:r>
        <w:rPr>
          <w:rFonts w:cs="Arial"/>
          <w:szCs w:val="22"/>
        </w:rPr>
        <w:t xml:space="preserve"> London: </w:t>
      </w:r>
      <w:proofErr w:type="spellStart"/>
      <w:r>
        <w:rPr>
          <w:rFonts w:cs="Arial"/>
          <w:szCs w:val="22"/>
        </w:rPr>
        <w:t>Falmer</w:t>
      </w:r>
      <w:proofErr w:type="spellEnd"/>
      <w:r>
        <w:rPr>
          <w:rFonts w:cs="Arial"/>
          <w:szCs w:val="22"/>
        </w:rPr>
        <w:t xml:space="preserve"> Press</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r>
        <w:rPr>
          <w:rFonts w:cs="Arial"/>
          <w:szCs w:val="22"/>
        </w:rPr>
        <w:t xml:space="preserve">Hargreaves, A and </w:t>
      </w:r>
      <w:proofErr w:type="spellStart"/>
      <w:r>
        <w:rPr>
          <w:rFonts w:cs="Arial"/>
          <w:szCs w:val="22"/>
        </w:rPr>
        <w:t>Fullan</w:t>
      </w:r>
      <w:proofErr w:type="spellEnd"/>
      <w:r>
        <w:rPr>
          <w:rFonts w:cs="Arial"/>
          <w:szCs w:val="22"/>
        </w:rPr>
        <w:t xml:space="preserve">, M. (1995) </w:t>
      </w:r>
      <w:proofErr w:type="gramStart"/>
      <w:r>
        <w:rPr>
          <w:rFonts w:cs="Arial"/>
          <w:szCs w:val="22"/>
        </w:rPr>
        <w:t>What’s</w:t>
      </w:r>
      <w:proofErr w:type="gramEnd"/>
      <w:r>
        <w:rPr>
          <w:rFonts w:cs="Arial"/>
          <w:szCs w:val="22"/>
        </w:rPr>
        <w:t xml:space="preserve"> Worth Fighting For in Education. Milton Keynes: Open University Press.</w:t>
      </w: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szCs w:val="22"/>
        </w:rPr>
      </w:pPr>
      <w:proofErr w:type="spellStart"/>
      <w:r>
        <w:rPr>
          <w:rFonts w:cs="Arial"/>
          <w:szCs w:val="22"/>
        </w:rPr>
        <w:t>Leithwood</w:t>
      </w:r>
      <w:proofErr w:type="spellEnd"/>
      <w:r>
        <w:rPr>
          <w:rFonts w:cs="Arial"/>
          <w:szCs w:val="22"/>
        </w:rPr>
        <w:t xml:space="preserve">, K. </w:t>
      </w:r>
      <w:proofErr w:type="spellStart"/>
      <w:r>
        <w:rPr>
          <w:rFonts w:cs="Arial"/>
          <w:szCs w:val="22"/>
        </w:rPr>
        <w:t>Jantzi</w:t>
      </w:r>
      <w:proofErr w:type="spellEnd"/>
      <w:r>
        <w:rPr>
          <w:rFonts w:cs="Arial"/>
          <w:szCs w:val="22"/>
        </w:rPr>
        <w:t xml:space="preserve">, D. &amp; </w:t>
      </w:r>
      <w:proofErr w:type="gramStart"/>
      <w:r>
        <w:rPr>
          <w:rFonts w:cs="Arial"/>
          <w:szCs w:val="22"/>
        </w:rPr>
        <w:t>Steinbach ,</w:t>
      </w:r>
      <w:proofErr w:type="gramEnd"/>
      <w:r>
        <w:rPr>
          <w:rFonts w:cs="Arial"/>
          <w:szCs w:val="22"/>
        </w:rPr>
        <w:t xml:space="preserve"> R. (1999)  Changing Leadership for changing times.</w:t>
      </w:r>
    </w:p>
    <w:p w:rsidR="00405B51" w:rsidRDefault="00405B51" w:rsidP="00405B51">
      <w:pPr>
        <w:overflowPunct w:val="0"/>
        <w:autoSpaceDE w:val="0"/>
        <w:autoSpaceDN w:val="0"/>
        <w:adjustRightInd w:val="0"/>
        <w:jc w:val="both"/>
        <w:textAlignment w:val="baseline"/>
        <w:rPr>
          <w:rFonts w:cs="Arial"/>
          <w:szCs w:val="22"/>
        </w:rPr>
      </w:pPr>
      <w:r>
        <w:rPr>
          <w:rFonts w:cs="Arial"/>
          <w:szCs w:val="22"/>
        </w:rPr>
        <w:t xml:space="preserve">Milton Keynes: Open University </w:t>
      </w:r>
      <w:proofErr w:type="spellStart"/>
      <w:r>
        <w:rPr>
          <w:rFonts w:cs="Arial"/>
          <w:szCs w:val="22"/>
        </w:rPr>
        <w:t>PressMacBeath</w:t>
      </w:r>
      <w:proofErr w:type="spellEnd"/>
      <w:r>
        <w:rPr>
          <w:rFonts w:cs="Arial"/>
          <w:szCs w:val="22"/>
        </w:rPr>
        <w:t xml:space="preserve">, </w:t>
      </w:r>
      <w:proofErr w:type="spellStart"/>
      <w:r>
        <w:rPr>
          <w:rFonts w:cs="Arial"/>
          <w:szCs w:val="22"/>
        </w:rPr>
        <w:t>J.ed</w:t>
      </w:r>
      <w:proofErr w:type="spellEnd"/>
      <w:r>
        <w:rPr>
          <w:rFonts w:cs="Arial"/>
          <w:szCs w:val="22"/>
        </w:rPr>
        <w:t xml:space="preserve"> (1998) Effective School Leadership: Responding to change. London: Paul Chapman.</w:t>
      </w:r>
    </w:p>
    <w:p w:rsidR="00405B51" w:rsidRDefault="00405B51" w:rsidP="00405B51">
      <w:pPr>
        <w:overflowPunct w:val="0"/>
        <w:autoSpaceDE w:val="0"/>
        <w:autoSpaceDN w:val="0"/>
        <w:adjustRightInd w:val="0"/>
        <w:jc w:val="both"/>
        <w:textAlignment w:val="baseline"/>
        <w:rPr>
          <w:rFonts w:cs="Arial"/>
          <w:szCs w:val="22"/>
        </w:rPr>
      </w:pPr>
    </w:p>
    <w:p w:rsidR="00405B51" w:rsidRDefault="00405B51" w:rsidP="00405B51">
      <w:pPr>
        <w:tabs>
          <w:tab w:val="left" w:pos="720"/>
          <w:tab w:val="left" w:pos="1440"/>
          <w:tab w:val="left" w:pos="2160"/>
          <w:tab w:val="left" w:pos="2880"/>
        </w:tabs>
        <w:overflowPunct w:val="0"/>
        <w:autoSpaceDE w:val="0"/>
        <w:autoSpaceDN w:val="0"/>
        <w:adjustRightInd w:val="0"/>
        <w:textAlignment w:val="baseline"/>
        <w:rPr>
          <w:rFonts w:cs="Arial"/>
          <w:b/>
          <w:szCs w:val="22"/>
        </w:rPr>
      </w:pPr>
      <w:r>
        <w:rPr>
          <w:rFonts w:cs="Arial"/>
          <w:b/>
          <w:szCs w:val="22"/>
        </w:rPr>
        <w:t>Recommended</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szCs w:val="22"/>
        </w:rPr>
      </w:pPr>
      <w:r>
        <w:rPr>
          <w:rFonts w:cs="Arial"/>
          <w:szCs w:val="22"/>
        </w:rPr>
        <w:t xml:space="preserve">Bush, T and Coleman, M (2000) Leadership and Strategic Management in </w:t>
      </w:r>
    </w:p>
    <w:p w:rsidR="00405B51" w:rsidRDefault="00405B51" w:rsidP="00405B51">
      <w:pPr>
        <w:overflowPunct w:val="0"/>
        <w:autoSpaceDE w:val="0"/>
        <w:autoSpaceDN w:val="0"/>
        <w:adjustRightInd w:val="0"/>
        <w:jc w:val="both"/>
        <w:textAlignment w:val="baseline"/>
        <w:rPr>
          <w:rFonts w:cs="Arial"/>
          <w:b/>
          <w:szCs w:val="22"/>
        </w:rPr>
      </w:pPr>
      <w:proofErr w:type="gramStart"/>
      <w:r>
        <w:rPr>
          <w:rFonts w:cs="Arial"/>
          <w:szCs w:val="22"/>
        </w:rPr>
        <w:t>Education.</w:t>
      </w:r>
      <w:proofErr w:type="gramEnd"/>
      <w:r>
        <w:rPr>
          <w:rFonts w:cs="Arial"/>
          <w:szCs w:val="22"/>
        </w:rPr>
        <w:t xml:space="preserve"> </w:t>
      </w:r>
      <w:proofErr w:type="spellStart"/>
      <w:r>
        <w:rPr>
          <w:rFonts w:cs="Arial"/>
          <w:szCs w:val="22"/>
        </w:rPr>
        <w:t>London</w:t>
      </w:r>
      <w:proofErr w:type="gramStart"/>
      <w:r>
        <w:rPr>
          <w:rFonts w:cs="Arial"/>
          <w:szCs w:val="22"/>
        </w:rPr>
        <w:t>:Sage</w:t>
      </w:r>
      <w:proofErr w:type="spellEnd"/>
      <w:proofErr w:type="gramEnd"/>
    </w:p>
    <w:p w:rsidR="00405B51" w:rsidRDefault="00405B51" w:rsidP="00405B51">
      <w:pPr>
        <w:spacing w:after="200" w:line="276" w:lineRule="auto"/>
        <w:ind w:right="78"/>
        <w:rPr>
          <w:rFonts w:eastAsia="Calibri" w:cs="Arial"/>
          <w:szCs w:val="22"/>
          <w:lang w:eastAsia="en-US"/>
        </w:rPr>
      </w:pPr>
      <w:r>
        <w:rPr>
          <w:rFonts w:eastAsia="Calibri" w:cs="Arial"/>
          <w:szCs w:val="22"/>
          <w:lang w:eastAsia="en-US"/>
        </w:rPr>
        <w:t xml:space="preserve">Welsh Assembly Government (2015) </w:t>
      </w:r>
      <w:r>
        <w:rPr>
          <w:rFonts w:eastAsia="Calibri" w:cs="Arial"/>
          <w:i/>
          <w:szCs w:val="22"/>
          <w:lang w:eastAsia="en-US"/>
        </w:rPr>
        <w:t xml:space="preserve">Successful Futures-The Donaldson Review.  </w:t>
      </w:r>
      <w:r>
        <w:rPr>
          <w:rFonts w:eastAsia="Calibri" w:cs="Arial"/>
          <w:szCs w:val="22"/>
          <w:lang w:eastAsia="en-US"/>
        </w:rPr>
        <w:t>HMSO: Cardiff.</w:t>
      </w:r>
      <w:r>
        <w:rPr>
          <w:rFonts w:ascii="Calibri" w:eastAsia="Calibri" w:hAnsi="Calibri"/>
          <w:szCs w:val="22"/>
          <w:lang w:eastAsia="en-US"/>
        </w:rPr>
        <w:t xml:space="preserve"> </w:t>
      </w:r>
      <w:r>
        <w:rPr>
          <w:rFonts w:eastAsia="Calibri" w:cs="Arial"/>
          <w:szCs w:val="22"/>
          <w:lang w:eastAsia="en-US"/>
        </w:rPr>
        <w:t xml:space="preserve">Welsh Assembly Government (2014) Furlong Report on the future of ITET in Wales.  HMSO: </w:t>
      </w:r>
      <w:proofErr w:type="spellStart"/>
      <w:r>
        <w:rPr>
          <w:rFonts w:eastAsia="Calibri" w:cs="Arial"/>
          <w:szCs w:val="22"/>
          <w:lang w:eastAsia="en-US"/>
        </w:rPr>
        <w:t>Cardiff.Ward</w:t>
      </w:r>
      <w:proofErr w:type="spellEnd"/>
      <w:r>
        <w:rPr>
          <w:rFonts w:eastAsia="Calibri" w:cs="Arial"/>
          <w:szCs w:val="22"/>
          <w:lang w:eastAsia="en-US"/>
        </w:rPr>
        <w:t>, S., Eden, C., (2009) Key Issues in Education Policy. London: Sage.</w:t>
      </w:r>
    </w:p>
    <w:p w:rsidR="00405B51" w:rsidRDefault="00405B51"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b/>
          <w:szCs w:val="22"/>
        </w:rPr>
      </w:pPr>
      <w:r>
        <w:rPr>
          <w:rFonts w:cs="Arial"/>
          <w:b/>
          <w:szCs w:val="22"/>
        </w:rPr>
        <w:t>Background</w:t>
      </w:r>
    </w:p>
    <w:p w:rsidR="00405B51" w:rsidRDefault="00405B51" w:rsidP="00405B51">
      <w:pPr>
        <w:spacing w:after="200" w:line="276" w:lineRule="auto"/>
        <w:rPr>
          <w:rFonts w:eastAsia="Calibri" w:cs="Arial"/>
          <w:szCs w:val="22"/>
          <w:lang w:eastAsia="en-US"/>
        </w:rPr>
      </w:pPr>
      <w:r>
        <w:rPr>
          <w:rFonts w:eastAsia="Calibri" w:cs="Arial"/>
          <w:szCs w:val="22"/>
          <w:lang w:eastAsia="en-US"/>
        </w:rPr>
        <w:t xml:space="preserve">Powell, S. (2011) </w:t>
      </w:r>
      <w:r>
        <w:rPr>
          <w:rFonts w:eastAsia="Calibri" w:cs="Arial"/>
          <w:i/>
          <w:szCs w:val="22"/>
          <w:lang w:eastAsia="en-US"/>
        </w:rPr>
        <w:t>Inclusive Practice in the Lifelong Learning Sector</w:t>
      </w:r>
      <w:r>
        <w:rPr>
          <w:rFonts w:eastAsia="Calibri" w:cs="Arial"/>
          <w:szCs w:val="22"/>
          <w:lang w:eastAsia="en-US"/>
        </w:rPr>
        <w:t>. Exeter: Learning Matters.</w:t>
      </w:r>
    </w:p>
    <w:p w:rsidR="00405B51" w:rsidRDefault="00405B51" w:rsidP="00405B51">
      <w:pPr>
        <w:overflowPunct w:val="0"/>
        <w:autoSpaceDE w:val="0"/>
        <w:autoSpaceDN w:val="0"/>
        <w:adjustRightInd w:val="0"/>
        <w:jc w:val="both"/>
        <w:textAlignment w:val="baseline"/>
        <w:rPr>
          <w:rFonts w:cs="Arial"/>
          <w:b/>
          <w:szCs w:val="22"/>
        </w:rPr>
      </w:pPr>
      <w:r>
        <w:rPr>
          <w:rFonts w:cs="Arial"/>
          <w:b/>
          <w:szCs w:val="22"/>
        </w:rPr>
        <w:t>Journals</w:t>
      </w:r>
    </w:p>
    <w:p w:rsidR="00405B51" w:rsidRDefault="00405B51" w:rsidP="00405B51">
      <w:pPr>
        <w:rPr>
          <w:rFonts w:eastAsia="Calibri" w:cs="Arial"/>
          <w:i/>
          <w:szCs w:val="22"/>
          <w:lang w:eastAsia="en-US"/>
        </w:rPr>
      </w:pPr>
      <w:r>
        <w:rPr>
          <w:rFonts w:eastAsia="Calibri" w:cs="Arial"/>
          <w:i/>
          <w:szCs w:val="22"/>
          <w:lang w:eastAsia="en-US"/>
        </w:rPr>
        <w:t>Active Learning in Higher Education</w:t>
      </w:r>
    </w:p>
    <w:p w:rsidR="00405B51" w:rsidRDefault="00405B51" w:rsidP="00405B51">
      <w:pPr>
        <w:rPr>
          <w:rFonts w:eastAsia="Calibri" w:cs="Arial"/>
          <w:i/>
          <w:szCs w:val="22"/>
          <w:lang w:eastAsia="en-US"/>
        </w:rPr>
      </w:pPr>
      <w:r>
        <w:rPr>
          <w:rFonts w:eastAsia="Calibri" w:cs="Arial"/>
          <w:i/>
          <w:szCs w:val="22"/>
          <w:lang w:eastAsia="en-US"/>
        </w:rPr>
        <w:t>Journal of Curriculum Studies</w:t>
      </w:r>
    </w:p>
    <w:p w:rsidR="00405B51" w:rsidRDefault="00405B51" w:rsidP="00405B51">
      <w:pPr>
        <w:rPr>
          <w:rFonts w:eastAsia="Calibri" w:cs="Arial"/>
          <w:i/>
          <w:szCs w:val="22"/>
          <w:lang w:eastAsia="en-US"/>
        </w:rPr>
      </w:pPr>
      <w:r>
        <w:rPr>
          <w:rFonts w:eastAsia="Calibri" w:cs="Arial"/>
          <w:i/>
          <w:szCs w:val="22"/>
          <w:lang w:eastAsia="en-US"/>
        </w:rPr>
        <w:t>Journal of Curriculum Theorizing</w:t>
      </w:r>
    </w:p>
    <w:p w:rsidR="00405B51" w:rsidRDefault="00405B51" w:rsidP="00405B51">
      <w:pPr>
        <w:rPr>
          <w:rFonts w:eastAsia="Calibri" w:cs="Arial"/>
          <w:i/>
          <w:szCs w:val="22"/>
          <w:lang w:eastAsia="en-US"/>
        </w:rPr>
      </w:pPr>
      <w:r>
        <w:rPr>
          <w:rFonts w:eastAsia="Calibri" w:cs="Arial"/>
          <w:i/>
          <w:szCs w:val="22"/>
          <w:lang w:eastAsia="en-US"/>
        </w:rPr>
        <w:t>Journal of Curriculum &amp; Pedagogy</w:t>
      </w:r>
    </w:p>
    <w:p w:rsidR="00405B51" w:rsidRDefault="00405B51" w:rsidP="00405B51">
      <w:pPr>
        <w:rPr>
          <w:rFonts w:eastAsia="Calibri" w:cs="Arial"/>
          <w:i/>
          <w:szCs w:val="22"/>
          <w:lang w:eastAsia="en-US"/>
        </w:rPr>
      </w:pPr>
      <w:r>
        <w:rPr>
          <w:rFonts w:eastAsia="Calibri" w:cs="Arial"/>
          <w:i/>
          <w:szCs w:val="22"/>
          <w:lang w:eastAsia="en-US"/>
        </w:rPr>
        <w:t>Journal of Education Policy</w:t>
      </w:r>
    </w:p>
    <w:p w:rsidR="00405B51" w:rsidRDefault="00405B51" w:rsidP="00405B51">
      <w:pPr>
        <w:rPr>
          <w:rFonts w:eastAsia="Calibri" w:cs="Arial"/>
          <w:i/>
          <w:szCs w:val="22"/>
          <w:lang w:eastAsia="en-US"/>
        </w:rPr>
      </w:pPr>
      <w:r>
        <w:rPr>
          <w:rFonts w:eastAsia="Calibri" w:cs="Arial"/>
          <w:i/>
          <w:szCs w:val="22"/>
          <w:lang w:eastAsia="en-US"/>
        </w:rPr>
        <w:t>Studies in Higher Education</w:t>
      </w:r>
    </w:p>
    <w:p w:rsidR="00405B51" w:rsidRDefault="00405B51" w:rsidP="00405B51">
      <w:pPr>
        <w:rPr>
          <w:rFonts w:eastAsia="Calibri" w:cs="Arial"/>
          <w:i/>
          <w:szCs w:val="22"/>
          <w:lang w:eastAsia="en-US"/>
        </w:rPr>
      </w:pPr>
      <w:r>
        <w:rPr>
          <w:rFonts w:eastAsia="Calibri" w:cs="Arial"/>
          <w:i/>
          <w:szCs w:val="22"/>
          <w:lang w:eastAsia="en-US"/>
        </w:rPr>
        <w:t>Welsh Journal of Education</w:t>
      </w:r>
    </w:p>
    <w:p w:rsidR="00405B51" w:rsidRDefault="00405B51" w:rsidP="00405B51">
      <w:pPr>
        <w:overflowPunct w:val="0"/>
        <w:autoSpaceDE w:val="0"/>
        <w:autoSpaceDN w:val="0"/>
        <w:adjustRightInd w:val="0"/>
        <w:jc w:val="both"/>
        <w:textAlignment w:val="baseline"/>
        <w:rPr>
          <w:rFonts w:cs="Arial"/>
          <w:b/>
          <w:szCs w:val="22"/>
        </w:rPr>
      </w:pPr>
    </w:p>
    <w:p w:rsidR="00405B51" w:rsidRDefault="00405B51" w:rsidP="00405B51">
      <w:pPr>
        <w:overflowPunct w:val="0"/>
        <w:autoSpaceDE w:val="0"/>
        <w:autoSpaceDN w:val="0"/>
        <w:adjustRightInd w:val="0"/>
        <w:jc w:val="both"/>
        <w:textAlignment w:val="baseline"/>
        <w:rPr>
          <w:rFonts w:cs="Arial"/>
          <w:b/>
          <w:szCs w:val="22"/>
        </w:rPr>
      </w:pPr>
      <w:r>
        <w:rPr>
          <w:rFonts w:cs="Arial"/>
          <w:b/>
          <w:szCs w:val="22"/>
        </w:rPr>
        <w:t xml:space="preserve">Websites </w:t>
      </w:r>
    </w:p>
    <w:p w:rsidR="00405B51" w:rsidRDefault="00A35196" w:rsidP="00405B51">
      <w:pPr>
        <w:tabs>
          <w:tab w:val="left" w:pos="720"/>
          <w:tab w:val="left" w:pos="1440"/>
          <w:tab w:val="left" w:pos="2160"/>
          <w:tab w:val="left" w:pos="2880"/>
        </w:tabs>
        <w:overflowPunct w:val="0"/>
        <w:autoSpaceDE w:val="0"/>
        <w:autoSpaceDN w:val="0"/>
        <w:adjustRightInd w:val="0"/>
        <w:ind w:left="3600" w:hanging="3600"/>
        <w:textAlignment w:val="baseline"/>
        <w:rPr>
          <w:rFonts w:cs="Arial"/>
          <w:color w:val="4F81BD"/>
          <w:szCs w:val="22"/>
          <w:u w:val="single"/>
        </w:rPr>
      </w:pPr>
      <w:hyperlink r:id="rId6" w:history="1">
        <w:r w:rsidR="00405B51">
          <w:rPr>
            <w:rStyle w:val="Hyperlink"/>
            <w:rFonts w:cs="Arial"/>
            <w:color w:val="0000FF"/>
            <w:szCs w:val="22"/>
          </w:rPr>
          <w:t>www.infed.org.uk</w:t>
        </w:r>
      </w:hyperlink>
    </w:p>
    <w:p w:rsidR="00405B51" w:rsidRDefault="00A35196" w:rsidP="00405B51">
      <w:pPr>
        <w:overflowPunct w:val="0"/>
        <w:autoSpaceDE w:val="0"/>
        <w:autoSpaceDN w:val="0"/>
        <w:adjustRightInd w:val="0"/>
        <w:jc w:val="both"/>
        <w:textAlignment w:val="baseline"/>
        <w:rPr>
          <w:rFonts w:cs="Arial"/>
          <w:szCs w:val="22"/>
        </w:rPr>
      </w:pPr>
      <w:hyperlink r:id="rId7" w:history="1">
        <w:r w:rsidR="00405B51">
          <w:rPr>
            <w:rStyle w:val="Hyperlink"/>
            <w:rFonts w:cs="Arial"/>
            <w:color w:val="0000FF"/>
            <w:szCs w:val="22"/>
          </w:rPr>
          <w:t>www.nctl.org.uk</w:t>
        </w:r>
      </w:hyperlink>
      <w:r w:rsidR="00405B51">
        <w:rPr>
          <w:rFonts w:cs="Arial"/>
          <w:szCs w:val="22"/>
        </w:rPr>
        <w:t xml:space="preserve"> </w:t>
      </w:r>
    </w:p>
    <w:p w:rsidR="00405B51" w:rsidRDefault="00A35196" w:rsidP="00405B51">
      <w:pPr>
        <w:overflowPunct w:val="0"/>
        <w:autoSpaceDE w:val="0"/>
        <w:autoSpaceDN w:val="0"/>
        <w:adjustRightInd w:val="0"/>
        <w:jc w:val="both"/>
        <w:textAlignment w:val="baseline"/>
        <w:rPr>
          <w:rFonts w:cs="Arial"/>
          <w:szCs w:val="22"/>
        </w:rPr>
      </w:pPr>
      <w:hyperlink r:id="rId8" w:history="1">
        <w:r w:rsidR="00405B51">
          <w:rPr>
            <w:rStyle w:val="Hyperlink"/>
            <w:rFonts w:cs="Arial"/>
            <w:color w:val="0000FF"/>
            <w:szCs w:val="22"/>
          </w:rPr>
          <w:t>www.nationalcollegeofteachers.org.uk</w:t>
        </w:r>
      </w:hyperlink>
      <w:r w:rsidR="00405B51">
        <w:rPr>
          <w:rFonts w:cs="Arial"/>
          <w:szCs w:val="22"/>
        </w:rPr>
        <w:t xml:space="preserve"> </w:t>
      </w:r>
    </w:p>
    <w:p w:rsidR="00405B51" w:rsidRDefault="00405B51" w:rsidP="00405B51">
      <w:pPr>
        <w:overflowPunct w:val="0"/>
        <w:autoSpaceDE w:val="0"/>
        <w:autoSpaceDN w:val="0"/>
        <w:adjustRightInd w:val="0"/>
        <w:jc w:val="both"/>
        <w:textAlignment w:val="baseline"/>
        <w:rPr>
          <w:rFonts w:cs="Arial"/>
          <w:szCs w:val="22"/>
        </w:rPr>
      </w:pPr>
    </w:p>
    <w:p w:rsidR="00405B51" w:rsidRDefault="00405B51" w:rsidP="00405B51">
      <w:pPr>
        <w:overflowPunct w:val="0"/>
        <w:autoSpaceDE w:val="0"/>
        <w:autoSpaceDN w:val="0"/>
        <w:adjustRightInd w:val="0"/>
        <w:jc w:val="both"/>
        <w:textAlignment w:val="baseline"/>
        <w:rPr>
          <w:rFonts w:cs="Arial"/>
          <w:szCs w:val="22"/>
        </w:rPr>
      </w:pPr>
      <w:r>
        <w:rPr>
          <w:rFonts w:cs="Arial"/>
          <w:szCs w:val="22"/>
        </w:rPr>
        <w:t>Students will be directed to a range of appropriate websites during the module delivery</w:t>
      </w:r>
    </w:p>
    <w:p w:rsidR="00405B51" w:rsidRDefault="00405B51" w:rsidP="00405B51">
      <w:r>
        <w:br w:type="page"/>
      </w:r>
    </w:p>
    <w:p w:rsidR="00F94282" w:rsidRDefault="00A35196"/>
    <w:sectPr w:rsidR="00F942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3BB7D53"/>
    <w:multiLevelType w:val="multilevel"/>
    <w:tmpl w:val="7A36E2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6726617B"/>
    <w:multiLevelType w:val="hybridMultilevel"/>
    <w:tmpl w:val="D01EBA8E"/>
    <w:lvl w:ilvl="0" w:tplc="0409000F">
      <w:start w:val="1"/>
      <w:numFmt w:val="decimal"/>
      <w:lvlText w:val="%1."/>
      <w:lvlJc w:val="left"/>
      <w:pPr>
        <w:ind w:left="1084" w:hanging="360"/>
      </w:pPr>
    </w:lvl>
    <w:lvl w:ilvl="1" w:tplc="08090019">
      <w:start w:val="1"/>
      <w:numFmt w:val="lowerLetter"/>
      <w:lvlText w:val="%2."/>
      <w:lvlJc w:val="left"/>
      <w:pPr>
        <w:ind w:left="1455" w:hanging="360"/>
      </w:pPr>
    </w:lvl>
    <w:lvl w:ilvl="2" w:tplc="0809001B">
      <w:start w:val="1"/>
      <w:numFmt w:val="lowerRoman"/>
      <w:lvlText w:val="%3."/>
      <w:lvlJc w:val="right"/>
      <w:pPr>
        <w:ind w:left="2175" w:hanging="180"/>
      </w:pPr>
    </w:lvl>
    <w:lvl w:ilvl="3" w:tplc="0809000F">
      <w:start w:val="1"/>
      <w:numFmt w:val="decimal"/>
      <w:lvlText w:val="%4."/>
      <w:lvlJc w:val="left"/>
      <w:pPr>
        <w:ind w:left="2895" w:hanging="360"/>
      </w:pPr>
    </w:lvl>
    <w:lvl w:ilvl="4" w:tplc="08090019">
      <w:start w:val="1"/>
      <w:numFmt w:val="lowerLetter"/>
      <w:lvlText w:val="%5."/>
      <w:lvlJc w:val="left"/>
      <w:pPr>
        <w:ind w:left="3615" w:hanging="360"/>
      </w:pPr>
    </w:lvl>
    <w:lvl w:ilvl="5" w:tplc="0809001B">
      <w:start w:val="1"/>
      <w:numFmt w:val="lowerRoman"/>
      <w:lvlText w:val="%6."/>
      <w:lvlJc w:val="right"/>
      <w:pPr>
        <w:ind w:left="4335" w:hanging="180"/>
      </w:pPr>
    </w:lvl>
    <w:lvl w:ilvl="6" w:tplc="0809000F">
      <w:start w:val="1"/>
      <w:numFmt w:val="decimal"/>
      <w:lvlText w:val="%7."/>
      <w:lvlJc w:val="left"/>
      <w:pPr>
        <w:ind w:left="5055" w:hanging="360"/>
      </w:pPr>
    </w:lvl>
    <w:lvl w:ilvl="7" w:tplc="08090019">
      <w:start w:val="1"/>
      <w:numFmt w:val="lowerLetter"/>
      <w:lvlText w:val="%8."/>
      <w:lvlJc w:val="left"/>
      <w:pPr>
        <w:ind w:left="5775" w:hanging="360"/>
      </w:pPr>
    </w:lvl>
    <w:lvl w:ilvl="8" w:tplc="0809001B">
      <w:start w:val="1"/>
      <w:numFmt w:val="lowerRoman"/>
      <w:lvlText w:val="%9."/>
      <w:lvlJc w:val="right"/>
      <w:pPr>
        <w:ind w:left="6495" w:hanging="180"/>
      </w:pPr>
    </w:lvl>
  </w:abstractNum>
  <w:abstractNum w:abstractNumId="2">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5B51"/>
    <w:rsid w:val="00405B51"/>
    <w:rsid w:val="00A35196"/>
    <w:rsid w:val="00A5114B"/>
    <w:rsid w:val="00E87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5B51"/>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5B5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5B51"/>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5B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60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ationalcollegeofteachers.org.uk" TargetMode="External"/><Relationship Id="rId3" Type="http://schemas.microsoft.com/office/2007/relationships/stylesWithEffects" Target="stylesWithEffects.xml"/><Relationship Id="rId7" Type="http://schemas.openxmlformats.org/officeDocument/2006/relationships/hyperlink" Target="http://www.nctl.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fed.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855</Words>
  <Characters>4877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 Stewart</dc:creator>
  <cp:lastModifiedBy>Sarah Stewart</cp:lastModifiedBy>
  <cp:revision>2</cp:revision>
  <dcterms:created xsi:type="dcterms:W3CDTF">2017-09-21T08:07:00Z</dcterms:created>
  <dcterms:modified xsi:type="dcterms:W3CDTF">2017-09-21T08:07:00Z</dcterms:modified>
</cp:coreProperties>
</file>