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7CEDA4" w14:textId="77777777" w:rsidR="00B97C28" w:rsidRDefault="00B97C28">
      <w:r>
        <w:t>The teleological argument identifies a design and purpose in the material universe and further; that the cause of this is God.  Is it justified in making either of these claims?</w:t>
      </w:r>
    </w:p>
    <w:p w14:paraId="7AB59A0C" w14:textId="77777777" w:rsidR="00B97C28" w:rsidRDefault="00B97C28"/>
    <w:p w14:paraId="23E3A6A9" w14:textId="03DE93DD" w:rsidR="00B97C28" w:rsidRDefault="00A86CD5">
      <w:r>
        <w:t>Ever since</w:t>
      </w:r>
      <w:r w:rsidR="00B97C28">
        <w:t xml:space="preserve"> William Paley</w:t>
      </w:r>
      <w:r w:rsidR="008A4C67">
        <w:t xml:space="preserve"> </w:t>
      </w:r>
      <w:r w:rsidR="00FA6E00">
        <w:t xml:space="preserve">found an analogous relationship between a stone and a watch in his famous passage that has become </w:t>
      </w:r>
      <w:r>
        <w:t>the</w:t>
      </w:r>
      <w:r w:rsidR="00FA6E00">
        <w:t xml:space="preserve"> footprint of many</w:t>
      </w:r>
      <w:r>
        <w:t xml:space="preserve"> variations and reformations of the original</w:t>
      </w:r>
      <w:r w:rsidR="00FA6E00">
        <w:t xml:space="preserve"> teleological argument</w:t>
      </w:r>
      <w:r>
        <w:t xml:space="preserve">, </w:t>
      </w:r>
      <w:r w:rsidR="00FA6E00">
        <w:t>many philosophers such as Swinburne and William James also continue to work on the seemingly em</w:t>
      </w:r>
      <w:r>
        <w:t>pi</w:t>
      </w:r>
      <w:r w:rsidR="00FA6E00">
        <w:t>r</w:t>
      </w:r>
      <w:r>
        <w:t>i</w:t>
      </w:r>
      <w:r w:rsidR="00FA6E00">
        <w:t>cal</w:t>
      </w:r>
      <w:r>
        <w:t>l</w:t>
      </w:r>
      <w:r w:rsidR="00FA6E00">
        <w:t xml:space="preserve">y justified idea that there is more to the material world than the scientifically accepted theories underlying objective knowledge. </w:t>
      </w:r>
      <w:r w:rsidR="00450640">
        <w:t xml:space="preserve"> The </w:t>
      </w:r>
      <w:r>
        <w:t>“</w:t>
      </w:r>
      <w:r w:rsidR="00450640">
        <w:t>teleological argument</w:t>
      </w:r>
      <w:r>
        <w:t>”</w:t>
      </w:r>
      <w:r w:rsidR="00450640">
        <w:t xml:space="preserve"> was derived from the word telos, referring to a goal or end.</w:t>
      </w:r>
      <w:r w:rsidR="001E0806">
        <w:t xml:space="preserve"> It was an argument that found a lot of momentum and influence in the 18</w:t>
      </w:r>
      <w:r w:rsidR="001E0806" w:rsidRPr="001E0806">
        <w:rPr>
          <w:vertAlign w:val="superscript"/>
        </w:rPr>
        <w:t>th</w:t>
      </w:r>
      <w:r w:rsidR="001E0806">
        <w:t xml:space="preserve"> century but soon after the discove</w:t>
      </w:r>
      <w:r>
        <w:t>r</w:t>
      </w:r>
      <w:r w:rsidR="001E0806">
        <w:t>y of Darwinian theory, evolutio</w:t>
      </w:r>
      <w:r>
        <w:t xml:space="preserve">n </w:t>
      </w:r>
      <w:r w:rsidR="001E0806">
        <w:t>through natural selection</w:t>
      </w:r>
      <w:r>
        <w:t xml:space="preserve"> and even after Hume in Dialogues Concerning Natural Religion, this argument has struggled to retain much of it’s original power and believability, despite the many attempts to refine it and acknowledge much of the scientific theory that initially appeared to discredit i</w:t>
      </w:r>
      <w:r w:rsidR="00CF2B06">
        <w:t>t</w:t>
      </w:r>
      <w:r>
        <w:t>.</w:t>
      </w:r>
      <w:r w:rsidR="00CF2B06">
        <w:rPr>
          <w:rStyle w:val="FootnoteReference"/>
        </w:rPr>
        <w:footnoteReference w:id="1"/>
      </w:r>
    </w:p>
    <w:p w14:paraId="17F55BE7" w14:textId="61BA7122" w:rsidR="001C21EE" w:rsidRDefault="00450640">
      <w:r>
        <w:t>The claim that there is a design and purpose in the material universe and further may be justified depending on how we understand purpose. Purpose does seem to point towards a goal, an aim inherent in the process of a deliberate “bringing about of”. We can analyse this claim using the support of Swinburne amongst other theologically minded attempts to make this claim in order to conclude the second claim in question, that the cause of this was God. To further analyse, we can also observe the counter arguments made by J L Mackie and decide whether such refutes hold up to scrutiny. It is important to observe also that this argument does have to some extent a bearing on other facets of arguments relating to the concept of God, that referring to the Ontological argument and the Problem of Evil to name a couple. These concepts do seem intrinsically tied and this may become further apparent</w:t>
      </w:r>
      <w:r w:rsidR="00DC5F75">
        <w:t>.</w:t>
      </w:r>
    </w:p>
    <w:p w14:paraId="6F3F98E1" w14:textId="16884DFE" w:rsidR="00CF2B06" w:rsidRDefault="00B403CC">
      <w:r>
        <w:t>First, instead of beginning with the likes of Hume and Kant I wish to address someone contemporary within the field of both theology and science, Keith Ward. In</w:t>
      </w:r>
      <w:r w:rsidR="001C21EE">
        <w:t xml:space="preserve"> God, Chance and Necessity</w:t>
      </w:r>
      <w:r>
        <w:t>, in which he addresses the various challenges of evolution, natural selection and the broad encompass of challenges to the tel</w:t>
      </w:r>
      <w:r w:rsidR="00CF2B06">
        <w:t>e</w:t>
      </w:r>
      <w:r>
        <w:t>o</w:t>
      </w:r>
      <w:r w:rsidR="00CF2B06">
        <w:t>lo</w:t>
      </w:r>
      <w:r>
        <w:t>gical argument, he articulates that he</w:t>
      </w:r>
      <w:r w:rsidR="001C21EE">
        <w:t xml:space="preserve"> does not view the seemingly random element occurring in the process of mutation at odds with the general purposiveness of God’s design. There is purpose embedded within the process but the process itself is </w:t>
      </w:r>
      <w:proofErr w:type="gramStart"/>
      <w:r w:rsidR="001C21EE">
        <w:t>non deterministic</w:t>
      </w:r>
      <w:proofErr w:type="gramEnd"/>
      <w:r w:rsidR="001C21EE">
        <w:t xml:space="preserve">. He may be correct in conceding that what appears random may in fact not be – God could create the laws of nature so that He could hide behind his laws and allow what may seem to be contradictory to his nature, or part of it. </w:t>
      </w:r>
      <w:proofErr w:type="gramStart"/>
      <w:r w:rsidR="001C21EE">
        <w:t>As long as</w:t>
      </w:r>
      <w:proofErr w:type="gramEnd"/>
      <w:r w:rsidR="001C21EE">
        <w:t xml:space="preserve"> it allows the general result of apparent design and therefore purpose, there may be no real problem here. For as long as such random processes take hold, this allows the move in a constant direction of “self-organising complexity” The </w:t>
      </w:r>
      <w:proofErr w:type="spellStart"/>
      <w:proofErr w:type="gramStart"/>
      <w:r w:rsidR="001C21EE">
        <w:t>non deterministic</w:t>
      </w:r>
      <w:proofErr w:type="spellEnd"/>
      <w:proofErr w:type="gramEnd"/>
      <w:r w:rsidR="001C21EE">
        <w:t xml:space="preserve"> aspects of the process may allow to deviate from that</w:t>
      </w:r>
      <w:r>
        <w:t xml:space="preserve"> but in the move for greater complexity this allows a emergence of fre</w:t>
      </w:r>
      <w:r w:rsidR="00CF2B06">
        <w:t>e</w:t>
      </w:r>
      <w:r>
        <w:t xml:space="preserve"> sentient beings. This has implications for consciousness, beauty, </w:t>
      </w:r>
      <w:proofErr w:type="spellStart"/>
      <w:r>
        <w:t>asesthetic</w:t>
      </w:r>
      <w:proofErr w:type="spellEnd"/>
      <w:r>
        <w:t xml:space="preserve"> and morals and all the attributes that allow for God’s design. This argument allows us to allow that original Darwinian theory is itself too cold and does not allow for the general sense of beauty and care in the natural world that seems apparent today – Ward does point out the general contradictions within Darwinian theory. I am not convinced however that design and purpose is justified. It is very pos</w:t>
      </w:r>
      <w:r w:rsidR="00EF38C2">
        <w:t>si</w:t>
      </w:r>
      <w:r>
        <w:t xml:space="preserve">ble that his argument works in so far as it can support and shield itself from criticism that the </w:t>
      </w:r>
      <w:proofErr w:type="gramStart"/>
      <w:r>
        <w:t>science</w:t>
      </w:r>
      <w:proofErr w:type="gramEnd"/>
      <w:r>
        <w:t xml:space="preserve"> he uses to justify his work eviscerate any such argument but general </w:t>
      </w:r>
      <w:r>
        <w:lastRenderedPageBreak/>
        <w:t xml:space="preserve">problems of epistemology which I will elaborate on regarding a </w:t>
      </w:r>
      <w:proofErr w:type="spellStart"/>
      <w:r>
        <w:t>posteori</w:t>
      </w:r>
      <w:proofErr w:type="spellEnd"/>
      <w:r>
        <w:t xml:space="preserve"> and a priori principles may come into relevance here</w:t>
      </w:r>
      <w:r w:rsidR="00CF2B06" w:rsidRPr="00CF2B06">
        <w:t xml:space="preserve"> </w:t>
      </w:r>
      <w:r w:rsidR="00CF2B06">
        <w:t>Ward</w:t>
      </w:r>
      <w:r w:rsidR="00CF2B06">
        <w:t>.</w:t>
      </w:r>
      <w:r w:rsidR="00CF2B06">
        <w:rPr>
          <w:rStyle w:val="FootnoteReference"/>
        </w:rPr>
        <w:footnoteReference w:id="2"/>
      </w:r>
    </w:p>
    <w:p w14:paraId="51A36785" w14:textId="77777777" w:rsidR="00D538B5" w:rsidRDefault="00D538B5"/>
    <w:p w14:paraId="099FF9FF" w14:textId="77777777" w:rsidR="00A861BE" w:rsidRPr="00EF38C2" w:rsidRDefault="00A861BE">
      <w:pPr>
        <w:rPr>
          <w:i/>
        </w:rPr>
      </w:pPr>
      <w:r w:rsidRPr="00EF38C2">
        <w:rPr>
          <w:i/>
        </w:rPr>
        <w:t>Note that I am not postulating a God of the Gaps, a God merely to explain the things which science has not yet explained. I am postulating a God to explain what science explains. I do not deny that science explains, but I postulate God to explain why science explains.</w:t>
      </w:r>
    </w:p>
    <w:p w14:paraId="0760BAF9" w14:textId="718B6BF0" w:rsidR="007E50F4" w:rsidRDefault="006657DE">
      <w:r>
        <w:t>This concludes Swinburne’s chapter</w:t>
      </w:r>
      <w:r w:rsidR="00EF38C2">
        <w:t xml:space="preserve"> in </w:t>
      </w:r>
      <w:r w:rsidR="00EF38C2" w:rsidRPr="00EF38C2">
        <w:rPr>
          <w:i/>
        </w:rPr>
        <w:t>Is There a God</w:t>
      </w:r>
      <w:r>
        <w:t xml:space="preserve">. How Swinburne differentiates between a “God of the Gaps” which he denies he is postulating and the God to “explain why science explains” seems frustratingly unclear. He assumes an ultimate reason behind things, behind science. If he postulates God to explain why science explains, it must be because he assumes that science alone is not </w:t>
      </w:r>
      <w:proofErr w:type="gramStart"/>
      <w:r>
        <w:t>sufficient</w:t>
      </w:r>
      <w:proofErr w:type="gramEnd"/>
      <w:r>
        <w:t xml:space="preserve"> to explain by itself. He is using what we know of science already and postulating God behind it. Clearly</w:t>
      </w:r>
      <w:r w:rsidR="007E50F4">
        <w:t>, within his own understanding,</w:t>
      </w:r>
      <w:r>
        <w:t xml:space="preserve"> this is </w:t>
      </w:r>
      <w:r w:rsidR="007E50F4">
        <w:t xml:space="preserve">significantly different from postulating a God to explain the things we have yet to venture upon in our understanding. Instead he wants to position God within the realms of what we understand already, what we know to be true as opposed to what we don’t yet. Is this a meaningful difference? It certainly seems less </w:t>
      </w:r>
      <w:proofErr w:type="gramStart"/>
      <w:r w:rsidR="007E50F4">
        <w:t>irrational</w:t>
      </w:r>
      <w:proofErr w:type="gramEnd"/>
      <w:r w:rsidR="007E50F4">
        <w:t xml:space="preserve"> but this does not escape that he does clearly assume that science needs an explanation. Why not call this a God of the Gaps? The “gap” if not referring to what science has yet to discover could also refer to the gap that Swinburne may assume there to be once we come to the end of what we can know </w:t>
      </w:r>
      <w:proofErr w:type="gramStart"/>
      <w:r w:rsidR="007E50F4">
        <w:t>a posteriori</w:t>
      </w:r>
      <w:proofErr w:type="gramEnd"/>
      <w:r w:rsidR="00CF2B06">
        <w:rPr>
          <w:rStyle w:val="FootnoteReference"/>
        </w:rPr>
        <w:footnoteReference w:id="3"/>
      </w:r>
      <w:r w:rsidR="007E50F4">
        <w:t xml:space="preserve">. </w:t>
      </w:r>
    </w:p>
    <w:p w14:paraId="42E4AA00" w14:textId="096A64DC" w:rsidR="00C83152" w:rsidRDefault="00C83152" w:rsidP="00C83152">
      <w:r>
        <w:t xml:space="preserve">The </w:t>
      </w:r>
      <w:proofErr w:type="gramStart"/>
      <w:r>
        <w:t>fine tuning</w:t>
      </w:r>
      <w:proofErr w:type="gramEnd"/>
      <w:r>
        <w:t xml:space="preserve"> theory explains that </w:t>
      </w:r>
      <w:r w:rsidR="00EF38C2">
        <w:t xml:space="preserve">material </w:t>
      </w:r>
      <w:r>
        <w:t xml:space="preserve">conditions were such that it was so extremely unlikely the universe would have come into existence. This had had the seeming effect of motivating and incentivising proponents of the teleological argument to make the case that this could not have been due to chance. The event was simply too miraculous and therefore demands an explanation. Why were such materials and laws as they were that they </w:t>
      </w:r>
      <w:proofErr w:type="gramStart"/>
      <w:r>
        <w:t>actually gave</w:t>
      </w:r>
      <w:proofErr w:type="gramEnd"/>
      <w:r>
        <w:t xml:space="preserve"> rise to life? </w:t>
      </w:r>
    </w:p>
    <w:p w14:paraId="732DCC0E" w14:textId="5D3EC077" w:rsidR="0091115F" w:rsidRDefault="0091115F">
      <w:r>
        <w:t xml:space="preserve">Both Mackie and to a greater extent, Swinburne have attempted to argue against one key challenge often levelled at proponents of this argument – that we </w:t>
      </w:r>
      <w:r w:rsidR="00C83152">
        <w:t>make the mistake of not accounting</w:t>
      </w:r>
      <w:r>
        <w:t xml:space="preserve"> for what we would not know had the universe, in its existing and pre-existing conditions not been as it were</w:t>
      </w:r>
      <w:r w:rsidR="00C83152">
        <w:t>,</w:t>
      </w:r>
      <w:r>
        <w:t xml:space="preserve"> so we </w:t>
      </w:r>
      <w:proofErr w:type="spellStart"/>
      <w:r>
        <w:t>can not</w:t>
      </w:r>
      <w:proofErr w:type="spellEnd"/>
      <w:r>
        <w:t xml:space="preserve"> be surprised at the state of things in the universe and assume it </w:t>
      </w:r>
      <w:r w:rsidR="00C83152">
        <w:t>miraculous. Swinburne does this via an analogy of a prisoner forced into a room with a machine that the prisoner is told will destroy everything in the room including the prisone</w:t>
      </w:r>
      <w:r w:rsidR="00CF2B06">
        <w:t xml:space="preserve">r. In short, this is due to a situation in which the probabilities are so low that the prisoner will very most likely </w:t>
      </w:r>
      <w:r w:rsidR="00C83152">
        <w:t>Swinburne concludes th</w:t>
      </w:r>
      <w:r w:rsidR="00CF2B06">
        <w:t>at</w:t>
      </w:r>
      <w:r w:rsidR="00C83152">
        <w:t xml:space="preserve"> of course the prisoner should consider his survival a miracle of a kind and it would not at all be unreasonable for him to imagine there was something transcendent at play that saved him so many times</w:t>
      </w:r>
      <w:r w:rsidR="00144CBA">
        <w:t xml:space="preserve"> during his ordeal. Mackie’s refutation is more nuanced than Swinburne’s. He generally concurs but also suggests, though not explicitly, that Mackie is using the right argument for the wrong example of a challenge. He would have been correct to utilise this argument in any cases except in the challenge of the multi verse theory which is a far more difficult challenge to the teleological argument. It is undeniable that if indeed there if life only on this planet amongst many others, some of which may not be discoverable then it is not surprising at all that we are here to observe it since we are conscious beings that are aware</w:t>
      </w:r>
      <w:r w:rsidR="00491B0A">
        <w:t xml:space="preserve">. It is possible then that our planet only represents the one </w:t>
      </w:r>
      <w:r w:rsidR="00491B0A">
        <w:lastRenderedPageBreak/>
        <w:t xml:space="preserve">attempt on God’s behalf at successfully generating life. </w:t>
      </w:r>
      <w:proofErr w:type="spellStart"/>
      <w:r w:rsidR="00491B0A">
        <w:t>Swinburnes</w:t>
      </w:r>
      <w:proofErr w:type="spellEnd"/>
      <w:r w:rsidR="00491B0A">
        <w:t xml:space="preserve"> analogy cannot try to stack up against this since </w:t>
      </w:r>
      <w:r w:rsidR="007B000C">
        <w:t xml:space="preserve">the </w:t>
      </w:r>
      <w:proofErr w:type="gramStart"/>
      <w:r w:rsidR="007B000C">
        <w:t>prisoners</w:t>
      </w:r>
      <w:proofErr w:type="gramEnd"/>
      <w:r w:rsidR="007B000C">
        <w:t xml:space="preserve"> survival </w:t>
      </w:r>
      <w:proofErr w:type="spellStart"/>
      <w:r w:rsidR="007B000C">
        <w:t>occurured</w:t>
      </w:r>
      <w:proofErr w:type="spellEnd"/>
      <w:r w:rsidR="007B000C">
        <w:t xml:space="preserve"> against all the odds instead of amongst others.</w:t>
      </w:r>
      <w:r w:rsidR="00491B0A">
        <w:t xml:space="preserve"> This has implications for other arguments relating to God’s existence most notably the Ontological argument which it inevitably ties into at this point – is God really the greatest thing that could have existed even though most intended existences, the failed ones on lifeless planets, can’t now conceive of his existence?</w:t>
      </w:r>
      <w:r w:rsidR="007B000C">
        <w:t xml:space="preserve"> But Swinburne may have a valuable point which even Mackie acknowledges despite his quibbles against Swinburne’s use of his analogy.</w:t>
      </w:r>
      <w:r w:rsidR="008A2C77">
        <w:t xml:space="preserve"> But once can question too- are we in such a position that we can assess such </w:t>
      </w:r>
      <w:proofErr w:type="gramStart"/>
      <w:r w:rsidR="008A2C77">
        <w:t>pre conditions</w:t>
      </w:r>
      <w:proofErr w:type="gramEnd"/>
      <w:r w:rsidR="008A2C77">
        <w:t xml:space="preserve"> in terms of </w:t>
      </w:r>
      <w:proofErr w:type="spellStart"/>
      <w:r w:rsidR="008A2C77">
        <w:t>it’s</w:t>
      </w:r>
      <w:proofErr w:type="spellEnd"/>
      <w:r w:rsidR="008A2C77">
        <w:t xml:space="preserve"> material as having such an intrinsically unique value that it makes perfect sense to postulate further enquiry? As Mackie puts it </w:t>
      </w:r>
      <w:r w:rsidR="008A2C77" w:rsidRPr="00EF38C2">
        <w:rPr>
          <w:i/>
        </w:rPr>
        <w:t>“we really have no have no idea of what other interesting possibilities might have been latent within others of the endless range of possible initial conditions”</w:t>
      </w:r>
      <w:r w:rsidR="008A2C77">
        <w:t>.</w:t>
      </w:r>
    </w:p>
    <w:p w14:paraId="3FC88D6E" w14:textId="09EFCED3" w:rsidR="00CC183D" w:rsidRDefault="00F47D97">
      <w:r>
        <w:t>In some ways, Mackie identifies Swinburne</w:t>
      </w:r>
      <w:r w:rsidR="00BA6AE0">
        <w:t xml:space="preserve"> </w:t>
      </w:r>
      <w:r>
        <w:t xml:space="preserve">as seemingly working backwards from his conclusions </w:t>
      </w:r>
      <w:r w:rsidR="00EF38C2">
        <w:t>using</w:t>
      </w:r>
      <w:r>
        <w:t xml:space="preserve"> inductive reasoning. Specifically, Swinburne is keen to point out that if God did exist, there would be temporal order in the form of regularities in the laws of things that we can deduce via empirical observation. He emphasises the role that we undertake as humans and creatures in terms if the living and learning that we undertake – we can learn from what we observe and deduce conclusion from such learnings. And as such, God is likely to exist because He would prefer this orderly world as it brings Him closer to us when creatures can live and learn in this way from observing regu</w:t>
      </w:r>
      <w:r w:rsidR="00BA6AE0">
        <w:t>lari</w:t>
      </w:r>
      <w:r>
        <w:t xml:space="preserve">ties. Therefore, it is more likely, even more highly probable that God does exist for these regularities to exist. </w:t>
      </w:r>
      <w:r w:rsidR="00153649">
        <w:rPr>
          <w:rStyle w:val="FootnoteReference"/>
        </w:rPr>
        <w:footnoteReference w:id="4"/>
      </w:r>
    </w:p>
    <w:p w14:paraId="5AA888A6" w14:textId="45BA4640" w:rsidR="000028F6" w:rsidRDefault="00BA6AE0">
      <w:r>
        <w:t xml:space="preserve">Swinburne is reasonable is using temporal order </w:t>
      </w:r>
      <w:proofErr w:type="gramStart"/>
      <w:r>
        <w:t>a posteriori</w:t>
      </w:r>
      <w:proofErr w:type="gramEnd"/>
      <w:r>
        <w:t xml:space="preserve"> as an empirical premise,</w:t>
      </w:r>
      <w:r w:rsidR="00D36C51">
        <w:t xml:space="preserve"> however</w:t>
      </w:r>
      <w:r>
        <w:t xml:space="preserve"> he does assume probabilities a priori. </w:t>
      </w:r>
      <w:proofErr w:type="gramStart"/>
      <w:r>
        <w:t>Similarly</w:t>
      </w:r>
      <w:proofErr w:type="gramEnd"/>
      <w:r>
        <w:t xml:space="preserve"> to objections raised against the Cosmological argument, what we assume about such things at the micro level cannot necessarily apply to the macro and this can encompass understandings of probabilities. On what grounds does Swinburne assume what is probable? Swinburne may well suggest in his defence he is utilising a form of common sense, which is necessary for us to gain </w:t>
      </w:r>
      <w:proofErr w:type="gramStart"/>
      <w:r>
        <w:t>sufficient</w:t>
      </w:r>
      <w:proofErr w:type="gramEnd"/>
      <w:r>
        <w:t xml:space="preserve"> knowledge and understanding. God would not want us to know of what we could not possibly understand after all. If only we exercised the same faculties of reasoning we do everyday in our general understanding as a combination of a posterior observation and a priori reasoning and ask ourselves the question of how could everything come to be from the very beginning, it would of course be reasonable to postulate God for the laws of nature to come into existence bringing in forth the laws of physics and so forth</w:t>
      </w:r>
      <w:r w:rsidR="00153649">
        <w:rPr>
          <w:rStyle w:val="FootnoteReference"/>
        </w:rPr>
        <w:footnoteReference w:id="5"/>
      </w:r>
      <w:r>
        <w:t>.</w:t>
      </w:r>
    </w:p>
    <w:p w14:paraId="6DC9B3AF" w14:textId="6C5E0079" w:rsidR="004070E3" w:rsidRDefault="00A679AC">
      <w:r>
        <w:t xml:space="preserve"> </w:t>
      </w:r>
    </w:p>
    <w:p w14:paraId="530C4CEE" w14:textId="33FA93D8" w:rsidR="004B002E" w:rsidRDefault="00EF38C2">
      <w:r>
        <w:t xml:space="preserve">I will now begin to conclude by </w:t>
      </w:r>
      <w:proofErr w:type="spellStart"/>
      <w:r>
        <w:t>ariticulating</w:t>
      </w:r>
      <w:proofErr w:type="spellEnd"/>
      <w:r>
        <w:t xml:space="preserve"> more general epistemological problems I alluded to earlier which has </w:t>
      </w:r>
      <w:proofErr w:type="spellStart"/>
      <w:proofErr w:type="gramStart"/>
      <w:r>
        <w:t>it’s</w:t>
      </w:r>
      <w:proofErr w:type="spellEnd"/>
      <w:proofErr w:type="gramEnd"/>
      <w:r>
        <w:t xml:space="preserve"> roots in David Hume. </w:t>
      </w:r>
      <w:r w:rsidR="004B002E">
        <w:t xml:space="preserve">There is an awkward synchronisation </w:t>
      </w:r>
      <w:r w:rsidR="0030392B">
        <w:t>o</w:t>
      </w:r>
      <w:r w:rsidR="004B002E">
        <w:t xml:space="preserve">f a priori and a </w:t>
      </w:r>
      <w:proofErr w:type="gramStart"/>
      <w:r w:rsidR="004B002E">
        <w:t>posteriori principles</w:t>
      </w:r>
      <w:proofErr w:type="gramEnd"/>
      <w:r w:rsidR="004B002E">
        <w:t xml:space="preserve"> regarding the </w:t>
      </w:r>
      <w:proofErr w:type="spellStart"/>
      <w:r w:rsidR="004B002E">
        <w:t>telo</w:t>
      </w:r>
      <w:proofErr w:type="spellEnd"/>
      <w:r w:rsidR="004B002E">
        <w:t xml:space="preserve"> argument which Hume alluded to in his Dialogues. There seems to be a premise missing, for one thing. Assuming that we are committing ourselves to an empirical evidence for </w:t>
      </w:r>
      <w:proofErr w:type="gramStart"/>
      <w:r w:rsidR="004B002E">
        <w:t>an a</w:t>
      </w:r>
      <w:proofErr w:type="gramEnd"/>
      <w:r w:rsidR="004B002E">
        <w:t xml:space="preserve"> posteriori argument, where is the premise that order is not found where there is no designer? There is no reason for this to be assumed even if “certain objects not made by men exhibit a kind of order that found also in the products of human design”. We can say that there is a kind of intuitive appeal here that allows us to make this inference, this mental step and since this </w:t>
      </w:r>
      <w:r w:rsidR="004B002E">
        <w:lastRenderedPageBreak/>
        <w:t>is intuitive, this is justified. But perhaps not so if Hume has a valuable point about how mental order works. Mental structures, he articulates through his character of Philo, are based partially on perceptual input</w:t>
      </w:r>
      <w:proofErr w:type="gramStart"/>
      <w:r w:rsidR="0030392B">
        <w:t>…..</w:t>
      </w:r>
      <w:proofErr w:type="gramEnd"/>
      <w:r w:rsidR="0030392B">
        <w:t xml:space="preserve"> </w:t>
      </w:r>
      <w:r w:rsidR="00CA7C80">
        <w:t>“</w:t>
      </w:r>
      <w:bookmarkStart w:id="0" w:name="_GoBack"/>
      <w:bookmarkEnd w:id="0"/>
      <w:r w:rsidR="004B002E">
        <w:t xml:space="preserve">We have </w:t>
      </w:r>
      <w:r w:rsidR="0030392B">
        <w:t xml:space="preserve">experience of ideas, falling into order of themselves without any known cause”. </w:t>
      </w:r>
      <w:proofErr w:type="gramStart"/>
      <w:r w:rsidR="0030392B">
        <w:t>So</w:t>
      </w:r>
      <w:proofErr w:type="gramEnd"/>
      <w:r w:rsidR="0030392B">
        <w:t xml:space="preserve"> the teleological argument cannot work by itself in reference to some a priori principle that has implications for deductive reasoning. </w:t>
      </w:r>
      <w:proofErr w:type="gramStart"/>
      <w:r w:rsidR="0030392B">
        <w:t>So</w:t>
      </w:r>
      <w:proofErr w:type="gramEnd"/>
      <w:r w:rsidR="0030392B">
        <w:t xml:space="preserve"> is design a mental impos</w:t>
      </w:r>
      <w:r>
        <w:t>i</w:t>
      </w:r>
      <w:r w:rsidR="0030392B">
        <w:t xml:space="preserve">tion? The question does not necessarily have to imply empirical and mental reasoning are </w:t>
      </w:r>
      <w:proofErr w:type="gramStart"/>
      <w:r w:rsidR="0030392B">
        <w:t>completely separate</w:t>
      </w:r>
      <w:proofErr w:type="gramEnd"/>
      <w:r w:rsidR="0030392B">
        <w:t xml:space="preserve"> and that observations about the natural world cannot bear any weight upon that which we use to make observations and judgement from which to reason, but that they inextricably linked. When they are so linked, our conclusions and statements become infallible and we may put into question how we come to even know anything or infer anything from how we understand cause and eff</w:t>
      </w:r>
      <w:r>
        <w:t>ec</w:t>
      </w:r>
      <w:r w:rsidR="0030392B">
        <w:t xml:space="preserve">t. </w:t>
      </w:r>
      <w:proofErr w:type="gramStart"/>
      <w:r w:rsidR="0030392B">
        <w:t>So</w:t>
      </w:r>
      <w:proofErr w:type="gramEnd"/>
      <w:r w:rsidR="0030392B">
        <w:t xml:space="preserve"> design may partially be imposed onto our understanding on how the world works but we may not underestimate the in</w:t>
      </w:r>
      <w:r>
        <w:t>tuit</w:t>
      </w:r>
      <w:r w:rsidR="0030392B">
        <w:t xml:space="preserve">ive appeal that even </w:t>
      </w:r>
      <w:r w:rsidR="00F30EE4">
        <w:t>Thomas Reid alludes to. Reid and his followers argued our convictions are involuntary and therefore have vast implications for how perceive the world, other minds. Reid argued we were so constructed this way that this applies in even “normally – realized experiential circumstances”.</w:t>
      </w:r>
      <w:r w:rsidR="00153649">
        <w:rPr>
          <w:rStyle w:val="FootnoteReference"/>
        </w:rPr>
        <w:footnoteReference w:id="6"/>
      </w:r>
      <w:r w:rsidR="00F30EE4">
        <w:t xml:space="preserve"> </w:t>
      </w:r>
      <w:r w:rsidR="00BE1F4E">
        <w:t xml:space="preserve"> </w:t>
      </w:r>
      <w:r w:rsidR="00183AC1">
        <w:t xml:space="preserve"> </w:t>
      </w:r>
    </w:p>
    <w:p w14:paraId="2F4CF688" w14:textId="77777777" w:rsidR="004B002E" w:rsidRDefault="004B002E"/>
    <w:p w14:paraId="0DA72505" w14:textId="6043E198" w:rsidR="00EC6E01" w:rsidRDefault="00EC6E01"/>
    <w:p w14:paraId="27326793" w14:textId="0C60DD1B" w:rsidR="00EC6E01" w:rsidRDefault="00EF38C2">
      <w:r>
        <w:t>Bibliography</w:t>
      </w:r>
    </w:p>
    <w:p w14:paraId="7B0F0AFA" w14:textId="0B25258A" w:rsidR="00CF2B06" w:rsidRDefault="00CF2B06"/>
    <w:p w14:paraId="2B1DD768" w14:textId="254BD349" w:rsidR="00CF2B06" w:rsidRDefault="00CF2B06">
      <w:r>
        <w:rPr>
          <w:rFonts w:ascii="Segoe UI" w:hAnsi="Segoe UI" w:cs="Segoe UI"/>
          <w:color w:val="373A3C"/>
        </w:rPr>
        <w:t>Mackie (1982), J.L., The Miracle of Theism (Oxford: Clarendon Press), ch.8</w:t>
      </w:r>
    </w:p>
    <w:p w14:paraId="0E7D0468" w14:textId="167FAA02" w:rsidR="00CF2B06" w:rsidRDefault="00CF2B06">
      <w:r>
        <w:t>Swinburne, Richard Is There A God (Oxford University Press Inc, New York, 1997)</w:t>
      </w:r>
    </w:p>
    <w:p w14:paraId="28F807FE" w14:textId="3AA9C799" w:rsidR="00EF38C2" w:rsidRDefault="00EF38C2">
      <w:bookmarkStart w:id="1" w:name="_Hlk1944339"/>
      <w:r>
        <w:t>Ward, Keith God Chance and Necessity (</w:t>
      </w:r>
      <w:proofErr w:type="spellStart"/>
      <w:r>
        <w:t>Oneworld</w:t>
      </w:r>
      <w:proofErr w:type="spellEnd"/>
      <w:r>
        <w:t xml:space="preserve"> Publications,</w:t>
      </w:r>
      <w:r w:rsidR="00CF2B06">
        <w:t xml:space="preserve"> Oxford, 1997)</w:t>
      </w:r>
    </w:p>
    <w:bookmarkEnd w:id="1"/>
    <w:p w14:paraId="1E5B0D41" w14:textId="7DB128AA" w:rsidR="00CF2B06" w:rsidRDefault="00CF2B06">
      <w:r>
        <w:t>(Oxford University Press, New York, 1982)</w:t>
      </w:r>
    </w:p>
    <w:sectPr w:rsidR="00CF2B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71ABC5" w14:textId="77777777" w:rsidR="000D63F7" w:rsidRDefault="000D63F7" w:rsidP="00CF2B06">
      <w:pPr>
        <w:spacing w:after="0" w:line="240" w:lineRule="auto"/>
      </w:pPr>
      <w:r>
        <w:separator/>
      </w:r>
    </w:p>
  </w:endnote>
  <w:endnote w:type="continuationSeparator" w:id="0">
    <w:p w14:paraId="6E5C2407" w14:textId="77777777" w:rsidR="000D63F7" w:rsidRDefault="000D63F7" w:rsidP="00CF2B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E0D6D2" w14:textId="77777777" w:rsidR="000D63F7" w:rsidRDefault="000D63F7" w:rsidP="00CF2B06">
      <w:pPr>
        <w:spacing w:after="0" w:line="240" w:lineRule="auto"/>
      </w:pPr>
      <w:r>
        <w:separator/>
      </w:r>
    </w:p>
  </w:footnote>
  <w:footnote w:type="continuationSeparator" w:id="0">
    <w:p w14:paraId="6D9EAD86" w14:textId="77777777" w:rsidR="000D63F7" w:rsidRDefault="000D63F7" w:rsidP="00CF2B06">
      <w:pPr>
        <w:spacing w:after="0" w:line="240" w:lineRule="auto"/>
      </w:pPr>
      <w:r>
        <w:continuationSeparator/>
      </w:r>
    </w:p>
  </w:footnote>
  <w:footnote w:id="1">
    <w:p w14:paraId="0CDB2C07" w14:textId="107EDD43" w:rsidR="00CF2B06" w:rsidRDefault="00CF2B06">
      <w:pPr>
        <w:pStyle w:val="FootnoteText"/>
      </w:pPr>
      <w:r>
        <w:rPr>
          <w:rStyle w:val="FootnoteReference"/>
        </w:rPr>
        <w:footnoteRef/>
      </w:r>
      <w:r>
        <w:t xml:space="preserve"> </w:t>
      </w:r>
      <w:r>
        <w:rPr>
          <w:rFonts w:ascii="Segoe UI" w:hAnsi="Segoe UI" w:cs="Segoe UI"/>
          <w:color w:val="373A3C"/>
          <w:sz w:val="22"/>
          <w:szCs w:val="22"/>
        </w:rPr>
        <w:t>JL Mackie</w:t>
      </w:r>
      <w:r>
        <w:rPr>
          <w:rFonts w:ascii="Segoe UI" w:hAnsi="Segoe UI" w:cs="Segoe UI"/>
          <w:color w:val="373A3C"/>
          <w:sz w:val="22"/>
          <w:szCs w:val="22"/>
        </w:rPr>
        <w:t xml:space="preserve"> The Miracle of Theism (Oxford: Clarendon Press),</w:t>
      </w:r>
      <w:r>
        <w:rPr>
          <w:rFonts w:ascii="Segoe UI" w:hAnsi="Segoe UI" w:cs="Segoe UI"/>
          <w:color w:val="373A3C"/>
          <w:sz w:val="22"/>
          <w:szCs w:val="22"/>
        </w:rPr>
        <w:t xml:space="preserve"> 1982</w:t>
      </w:r>
      <w:r>
        <w:rPr>
          <w:rFonts w:ascii="Segoe UI" w:hAnsi="Segoe UI" w:cs="Segoe UI"/>
          <w:color w:val="373A3C"/>
          <w:sz w:val="22"/>
          <w:szCs w:val="22"/>
        </w:rPr>
        <w:t xml:space="preserve"> ch.8</w:t>
      </w:r>
    </w:p>
  </w:footnote>
  <w:footnote w:id="2">
    <w:p w14:paraId="71E0CE39" w14:textId="2C643163" w:rsidR="00CF2B06" w:rsidRDefault="00CF2B06" w:rsidP="00CF2B06">
      <w:r>
        <w:rPr>
          <w:rStyle w:val="FootnoteReference"/>
        </w:rPr>
        <w:footnoteRef/>
      </w:r>
      <w:r>
        <w:t xml:space="preserve"> Keith Ward</w:t>
      </w:r>
      <w:r>
        <w:t xml:space="preserve"> </w:t>
      </w:r>
      <w:r w:rsidRPr="00CF2B06">
        <w:rPr>
          <w:i/>
        </w:rPr>
        <w:t>God Chance and Necessity</w:t>
      </w:r>
      <w:r>
        <w:t xml:space="preserve"> (</w:t>
      </w:r>
      <w:proofErr w:type="spellStart"/>
      <w:r>
        <w:t>Oneworld</w:t>
      </w:r>
      <w:proofErr w:type="spellEnd"/>
      <w:r>
        <w:t xml:space="preserve"> Publications, Oxford, 1997)</w:t>
      </w:r>
    </w:p>
    <w:p w14:paraId="0624C9A4" w14:textId="7295A4D1" w:rsidR="00CF2B06" w:rsidRDefault="00CF2B06">
      <w:pPr>
        <w:pStyle w:val="FootnoteText"/>
      </w:pPr>
    </w:p>
  </w:footnote>
  <w:footnote w:id="3">
    <w:p w14:paraId="64D103D5" w14:textId="5D4C9856" w:rsidR="00CF2B06" w:rsidRDefault="00CF2B06" w:rsidP="00CF2B06">
      <w:r>
        <w:rPr>
          <w:rStyle w:val="FootnoteReference"/>
        </w:rPr>
        <w:footnoteRef/>
      </w:r>
      <w:r>
        <w:t xml:space="preserve"> Richard Swinburne</w:t>
      </w:r>
      <w:r>
        <w:t xml:space="preserve"> </w:t>
      </w:r>
      <w:r w:rsidRPr="00CF2B06">
        <w:rPr>
          <w:i/>
        </w:rPr>
        <w:t>Is There A God</w:t>
      </w:r>
      <w:r>
        <w:t xml:space="preserve"> (Oxford University Press Inc, New York, 1997)</w:t>
      </w:r>
    </w:p>
    <w:p w14:paraId="0CB8CF93" w14:textId="7ED11156" w:rsidR="00CF2B06" w:rsidRDefault="00CF2B06">
      <w:pPr>
        <w:pStyle w:val="FootnoteText"/>
      </w:pPr>
    </w:p>
  </w:footnote>
  <w:footnote w:id="4">
    <w:p w14:paraId="321E0BDF" w14:textId="1CFEAD80" w:rsidR="00153649" w:rsidRDefault="00153649" w:rsidP="00153649">
      <w:r>
        <w:rPr>
          <w:rStyle w:val="FootnoteReference"/>
        </w:rPr>
        <w:footnoteRef/>
      </w:r>
      <w:r>
        <w:t xml:space="preserve"> </w:t>
      </w:r>
      <w:r>
        <w:tab/>
        <w:t>Richard Swinburne</w:t>
      </w:r>
      <w:r>
        <w:t xml:space="preserve"> </w:t>
      </w:r>
      <w:r w:rsidRPr="00153649">
        <w:rPr>
          <w:i/>
        </w:rPr>
        <w:t>Is There A God</w:t>
      </w:r>
      <w:r>
        <w:t xml:space="preserve"> (Oxford University Press Inc, New York, 1997)</w:t>
      </w:r>
    </w:p>
    <w:p w14:paraId="4FDE297A" w14:textId="5AC77D48" w:rsidR="00153649" w:rsidRDefault="00153649" w:rsidP="00153649">
      <w:pPr>
        <w:pStyle w:val="FootnoteText"/>
        <w:tabs>
          <w:tab w:val="left" w:pos="795"/>
        </w:tabs>
      </w:pPr>
    </w:p>
  </w:footnote>
  <w:footnote w:id="5">
    <w:p w14:paraId="2B0D557C" w14:textId="32F30D6B" w:rsidR="00153649" w:rsidRDefault="00153649" w:rsidP="00153649">
      <w:r>
        <w:rPr>
          <w:rStyle w:val="FootnoteReference"/>
        </w:rPr>
        <w:footnoteRef/>
      </w:r>
      <w:r>
        <w:t xml:space="preserve"> Richard Swinburne</w:t>
      </w:r>
      <w:r>
        <w:t xml:space="preserve"> </w:t>
      </w:r>
      <w:r w:rsidRPr="00153649">
        <w:rPr>
          <w:i/>
        </w:rPr>
        <w:t>Is There A God</w:t>
      </w:r>
      <w:r>
        <w:t xml:space="preserve"> (Oxford University Press Inc, New York, 1997)</w:t>
      </w:r>
    </w:p>
    <w:p w14:paraId="1625CFBB" w14:textId="460AE559" w:rsidR="00153649" w:rsidRDefault="00153649">
      <w:pPr>
        <w:pStyle w:val="FootnoteText"/>
      </w:pPr>
    </w:p>
  </w:footnote>
  <w:footnote w:id="6">
    <w:p w14:paraId="677E19C0" w14:textId="6633E8AD" w:rsidR="00153649" w:rsidRDefault="00153649" w:rsidP="00153649">
      <w:r>
        <w:rPr>
          <w:rStyle w:val="FootnoteReference"/>
        </w:rPr>
        <w:footnoteRef/>
      </w:r>
      <w:r>
        <w:t xml:space="preserve"> </w:t>
      </w:r>
      <w:r>
        <w:rPr>
          <w:rFonts w:ascii="Segoe UI" w:hAnsi="Segoe UI" w:cs="Segoe UI"/>
          <w:color w:val="373A3C"/>
        </w:rPr>
        <w:t xml:space="preserve">JL Mackie </w:t>
      </w:r>
      <w:r>
        <w:rPr>
          <w:rFonts w:ascii="Segoe UI" w:hAnsi="Segoe UI" w:cs="Segoe UI"/>
          <w:color w:val="373A3C"/>
        </w:rPr>
        <w:t>The Miracle of Theism (Oxford: Clarendon Press</w:t>
      </w:r>
      <w:r>
        <w:rPr>
          <w:rFonts w:ascii="Segoe UI" w:hAnsi="Segoe UI" w:cs="Segoe UI"/>
          <w:color w:val="373A3C"/>
        </w:rPr>
        <w:t xml:space="preserve"> 1982</w:t>
      </w:r>
      <w:r>
        <w:rPr>
          <w:rFonts w:ascii="Segoe UI" w:hAnsi="Segoe UI" w:cs="Segoe UI"/>
          <w:color w:val="373A3C"/>
        </w:rPr>
        <w:t>), ch.8</w:t>
      </w:r>
    </w:p>
    <w:p w14:paraId="461DA1D4" w14:textId="25B27556" w:rsidR="00153649" w:rsidRDefault="00153649">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C28"/>
    <w:rsid w:val="000028F6"/>
    <w:rsid w:val="000A0543"/>
    <w:rsid w:val="000D63F7"/>
    <w:rsid w:val="00144CBA"/>
    <w:rsid w:val="00153649"/>
    <w:rsid w:val="00183AC1"/>
    <w:rsid w:val="001C21EE"/>
    <w:rsid w:val="001E0806"/>
    <w:rsid w:val="001E3D05"/>
    <w:rsid w:val="00250A74"/>
    <w:rsid w:val="002A6667"/>
    <w:rsid w:val="0030392B"/>
    <w:rsid w:val="004070E3"/>
    <w:rsid w:val="00450640"/>
    <w:rsid w:val="00460855"/>
    <w:rsid w:val="0048465E"/>
    <w:rsid w:val="00491B0A"/>
    <w:rsid w:val="004B002E"/>
    <w:rsid w:val="004D7C97"/>
    <w:rsid w:val="006657DE"/>
    <w:rsid w:val="006A4C73"/>
    <w:rsid w:val="007B000C"/>
    <w:rsid w:val="007C3E1F"/>
    <w:rsid w:val="007E50F4"/>
    <w:rsid w:val="008A2C77"/>
    <w:rsid w:val="008A4C67"/>
    <w:rsid w:val="00903C41"/>
    <w:rsid w:val="0091115F"/>
    <w:rsid w:val="00A679AC"/>
    <w:rsid w:val="00A67F3B"/>
    <w:rsid w:val="00A861BE"/>
    <w:rsid w:val="00A86CD5"/>
    <w:rsid w:val="00B403CC"/>
    <w:rsid w:val="00B97C28"/>
    <w:rsid w:val="00BA6AE0"/>
    <w:rsid w:val="00BE1F4E"/>
    <w:rsid w:val="00C83152"/>
    <w:rsid w:val="00CA7C80"/>
    <w:rsid w:val="00CC183D"/>
    <w:rsid w:val="00CF2B06"/>
    <w:rsid w:val="00D36C51"/>
    <w:rsid w:val="00D538B5"/>
    <w:rsid w:val="00DB270E"/>
    <w:rsid w:val="00DC5F75"/>
    <w:rsid w:val="00EC6E01"/>
    <w:rsid w:val="00EF38C2"/>
    <w:rsid w:val="00F176C7"/>
    <w:rsid w:val="00F30EE4"/>
    <w:rsid w:val="00F47D97"/>
    <w:rsid w:val="00FA6E00"/>
    <w:rsid w:val="00FC7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740A3"/>
  <w15:chartTrackingRefBased/>
  <w15:docId w15:val="{17A2C566-004D-4120-BEEC-DD8F6509A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30EE4"/>
    <w:rPr>
      <w:i/>
      <w:iCs/>
    </w:rPr>
  </w:style>
  <w:style w:type="paragraph" w:styleId="FootnoteText">
    <w:name w:val="footnote text"/>
    <w:basedOn w:val="Normal"/>
    <w:link w:val="FootnoteTextChar"/>
    <w:uiPriority w:val="99"/>
    <w:semiHidden/>
    <w:unhideWhenUsed/>
    <w:rsid w:val="00CF2B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F2B06"/>
    <w:rPr>
      <w:sz w:val="20"/>
      <w:szCs w:val="20"/>
    </w:rPr>
  </w:style>
  <w:style w:type="character" w:styleId="FootnoteReference">
    <w:name w:val="footnote reference"/>
    <w:basedOn w:val="DefaultParagraphFont"/>
    <w:uiPriority w:val="99"/>
    <w:semiHidden/>
    <w:unhideWhenUsed/>
    <w:rsid w:val="00CF2B06"/>
    <w:rPr>
      <w:vertAlign w:val="superscript"/>
    </w:rPr>
  </w:style>
  <w:style w:type="paragraph" w:styleId="Header">
    <w:name w:val="header"/>
    <w:basedOn w:val="Normal"/>
    <w:link w:val="HeaderChar"/>
    <w:uiPriority w:val="99"/>
    <w:unhideWhenUsed/>
    <w:rsid w:val="00153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649"/>
  </w:style>
  <w:style w:type="paragraph" w:styleId="Footer">
    <w:name w:val="footer"/>
    <w:basedOn w:val="Normal"/>
    <w:link w:val="FooterChar"/>
    <w:uiPriority w:val="99"/>
    <w:unhideWhenUsed/>
    <w:rsid w:val="00153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396EE-F46E-43E8-AEF2-AA071E30D5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1932</Words>
  <Characters>11016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Evans</dc:creator>
  <cp:keywords/>
  <dc:description/>
  <cp:lastModifiedBy>Sam Evans</cp:lastModifiedBy>
  <cp:revision>2</cp:revision>
  <dcterms:created xsi:type="dcterms:W3CDTF">2019-02-24T23:56:00Z</dcterms:created>
  <dcterms:modified xsi:type="dcterms:W3CDTF">2019-02-24T23:56:00Z</dcterms:modified>
</cp:coreProperties>
</file>